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E0A3FE5">
      <w:pPr>
        <w:jc w:val="center"/>
        <w:rPr>
          <w:rFonts w:ascii="Times New Roman"/>
          <w:b/>
          <w:color w:val="000000" w:themeColor="text1"/>
          <w:sz w:val="32"/>
          <w:szCs w:val="32"/>
          <w14:textFill>
            <w14:solidFill>
              <w14:schemeClr w14:val="tx1"/>
            </w14:solidFill>
          </w14:textFill>
        </w:rPr>
      </w:pPr>
      <w:bookmarkStart w:id="0" w:name="_Toc15721"/>
      <w:bookmarkStart w:id="1" w:name="_Toc2124"/>
      <w:bookmarkStart w:id="2" w:name="_Toc335916610"/>
      <w:bookmarkStart w:id="3" w:name="_Toc313453417"/>
      <w:bookmarkStart w:id="4" w:name="_Toc335926122"/>
      <w:bookmarkStart w:id="5" w:name="_Toc333247853"/>
      <w:bookmarkStart w:id="6" w:name="_Toc326085689"/>
      <w:bookmarkStart w:id="7" w:name="_Toc335576502"/>
      <w:bookmarkStart w:id="8" w:name="_Toc331164318"/>
      <w:bookmarkStart w:id="9" w:name="_Toc12572"/>
      <w:r>
        <w:rPr>
          <w:rFonts w:ascii="Times New Roman"/>
          <w:b/>
          <w:color w:val="000000" w:themeColor="text1"/>
          <w:sz w:val="32"/>
          <w:szCs w:val="32"/>
          <w14:textFill>
            <w14:solidFill>
              <w14:schemeClr w14:val="tx1"/>
            </w14:solidFill>
          </w14:textFill>
        </w:rPr>
        <w:t>现场照片</w:t>
      </w:r>
    </w:p>
    <w:tbl>
      <w:tblPr>
        <w:tblStyle w:val="5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3"/>
        <w:gridCol w:w="4407"/>
      </w:tblGrid>
      <w:tr w14:paraId="3BBA8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3" w:type="pct"/>
          </w:tcPr>
          <w:p w14:paraId="70B080E2">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574925" cy="1931035"/>
                  <wp:effectExtent l="0" t="0" r="635" b="4445"/>
                  <wp:docPr id="10" name="图片 10" descr="IMG_20240923_105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0240923_105116"/>
                          <pic:cNvPicPr>
                            <a:picLocks noChangeAspect="1"/>
                          </pic:cNvPicPr>
                        </pic:nvPicPr>
                        <pic:blipFill>
                          <a:blip r:embed="rId11"/>
                          <a:stretch>
                            <a:fillRect/>
                          </a:stretch>
                        </pic:blipFill>
                        <pic:spPr>
                          <a:xfrm>
                            <a:off x="0" y="0"/>
                            <a:ext cx="2574925" cy="1931035"/>
                          </a:xfrm>
                          <a:prstGeom prst="rect">
                            <a:avLst/>
                          </a:prstGeom>
                        </pic:spPr>
                      </pic:pic>
                    </a:graphicData>
                  </a:graphic>
                </wp:inline>
              </w:drawing>
            </w:r>
          </w:p>
        </w:tc>
        <w:tc>
          <w:tcPr>
            <w:tcW w:w="2526" w:type="pct"/>
          </w:tcPr>
          <w:p w14:paraId="08463370">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642870" cy="1981835"/>
                  <wp:effectExtent l="0" t="0" r="8890" b="14605"/>
                  <wp:docPr id="13" name="图片 13" descr="IMG_20240923_105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0240923_105136"/>
                          <pic:cNvPicPr>
                            <a:picLocks noChangeAspect="1"/>
                          </pic:cNvPicPr>
                        </pic:nvPicPr>
                        <pic:blipFill>
                          <a:blip r:embed="rId12"/>
                          <a:stretch>
                            <a:fillRect/>
                          </a:stretch>
                        </pic:blipFill>
                        <pic:spPr>
                          <a:xfrm>
                            <a:off x="0" y="0"/>
                            <a:ext cx="2642870" cy="1981835"/>
                          </a:xfrm>
                          <a:prstGeom prst="rect">
                            <a:avLst/>
                          </a:prstGeom>
                        </pic:spPr>
                      </pic:pic>
                    </a:graphicData>
                  </a:graphic>
                </wp:inline>
              </w:drawing>
            </w:r>
          </w:p>
        </w:tc>
      </w:tr>
      <w:tr w14:paraId="196BB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3" w:type="pct"/>
          </w:tcPr>
          <w:p w14:paraId="678722B1">
            <w:pPr>
              <w:pStyle w:val="71"/>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办公区</w:t>
            </w:r>
          </w:p>
        </w:tc>
        <w:tc>
          <w:tcPr>
            <w:tcW w:w="2526" w:type="pct"/>
          </w:tcPr>
          <w:p w14:paraId="17BFD4D2">
            <w:pPr>
              <w:pStyle w:val="71"/>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宿舍</w:t>
            </w:r>
          </w:p>
        </w:tc>
      </w:tr>
      <w:tr w14:paraId="377B3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3" w:type="pct"/>
          </w:tcPr>
          <w:p w14:paraId="72D09ED4">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574925" cy="1931035"/>
                  <wp:effectExtent l="0" t="0" r="635" b="4445"/>
                  <wp:docPr id="20" name="图片 20" descr="IMG_20240923_104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0240923_104757"/>
                          <pic:cNvPicPr>
                            <a:picLocks noChangeAspect="1"/>
                          </pic:cNvPicPr>
                        </pic:nvPicPr>
                        <pic:blipFill>
                          <a:blip r:embed="rId13"/>
                          <a:stretch>
                            <a:fillRect/>
                          </a:stretch>
                        </pic:blipFill>
                        <pic:spPr>
                          <a:xfrm>
                            <a:off x="0" y="0"/>
                            <a:ext cx="2574925" cy="1931035"/>
                          </a:xfrm>
                          <a:prstGeom prst="rect">
                            <a:avLst/>
                          </a:prstGeom>
                        </pic:spPr>
                      </pic:pic>
                    </a:graphicData>
                  </a:graphic>
                </wp:inline>
              </w:drawing>
            </w:r>
          </w:p>
        </w:tc>
        <w:tc>
          <w:tcPr>
            <w:tcW w:w="2526" w:type="pct"/>
          </w:tcPr>
          <w:p w14:paraId="586B6405">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642870" cy="1981835"/>
                  <wp:effectExtent l="0" t="0" r="8890" b="14605"/>
                  <wp:docPr id="21" name="图片 21" descr="IMG_20240923_104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G_20240923_104822"/>
                          <pic:cNvPicPr>
                            <a:picLocks noChangeAspect="1"/>
                          </pic:cNvPicPr>
                        </pic:nvPicPr>
                        <pic:blipFill>
                          <a:blip r:embed="rId14"/>
                          <a:stretch>
                            <a:fillRect/>
                          </a:stretch>
                        </pic:blipFill>
                        <pic:spPr>
                          <a:xfrm>
                            <a:off x="0" y="0"/>
                            <a:ext cx="2642870" cy="1981835"/>
                          </a:xfrm>
                          <a:prstGeom prst="rect">
                            <a:avLst/>
                          </a:prstGeom>
                        </pic:spPr>
                      </pic:pic>
                    </a:graphicData>
                  </a:graphic>
                </wp:inline>
              </w:drawing>
            </w:r>
          </w:p>
        </w:tc>
      </w:tr>
      <w:tr w14:paraId="31129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3" w:type="pct"/>
          </w:tcPr>
          <w:p w14:paraId="13939BF1">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574925" cy="1931035"/>
                  <wp:effectExtent l="0" t="0" r="635" b="4445"/>
                  <wp:docPr id="17" name="图片 17" descr="IMG_20240525_094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0240525_094506"/>
                          <pic:cNvPicPr>
                            <a:picLocks noChangeAspect="1"/>
                          </pic:cNvPicPr>
                        </pic:nvPicPr>
                        <pic:blipFill>
                          <a:blip r:embed="rId15"/>
                          <a:stretch>
                            <a:fillRect/>
                          </a:stretch>
                        </pic:blipFill>
                        <pic:spPr>
                          <a:xfrm>
                            <a:off x="0" y="0"/>
                            <a:ext cx="2574925" cy="1931035"/>
                          </a:xfrm>
                          <a:prstGeom prst="rect">
                            <a:avLst/>
                          </a:prstGeom>
                        </pic:spPr>
                      </pic:pic>
                    </a:graphicData>
                  </a:graphic>
                </wp:inline>
              </w:drawing>
            </w:r>
          </w:p>
        </w:tc>
        <w:tc>
          <w:tcPr>
            <w:tcW w:w="2526" w:type="pct"/>
          </w:tcPr>
          <w:p w14:paraId="24A9EDAD">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653030" cy="1989455"/>
                  <wp:effectExtent l="0" t="0" r="13970" b="6985"/>
                  <wp:docPr id="18" name="图片 18" descr="IMG_20240525_095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0240525_095442"/>
                          <pic:cNvPicPr>
                            <a:picLocks noChangeAspect="1"/>
                          </pic:cNvPicPr>
                        </pic:nvPicPr>
                        <pic:blipFill>
                          <a:blip r:embed="rId16"/>
                          <a:stretch>
                            <a:fillRect/>
                          </a:stretch>
                        </pic:blipFill>
                        <pic:spPr>
                          <a:xfrm>
                            <a:off x="0" y="0"/>
                            <a:ext cx="2653030" cy="1989455"/>
                          </a:xfrm>
                          <a:prstGeom prst="rect">
                            <a:avLst/>
                          </a:prstGeom>
                        </pic:spPr>
                      </pic:pic>
                    </a:graphicData>
                  </a:graphic>
                </wp:inline>
              </w:drawing>
            </w:r>
          </w:p>
        </w:tc>
      </w:tr>
      <w:tr w14:paraId="09366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2473" w:type="pct"/>
          </w:tcPr>
          <w:p w14:paraId="7B83F932">
            <w:pPr>
              <w:pStyle w:val="71"/>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生产车间</w:t>
            </w:r>
          </w:p>
        </w:tc>
        <w:tc>
          <w:tcPr>
            <w:tcW w:w="2526" w:type="pct"/>
          </w:tcPr>
          <w:p w14:paraId="2B509D9C">
            <w:pPr>
              <w:pStyle w:val="71"/>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生产车间</w:t>
            </w:r>
          </w:p>
        </w:tc>
      </w:tr>
      <w:tr w14:paraId="1A615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5" w:hRule="atLeast"/>
        </w:trPr>
        <w:tc>
          <w:tcPr>
            <w:tcW w:w="2473" w:type="pct"/>
          </w:tcPr>
          <w:p w14:paraId="399854F1">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430780" cy="1823085"/>
                  <wp:effectExtent l="0" t="0" r="7620" b="5715"/>
                  <wp:docPr id="19" name="图片 19" descr="IMG_20240923_104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20240923_104435"/>
                          <pic:cNvPicPr>
                            <a:picLocks noChangeAspect="1"/>
                          </pic:cNvPicPr>
                        </pic:nvPicPr>
                        <pic:blipFill>
                          <a:blip r:embed="rId17"/>
                          <a:stretch>
                            <a:fillRect/>
                          </a:stretch>
                        </pic:blipFill>
                        <pic:spPr>
                          <a:xfrm>
                            <a:off x="0" y="0"/>
                            <a:ext cx="2430780" cy="1823085"/>
                          </a:xfrm>
                          <a:prstGeom prst="rect">
                            <a:avLst/>
                          </a:prstGeom>
                        </pic:spPr>
                      </pic:pic>
                    </a:graphicData>
                  </a:graphic>
                </wp:inline>
              </w:drawing>
            </w:r>
          </w:p>
        </w:tc>
        <w:tc>
          <w:tcPr>
            <w:tcW w:w="2526" w:type="pct"/>
          </w:tcPr>
          <w:p w14:paraId="57F23963">
            <w:pPr>
              <w:pStyle w:val="71"/>
              <w:spacing w:line="360" w:lineRule="auto"/>
              <w:jc w:val="both"/>
              <w:rPr>
                <w:color w:val="000000" w:themeColor="text1"/>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578100" cy="1842770"/>
                  <wp:effectExtent l="0" t="0" r="12700" b="1270"/>
                  <wp:docPr id="16" name="图片 16" descr="IMG_20240923_103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0240923_103840"/>
                          <pic:cNvPicPr>
                            <a:picLocks noChangeAspect="1"/>
                          </pic:cNvPicPr>
                        </pic:nvPicPr>
                        <pic:blipFill>
                          <a:blip r:embed="rId18"/>
                          <a:stretch>
                            <a:fillRect/>
                          </a:stretch>
                        </pic:blipFill>
                        <pic:spPr>
                          <a:xfrm>
                            <a:off x="0" y="0"/>
                            <a:ext cx="2578100" cy="1842770"/>
                          </a:xfrm>
                          <a:prstGeom prst="rect">
                            <a:avLst/>
                          </a:prstGeom>
                        </pic:spPr>
                      </pic:pic>
                    </a:graphicData>
                  </a:graphic>
                </wp:inline>
              </w:drawing>
            </w:r>
          </w:p>
        </w:tc>
      </w:tr>
      <w:tr w14:paraId="5BCCA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73" w:type="pct"/>
          </w:tcPr>
          <w:p w14:paraId="68AA2E1D">
            <w:pPr>
              <w:pStyle w:val="71"/>
              <w:ind w:firstLine="1205" w:firstLineChars="50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堆料、配料车间</w:t>
            </w:r>
          </w:p>
        </w:tc>
        <w:tc>
          <w:tcPr>
            <w:tcW w:w="2526" w:type="pct"/>
          </w:tcPr>
          <w:p w14:paraId="56F7C499">
            <w:pPr>
              <w:pStyle w:val="71"/>
              <w:jc w:val="center"/>
              <w:rPr>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成品</w:t>
            </w:r>
            <w:r>
              <w:rPr>
                <w:rFonts w:hint="eastAsia" w:asciiTheme="minorEastAsia" w:hAnsiTheme="minorEastAsia" w:eastAsiaTheme="minorEastAsia"/>
                <w:color w:val="000000" w:themeColor="text1"/>
                <w:lang w:val="en-US" w:eastAsia="zh-CN"/>
                <w14:textFill>
                  <w14:solidFill>
                    <w14:schemeClr w14:val="tx1"/>
                  </w14:solidFill>
                </w14:textFill>
              </w:rPr>
              <w:t>堆放</w:t>
            </w:r>
          </w:p>
        </w:tc>
      </w:tr>
      <w:tr w14:paraId="39805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473" w:type="pct"/>
          </w:tcPr>
          <w:p w14:paraId="6F378536">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532380" cy="1899285"/>
                  <wp:effectExtent l="0" t="0" r="12700" b="5715"/>
                  <wp:docPr id="22" name="图片 22" descr="c21229b59d7e21d30f346dac68c7a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21229b59d7e21d30f346dac68c7a1d"/>
                          <pic:cNvPicPr>
                            <a:picLocks noChangeAspect="1"/>
                          </pic:cNvPicPr>
                        </pic:nvPicPr>
                        <pic:blipFill>
                          <a:blip r:embed="rId19"/>
                          <a:stretch>
                            <a:fillRect/>
                          </a:stretch>
                        </pic:blipFill>
                        <pic:spPr>
                          <a:xfrm>
                            <a:off x="0" y="0"/>
                            <a:ext cx="2532380" cy="1899285"/>
                          </a:xfrm>
                          <a:prstGeom prst="rect">
                            <a:avLst/>
                          </a:prstGeom>
                        </pic:spPr>
                      </pic:pic>
                    </a:graphicData>
                  </a:graphic>
                </wp:inline>
              </w:drawing>
            </w:r>
          </w:p>
        </w:tc>
        <w:tc>
          <w:tcPr>
            <w:tcW w:w="2526" w:type="pct"/>
          </w:tcPr>
          <w:p w14:paraId="3E72B1AC">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588895" cy="1880870"/>
                  <wp:effectExtent l="0" t="0" r="1905" b="8890"/>
                  <wp:docPr id="24" name="图片 24" descr="92db4eff433740a694b66a3c6222b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92db4eff433740a694b66a3c6222b67"/>
                          <pic:cNvPicPr>
                            <a:picLocks noChangeAspect="1"/>
                          </pic:cNvPicPr>
                        </pic:nvPicPr>
                        <pic:blipFill>
                          <a:blip r:embed="rId20"/>
                          <a:stretch>
                            <a:fillRect/>
                          </a:stretch>
                        </pic:blipFill>
                        <pic:spPr>
                          <a:xfrm>
                            <a:off x="0" y="0"/>
                            <a:ext cx="2588895" cy="1880870"/>
                          </a:xfrm>
                          <a:prstGeom prst="rect">
                            <a:avLst/>
                          </a:prstGeom>
                        </pic:spPr>
                      </pic:pic>
                    </a:graphicData>
                  </a:graphic>
                </wp:inline>
              </w:drawing>
            </w:r>
          </w:p>
        </w:tc>
      </w:tr>
      <w:tr w14:paraId="35FB3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2473" w:type="pct"/>
          </w:tcPr>
          <w:p w14:paraId="634A1CBE">
            <w:pPr>
              <w:pStyle w:val="71"/>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变压器</w:t>
            </w:r>
          </w:p>
        </w:tc>
        <w:tc>
          <w:tcPr>
            <w:tcW w:w="2526" w:type="pct"/>
          </w:tcPr>
          <w:p w14:paraId="417F115F">
            <w:pPr>
              <w:pStyle w:val="71"/>
              <w:ind w:firstLine="964" w:firstLineChars="4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危废暂存间</w:t>
            </w:r>
          </w:p>
        </w:tc>
      </w:tr>
      <w:tr w14:paraId="6F2C6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0" w:hRule="atLeast"/>
        </w:trPr>
        <w:tc>
          <w:tcPr>
            <w:tcW w:w="5000" w:type="pct"/>
            <w:gridSpan w:val="2"/>
          </w:tcPr>
          <w:p w14:paraId="53109C1B">
            <w:pPr>
              <w:pStyle w:val="71"/>
              <w:spacing w:line="360" w:lineRule="auto"/>
              <w:jc w:val="both"/>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5375910" cy="3318510"/>
                  <wp:effectExtent l="0" t="0" r="3810" b="3810"/>
                  <wp:docPr id="15" name="图片 15" descr="cc9aa26966ab479c93cc261025f27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c9aa26966ab479c93cc261025f27b9"/>
                          <pic:cNvPicPr>
                            <a:picLocks noChangeAspect="1"/>
                          </pic:cNvPicPr>
                        </pic:nvPicPr>
                        <pic:blipFill>
                          <a:blip r:embed="rId21"/>
                          <a:stretch>
                            <a:fillRect/>
                          </a:stretch>
                        </pic:blipFill>
                        <pic:spPr>
                          <a:xfrm>
                            <a:off x="0" y="0"/>
                            <a:ext cx="5375910" cy="3318510"/>
                          </a:xfrm>
                          <a:prstGeom prst="rect">
                            <a:avLst/>
                          </a:prstGeom>
                        </pic:spPr>
                      </pic:pic>
                    </a:graphicData>
                  </a:graphic>
                </wp:inline>
              </w:drawing>
            </w:r>
          </w:p>
        </w:tc>
      </w:tr>
      <w:tr w14:paraId="01590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4AF2EE06">
            <w:pPr>
              <w:pStyle w:val="71"/>
              <w:spacing w:line="400" w:lineRule="exact"/>
              <w:jc w:val="center"/>
              <w:rPr>
                <w:rFonts w:hint="eastAsia" w:eastAsia="宋体"/>
                <w:color w:val="000000" w:themeColor="text1"/>
                <w:lang w:eastAsia="zh-CN"/>
                <w14:textFill>
                  <w14:solidFill>
                    <w14:schemeClr w14:val="tx1"/>
                  </w14:solidFill>
                </w14:textFill>
              </w:rPr>
            </w:pPr>
            <w:r>
              <w:rPr>
                <w:rFonts w:hint="eastAsia"/>
                <w:bCs/>
                <w:color w:val="000000" w:themeColor="text1"/>
                <w14:textFill>
                  <w14:solidFill>
                    <w14:schemeClr w14:val="tx1"/>
                  </w14:solidFill>
                </w14:textFill>
              </w:rPr>
              <w:t>评价人员现场照片</w:t>
            </w:r>
            <w:r>
              <w:rPr>
                <w:rFonts w:hint="eastAsia"/>
                <w:bCs/>
                <w:color w:val="000000" w:themeColor="text1"/>
                <w:lang w:eastAsia="zh-CN"/>
                <w14:textFill>
                  <w14:solidFill>
                    <w14:schemeClr w14:val="tx1"/>
                  </w14:solidFill>
                </w14:textFill>
              </w:rPr>
              <w:t>（</w:t>
            </w:r>
            <w:r>
              <w:rPr>
                <w:rFonts w:hint="eastAsia"/>
                <w:bCs/>
                <w:color w:val="000000" w:themeColor="text1"/>
                <w:lang w:val="en-US" w:eastAsia="zh-CN"/>
                <w14:textFill>
                  <w14:solidFill>
                    <w14:schemeClr w14:val="tx1"/>
                  </w14:solidFill>
                </w14:textFill>
              </w:rPr>
              <w:t>右一 周忠菊 ，右二 李毅雄</w:t>
            </w:r>
            <w:r>
              <w:rPr>
                <w:rFonts w:hint="eastAsia"/>
                <w:bCs/>
                <w:color w:val="000000" w:themeColor="text1"/>
                <w:lang w:eastAsia="zh-CN"/>
                <w14:textFill>
                  <w14:solidFill>
                    <w14:schemeClr w14:val="tx1"/>
                  </w14:solidFill>
                </w14:textFill>
              </w:rPr>
              <w:t>）</w:t>
            </w:r>
          </w:p>
        </w:tc>
      </w:tr>
    </w:tbl>
    <w:p w14:paraId="4DD232A3">
      <w:pPr>
        <w:pStyle w:val="71"/>
        <w:rPr>
          <w:color w:val="000000" w:themeColor="text1"/>
          <w14:textFill>
            <w14:solidFill>
              <w14:schemeClr w14:val="tx1"/>
            </w14:solidFill>
          </w14:textFill>
        </w:rPr>
      </w:pPr>
    </w:p>
    <w:p w14:paraId="4712CAB7">
      <w:pPr>
        <w:snapToGrid w:val="0"/>
        <w:spacing w:beforeLines="100" w:afterLines="100" w:line="520" w:lineRule="exact"/>
        <w:jc w:val="both"/>
        <w:rPr>
          <w:rFonts w:ascii="Times New Roman"/>
          <w:b/>
          <w:bCs/>
          <w:color w:val="000000" w:themeColor="text1"/>
          <w:sz w:val="36"/>
          <w:szCs w:val="36"/>
          <w14:textFill>
            <w14:solidFill>
              <w14:schemeClr w14:val="tx1"/>
            </w14:solidFill>
          </w14:textFill>
        </w:rPr>
        <w:sectPr>
          <w:headerReference r:id="rId3" w:type="default"/>
          <w:footerReference r:id="rId4" w:type="default"/>
          <w:pgSz w:w="11906" w:h="16838"/>
          <w:pgMar w:top="1587" w:right="1701" w:bottom="1701" w:left="1701" w:header="851" w:footer="992" w:gutter="0"/>
          <w:pgNumType w:fmt="lowerRoman" w:start="1"/>
          <w:cols w:space="720" w:num="1"/>
          <w:docGrid w:type="lines" w:linePitch="330" w:charSpace="0"/>
        </w:sectPr>
      </w:pPr>
    </w:p>
    <w:p w14:paraId="51428C7D">
      <w:pPr>
        <w:snapToGrid w:val="0"/>
        <w:spacing w:beforeLines="100" w:afterLines="100" w:line="520" w:lineRule="exact"/>
        <w:jc w:val="center"/>
        <w:rPr>
          <w:rFonts w:ascii="Times New Roman"/>
          <w:b/>
          <w:bCs/>
          <w:color w:val="000000" w:themeColor="text1"/>
          <w:sz w:val="36"/>
          <w:szCs w:val="36"/>
          <w14:textFill>
            <w14:solidFill>
              <w14:schemeClr w14:val="tx1"/>
            </w14:solidFill>
          </w14:textFill>
        </w:rPr>
      </w:pPr>
      <w:r>
        <w:rPr>
          <w:rFonts w:ascii="Times New Roman"/>
          <w:b/>
          <w:bCs/>
          <w:color w:val="000000" w:themeColor="text1"/>
          <w:sz w:val="36"/>
          <w:szCs w:val="36"/>
          <w14:textFill>
            <w14:solidFill>
              <w14:schemeClr w14:val="tx1"/>
            </w14:solidFill>
          </w14:textFill>
        </w:rPr>
        <w:t>前    言</w:t>
      </w:r>
      <w:bookmarkEnd w:id="0"/>
      <w:bookmarkEnd w:id="1"/>
      <w:bookmarkEnd w:id="2"/>
      <w:bookmarkEnd w:id="3"/>
      <w:bookmarkEnd w:id="4"/>
      <w:bookmarkEnd w:id="5"/>
      <w:bookmarkEnd w:id="6"/>
      <w:bookmarkEnd w:id="7"/>
      <w:bookmarkEnd w:id="8"/>
      <w:bookmarkEnd w:id="9"/>
    </w:p>
    <w:p w14:paraId="79F499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随着我国法制化的日趋健全和完善，安全生产监督管理体系也逐步向科学化、规范化、制度化发展，安全评价作为现代先进安全生产管理模式的主要内容之一越来越受到重视。“安全第一、预防为主、综合治理”是我们党和国家始终不渝的安全生产方针，开展安全评价正是突出“安全第一”、体现“预防为主”的一项重要工作，是“安全第一、预防为主、综合治理”安全生产方针在企业安全生产中的具体体现。安全评价不仅能有效地提高企业和生产设备的本质安全程度，而且可以为各级应急管理部门的决策和监督检查提供有力的技术支撑。</w:t>
      </w:r>
    </w:p>
    <w:p w14:paraId="310D64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南华昆轻树脂瓦开发有限公司</w:t>
      </w:r>
      <w:r>
        <w:rPr>
          <w:rFonts w:hint="eastAsia" w:ascii="宋体" w:hAnsi="宋体" w:eastAsia="宋体" w:cs="宋体"/>
          <w:color w:val="000000" w:themeColor="text1"/>
          <w:sz w:val="28"/>
          <w:szCs w:val="28"/>
          <w:lang w:val="en-US" w:eastAsia="zh-CN"/>
          <w14:textFill>
            <w14:solidFill>
              <w14:schemeClr w14:val="tx1"/>
            </w14:solidFill>
          </w14:textFill>
        </w:rPr>
        <w:t>成立于2018</w:t>
      </w:r>
      <w:r>
        <w:rPr>
          <w:rFonts w:hint="eastAsia" w:ascii="宋体" w:hAnsi="宋体" w:eastAsia="宋体" w:cs="宋体"/>
          <w:color w:val="000000" w:themeColor="text1"/>
          <w:sz w:val="28"/>
          <w:szCs w:val="28"/>
          <w14:textFill>
            <w14:solidFill>
              <w14:schemeClr w14:val="tx1"/>
            </w14:solidFill>
          </w14:textFill>
        </w:rPr>
        <w:t>年03月2</w:t>
      </w: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项目位于</w:t>
      </w:r>
      <w:r>
        <w:rPr>
          <w:rFonts w:hint="eastAsia" w:ascii="宋体" w:hAnsi="宋体" w:eastAsia="宋体" w:cs="宋体"/>
          <w:color w:val="000000" w:themeColor="text1"/>
          <w:sz w:val="28"/>
          <w:szCs w:val="28"/>
          <w14:textFill>
            <w14:solidFill>
              <w14:schemeClr w14:val="tx1"/>
            </w14:solidFill>
          </w14:textFill>
        </w:rPr>
        <w:t>云南省楚雄州南华县老</w:t>
      </w:r>
      <w:r>
        <w:rPr>
          <w:rFonts w:hint="eastAsia" w:ascii="宋体" w:hAnsi="宋体" w:eastAsia="宋体" w:cs="宋体"/>
          <w:color w:val="000000" w:themeColor="text1"/>
          <w:sz w:val="28"/>
          <w:szCs w:val="28"/>
          <w:lang w:val="en-US" w:eastAsia="zh-CN"/>
          <w14:textFill>
            <w14:solidFill>
              <w14:schemeClr w14:val="tx1"/>
            </w14:solidFill>
          </w14:textFill>
        </w:rPr>
        <w:t>高坝工业园区。</w:t>
      </w:r>
      <w:r>
        <w:rPr>
          <w:rFonts w:hint="eastAsia" w:ascii="宋体" w:hAnsi="宋体" w:eastAsia="宋体" w:cs="宋体"/>
          <w:color w:val="000000" w:themeColor="text1"/>
          <w:sz w:val="28"/>
          <w:szCs w:val="28"/>
          <w:lang w:eastAsia="zh-CN"/>
          <w14:textFill>
            <w14:solidFill>
              <w14:schemeClr w14:val="tx1"/>
            </w14:solidFill>
          </w14:textFill>
        </w:rPr>
        <w:t>主要</w:t>
      </w:r>
      <w:r>
        <w:rPr>
          <w:rFonts w:hint="eastAsia" w:ascii="宋体" w:hAnsi="宋体" w:eastAsia="宋体" w:cs="宋体"/>
          <w:color w:val="000000" w:themeColor="text1"/>
          <w:sz w:val="28"/>
          <w:szCs w:val="28"/>
          <w:lang w:val="en-US" w:eastAsia="zh-CN"/>
          <w14:textFill>
            <w14:solidFill>
              <w14:schemeClr w14:val="tx1"/>
            </w14:solidFill>
          </w14:textFill>
        </w:rPr>
        <w:t>产品为</w:t>
      </w:r>
      <w:r>
        <w:rPr>
          <w:rFonts w:hint="eastAsia" w:ascii="宋体" w:hAnsi="宋体" w:eastAsia="宋体" w:cs="宋体"/>
          <w:color w:val="000000" w:themeColor="text1"/>
          <w:sz w:val="28"/>
          <w:szCs w:val="28"/>
          <w:lang w:eastAsia="zh-CN"/>
          <w14:textFill>
            <w14:solidFill>
              <w14:schemeClr w14:val="tx1"/>
            </w14:solidFill>
          </w14:textFill>
        </w:rPr>
        <w:t>水泥瓦的生产及销售。</w:t>
      </w:r>
      <w:r>
        <w:rPr>
          <w:rFonts w:hint="eastAsia" w:ascii="宋体" w:hAnsi="宋体" w:eastAsia="宋体" w:cs="宋体"/>
          <w:color w:val="000000" w:themeColor="text1"/>
          <w:sz w:val="28"/>
          <w:szCs w:val="28"/>
          <w:lang w:val="en-US" w:eastAsia="zh-CN" w:bidi="ar-SA"/>
          <w14:textFill>
            <w14:solidFill>
              <w14:schemeClr w14:val="tx1"/>
            </w14:solidFill>
          </w14:textFill>
        </w:rPr>
        <w:t>该企业目前在册人员共有</w:t>
      </w:r>
      <w:r>
        <w:rPr>
          <w:rFonts w:hint="eastAsia" w:hAnsi="宋体" w:cs="宋体"/>
          <w:color w:val="000000" w:themeColor="text1"/>
          <w:sz w:val="28"/>
          <w:szCs w:val="28"/>
          <w:lang w:val="en-US" w:eastAsia="zh-CN" w:bidi="ar-SA"/>
          <w14:textFill>
            <w14:solidFill>
              <w14:schemeClr w14:val="tx1"/>
            </w14:solidFill>
          </w14:textFill>
        </w:rPr>
        <w:t>15</w:t>
      </w:r>
      <w:r>
        <w:rPr>
          <w:rFonts w:hint="eastAsia" w:ascii="宋体" w:hAnsi="宋体" w:eastAsia="宋体" w:cs="宋体"/>
          <w:color w:val="000000" w:themeColor="text1"/>
          <w:sz w:val="28"/>
          <w:szCs w:val="28"/>
          <w:lang w:val="en-US" w:eastAsia="zh-CN" w:bidi="ar-SA"/>
          <w14:textFill>
            <w14:solidFill>
              <w14:schemeClr w14:val="tx1"/>
            </w14:solidFill>
          </w14:textFill>
        </w:rPr>
        <w:t>人。</w:t>
      </w:r>
    </w:p>
    <w:p w14:paraId="19F2453B">
      <w:pPr>
        <w:keepNext w:val="0"/>
        <w:keepLines w:val="0"/>
        <w:pageBreakBefore w:val="0"/>
        <w:widowControl w:val="0"/>
        <w:suppressAutoHyphens/>
        <w:kinsoku/>
        <w:wordWrap/>
        <w:overflowPunct/>
        <w:topLinePunct w:val="0"/>
        <w:autoSpaceDE/>
        <w:autoSpaceDN/>
        <w:bidi w:val="0"/>
        <w:adjustRightInd/>
        <w:snapToGrid/>
        <w:spacing w:line="500" w:lineRule="exact"/>
        <w:ind w:firstLine="560" w:firstLineChars="200"/>
        <w:jc w:val="center"/>
        <w:textAlignment w:val="auto"/>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根据《中华人民共和国安全生产法》等国家相关安全生产法律、法规的规定，并</w:t>
      </w:r>
      <w:r>
        <w:rPr>
          <w:rFonts w:hint="eastAsia" w:ascii="宋体" w:hAnsi="宋体" w:eastAsia="宋体" w:cs="宋体"/>
          <w:snapToGrid w:val="0"/>
          <w:color w:val="000000" w:themeColor="text1"/>
          <w:sz w:val="28"/>
          <w:szCs w:val="28"/>
          <w14:textFill>
            <w14:solidFill>
              <w14:schemeClr w14:val="tx1"/>
            </w14:solidFill>
          </w14:textFill>
        </w:rPr>
        <w:t>按照应急管理部门的要求，</w:t>
      </w:r>
      <w:r>
        <w:rPr>
          <w:rFonts w:hint="eastAsia" w:ascii="宋体" w:hAnsi="宋体" w:eastAsia="宋体" w:cs="宋体"/>
          <w:color w:val="000000" w:themeColor="text1"/>
          <w:sz w:val="28"/>
          <w:szCs w:val="28"/>
          <w14:textFill>
            <w14:solidFill>
              <w14:schemeClr w14:val="tx1"/>
            </w14:solidFill>
          </w14:textFill>
        </w:rPr>
        <w:t>该公司为</w:t>
      </w:r>
      <w:r>
        <w:rPr>
          <w:rFonts w:hint="eastAsia" w:ascii="宋体" w:hAnsi="宋体" w:eastAsia="宋体" w:cs="宋体"/>
          <w:snapToGrid w:val="0"/>
          <w:color w:val="000000" w:themeColor="text1"/>
          <w:sz w:val="28"/>
          <w:szCs w:val="28"/>
          <w14:textFill>
            <w14:solidFill>
              <w14:schemeClr w14:val="tx1"/>
            </w14:solidFill>
          </w14:textFill>
        </w:rPr>
        <w:t>了向应急管理门</w:t>
      </w:r>
    </w:p>
    <w:p w14:paraId="700E1F13">
      <w:pPr>
        <w:keepNext w:val="0"/>
        <w:keepLines w:val="0"/>
        <w:pageBreakBefore w:val="0"/>
        <w:widowControl w:val="0"/>
        <w:suppressAutoHyphens/>
        <w:kinsoku/>
        <w:wordWrap/>
        <w:overflowPunct/>
        <w:topLinePunct w:val="0"/>
        <w:autoSpaceDE/>
        <w:autoSpaceDN/>
        <w:bidi w:val="0"/>
        <w:adjustRightInd/>
        <w:snapToGrid/>
        <w:spacing w:line="500" w:lineRule="exact"/>
        <w:textAlignment w:val="auto"/>
        <w:rPr>
          <w:rFonts w:hint="eastAsia" w:ascii="宋体" w:hAnsi="宋体" w:eastAsia="宋体" w:cs="宋体"/>
          <w:snapToGrid w:val="0"/>
          <w:color w:val="000000" w:themeColor="text1"/>
          <w:sz w:val="28"/>
          <w:szCs w:val="28"/>
          <w14:textFill>
            <w14:solidFill>
              <w14:schemeClr w14:val="tx1"/>
            </w14:solidFill>
          </w14:textFill>
        </w:rPr>
      </w:pPr>
      <w:r>
        <w:rPr>
          <w:rFonts w:hint="eastAsia" w:ascii="宋体" w:hAnsi="宋体" w:eastAsia="宋体" w:cs="宋体"/>
          <w:snapToGrid w:val="0"/>
          <w:color w:val="000000" w:themeColor="text1"/>
          <w:sz w:val="28"/>
          <w:szCs w:val="28"/>
          <w14:textFill>
            <w14:solidFill>
              <w14:schemeClr w14:val="tx1"/>
            </w14:solidFill>
          </w14:textFill>
        </w:rPr>
        <w:t>提供安全监管依据，特</w:t>
      </w:r>
      <w:r>
        <w:rPr>
          <w:rFonts w:hint="eastAsia" w:ascii="宋体" w:hAnsi="宋体" w:eastAsia="宋体" w:cs="宋体"/>
          <w:color w:val="000000" w:themeColor="text1"/>
          <w:sz w:val="28"/>
          <w:szCs w:val="28"/>
          <w14:textFill>
            <w14:solidFill>
              <w14:schemeClr w14:val="tx1"/>
            </w14:solidFill>
          </w14:textFill>
        </w:rPr>
        <w:t>委托昭通市鼎安科技有限公司</w:t>
      </w:r>
      <w:r>
        <w:rPr>
          <w:rFonts w:hint="eastAsia" w:ascii="宋体" w:hAnsi="宋体" w:eastAsia="宋体" w:cs="宋体"/>
          <w:snapToGrid w:val="0"/>
          <w:color w:val="000000" w:themeColor="text1"/>
          <w:sz w:val="28"/>
          <w:szCs w:val="28"/>
          <w14:textFill>
            <w14:solidFill>
              <w14:schemeClr w14:val="tx1"/>
            </w14:solidFill>
          </w14:textFill>
        </w:rPr>
        <w:t>承担该公司的安</w:t>
      </w:r>
      <w:r>
        <w:rPr>
          <w:rFonts w:hint="eastAsia" w:ascii="宋体" w:hAnsi="宋体" w:eastAsia="宋体" w:cs="宋体"/>
          <w:color w:val="000000" w:themeColor="text1"/>
          <w:sz w:val="28"/>
          <w:szCs w:val="28"/>
          <w14:textFill>
            <w14:solidFill>
              <w14:schemeClr w14:val="tx1"/>
            </w14:solidFill>
          </w14:textFill>
        </w:rPr>
        <w:t>全</w:t>
      </w:r>
      <w:r>
        <w:rPr>
          <w:rFonts w:hint="eastAsia" w:ascii="宋体" w:hAnsi="宋体" w:eastAsia="宋体" w:cs="宋体"/>
          <w:color w:val="000000" w:themeColor="text1"/>
          <w:sz w:val="28"/>
          <w:szCs w:val="28"/>
          <w:lang w:val="en-US" w:eastAsia="zh-CN"/>
          <w14:textFill>
            <w14:solidFill>
              <w14:schemeClr w14:val="tx1"/>
            </w14:solidFill>
          </w14:textFill>
        </w:rPr>
        <w:t>现状</w:t>
      </w:r>
      <w:r>
        <w:rPr>
          <w:rFonts w:hint="eastAsia" w:ascii="宋体" w:hAnsi="宋体" w:eastAsia="宋体" w:cs="宋体"/>
          <w:color w:val="000000" w:themeColor="text1"/>
          <w:sz w:val="28"/>
          <w:szCs w:val="28"/>
          <w14:textFill>
            <w14:solidFill>
              <w14:schemeClr w14:val="tx1"/>
            </w14:solidFill>
          </w14:textFill>
        </w:rPr>
        <w:t>评价工作。</w:t>
      </w:r>
    </w:p>
    <w:p w14:paraId="5E0CB3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接受委托后，我公司组成了安全评价组，评价组备齐了与企业有关安全评价所需的设备、工具，收集国内外相关法律法规、标准、规章、规范等资料；根据企业的具体情况，辨识和分析危险、有害因素，确定其存在的部位、方式，以及发生作用的途径和变化规律；根据企业存在的危险、有害因素的类别和生产工艺、场所划分安全评价单元；根据评价单元的特性，选择合理的评价方法，对评价对象发生事故的可能性及其严重程度进行定性定量评价；依据危险、有害因素辨识结果与定性定量评价结果，遵循针对性、技术可行性、经济合理性的原则，提出消除或减弱危险、有害因素的技术和管理对策措施建议；概括评价结果，给出评价对象在评价时的条件下与国家有关法律法规、标准、规章、规范的符合性结论，给出危险、有害因素引发各类事故的可能性及其严重程度的预测性结论，明确评价对象是否具备安全生产条件的结论；评价组经过现场情况调查和对相关资料的调研，按照《安全评价通则》的要求，编写了该项目安全现状评价报告。</w:t>
      </w:r>
    </w:p>
    <w:p w14:paraId="327BD4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sectPr>
          <w:footerReference r:id="rId5" w:type="default"/>
          <w:pgSz w:w="11906" w:h="16838"/>
          <w:pgMar w:top="1587" w:right="1701" w:bottom="1701" w:left="1701" w:header="851" w:footer="992" w:gutter="0"/>
          <w:pgNumType w:fmt="lowerRoman" w:start="1"/>
          <w:cols w:space="720" w:num="1"/>
          <w:docGrid w:type="lines" w:linePitch="330" w:charSpace="0"/>
        </w:sectPr>
      </w:pPr>
      <w:r>
        <w:rPr>
          <w:rFonts w:hint="eastAsia" w:ascii="宋体" w:hAnsi="宋体" w:eastAsia="宋体" w:cs="宋体"/>
          <w:color w:val="000000" w:themeColor="text1"/>
          <w:sz w:val="28"/>
          <w:szCs w:val="28"/>
          <w14:textFill>
            <w14:solidFill>
              <w14:schemeClr w14:val="tx1"/>
            </w14:solidFill>
          </w14:textFill>
        </w:rPr>
        <w:t>在本</w:t>
      </w:r>
      <w:r>
        <w:rPr>
          <w:rFonts w:hint="eastAsia" w:ascii="宋体" w:hAnsi="宋体" w:eastAsia="宋体" w:cs="宋体"/>
          <w:color w:val="000000" w:themeColor="text1"/>
          <w:sz w:val="28"/>
          <w:szCs w:val="28"/>
          <w:lang w:val="en-US" w:eastAsia="zh-CN"/>
          <w14:textFill>
            <w14:solidFill>
              <w14:schemeClr w14:val="tx1"/>
            </w14:solidFill>
          </w14:textFill>
        </w:rPr>
        <w:t>评价</w:t>
      </w:r>
      <w:r>
        <w:rPr>
          <w:rFonts w:hint="eastAsia" w:ascii="宋体" w:hAnsi="宋体" w:eastAsia="宋体" w:cs="宋体"/>
          <w:color w:val="000000" w:themeColor="text1"/>
          <w:sz w:val="28"/>
          <w:szCs w:val="28"/>
          <w14:textFill>
            <w14:solidFill>
              <w14:schemeClr w14:val="tx1"/>
            </w14:solidFill>
          </w14:textFill>
        </w:rPr>
        <w:t>过程中，得到楚雄州应急管理局、</w:t>
      </w:r>
      <w:r>
        <w:rPr>
          <w:rFonts w:hint="eastAsia" w:ascii="宋体" w:hAnsi="宋体" w:eastAsia="宋体" w:cs="宋体"/>
          <w:color w:val="000000" w:themeColor="text1"/>
          <w:sz w:val="28"/>
          <w:szCs w:val="28"/>
          <w:lang w:val="en-US" w:eastAsia="zh-CN"/>
          <w14:textFill>
            <w14:solidFill>
              <w14:schemeClr w14:val="tx1"/>
            </w14:solidFill>
          </w14:textFill>
        </w:rPr>
        <w:t>南</w:t>
      </w:r>
      <w:r>
        <w:rPr>
          <w:rFonts w:hint="eastAsia" w:hAnsi="宋体" w:cs="宋体"/>
          <w:color w:val="000000" w:themeColor="text1"/>
          <w:sz w:val="28"/>
          <w:szCs w:val="28"/>
          <w:lang w:val="en-US" w:eastAsia="zh-CN"/>
          <w14:textFill>
            <w14:solidFill>
              <w14:schemeClr w14:val="tx1"/>
            </w14:solidFill>
          </w14:textFill>
        </w:rPr>
        <w:t>华</w:t>
      </w:r>
      <w:r>
        <w:rPr>
          <w:rFonts w:hint="eastAsia" w:ascii="宋体" w:hAnsi="宋体" w:eastAsia="宋体" w:cs="宋体"/>
          <w:color w:val="000000" w:themeColor="text1"/>
          <w:sz w:val="28"/>
          <w:szCs w:val="28"/>
          <w:lang w:val="en-US" w:eastAsia="zh-CN"/>
          <w14:textFill>
            <w14:solidFill>
              <w14:schemeClr w14:val="tx1"/>
            </w14:solidFill>
          </w14:textFill>
        </w:rPr>
        <w:t>县应急管理局、</w:t>
      </w:r>
      <w:r>
        <w:rPr>
          <w:rFonts w:hint="eastAsia" w:ascii="宋体" w:hAnsi="宋体" w:eastAsia="宋体" w:cs="宋体"/>
          <w:color w:val="000000" w:themeColor="text1"/>
          <w:sz w:val="28"/>
          <w:szCs w:val="28"/>
          <w14:textFill>
            <w14:solidFill>
              <w14:schemeClr w14:val="tx1"/>
            </w14:solidFill>
          </w14:textFill>
        </w:rPr>
        <w:t>南华昆轻树脂瓦开发有限公司有关领导和技术人员的大力支持，同时引用了一些专家学者的研究成果和技术资料，在此一并表示感谢。</w:t>
      </w:r>
    </w:p>
    <w:p w14:paraId="2A45E3DF">
      <w:pPr>
        <w:jc w:val="center"/>
        <w:rPr>
          <w:rFonts w:hint="eastAsia" w:ascii="宋体" w:hAnsi="宋体" w:eastAsia="宋体" w:cs="宋体"/>
          <w:b/>
          <w:bCs/>
          <w:color w:val="000000" w:themeColor="text1"/>
          <w:sz w:val="24"/>
          <w:szCs w:val="24"/>
          <w14:textFill>
            <w14:solidFill>
              <w14:schemeClr w14:val="tx1"/>
            </w14:solidFill>
          </w14:textFill>
        </w:rPr>
      </w:pPr>
      <w:bookmarkStart w:id="10" w:name="_Toc333247854"/>
      <w:bookmarkStart w:id="11" w:name="_Toc17203"/>
      <w:bookmarkStart w:id="12" w:name="_Toc5079"/>
      <w:bookmarkStart w:id="13" w:name="_Toc326085690"/>
      <w:bookmarkStart w:id="14" w:name="_Toc13709"/>
      <w:bookmarkStart w:id="15" w:name="_Toc331164319"/>
      <w:r>
        <w:rPr>
          <w:rFonts w:ascii="Times New Roman"/>
          <w:b/>
          <w:bCs/>
          <w:color w:val="000000" w:themeColor="text1"/>
          <w:sz w:val="36"/>
          <w:szCs w:val="36"/>
          <w14:textFill>
            <w14:solidFill>
              <w14:schemeClr w14:val="tx1"/>
            </w14:solidFill>
          </w14:textFill>
        </w:rPr>
        <w:t>目  录</w:t>
      </w:r>
      <w:bookmarkEnd w:id="10"/>
      <w:bookmarkEnd w:id="11"/>
      <w:bookmarkEnd w:id="12"/>
      <w:bookmarkEnd w:id="13"/>
      <w:bookmarkEnd w:id="14"/>
      <w:bookmarkEnd w:id="15"/>
      <w:bookmarkStart w:id="16" w:name="_Toc313453418"/>
      <w:bookmarkStart w:id="17" w:name="_Toc335926123"/>
    </w:p>
    <w:p w14:paraId="4B19954E">
      <w:pPr>
        <w:pStyle w:val="36"/>
        <w:tabs>
          <w:tab w:val="right" w:leader="dot" w:pos="8504"/>
        </w:tabs>
        <w:rPr>
          <w:rFonts w:hint="eastAsia" w:ascii="宋体" w:hAnsi="宋体" w:eastAsia="宋体" w:cs="宋体"/>
        </w:rPr>
      </w:pPr>
      <w:r>
        <w:rPr>
          <w:rFonts w:hint="eastAsia" w:ascii="宋体" w:hAnsi="宋体" w:eastAsia="宋体" w:cs="宋体"/>
          <w:color w:val="000000" w:themeColor="text1"/>
          <w:sz w:val="24"/>
          <w:szCs w:val="24"/>
          <w14:textFill>
            <w14:solidFill>
              <w14:schemeClr w14:val="tx1"/>
            </w14:solidFill>
          </w14:textFill>
        </w:rPr>
        <w:fldChar w:fldCharType="begin"/>
      </w:r>
      <w:r>
        <w:rPr>
          <w:rFonts w:hint="eastAsia" w:ascii="宋体" w:hAnsi="宋体" w:eastAsia="宋体" w:cs="宋体"/>
          <w:color w:val="000000" w:themeColor="text1"/>
          <w:sz w:val="24"/>
          <w:szCs w:val="24"/>
          <w14:textFill>
            <w14:solidFill>
              <w14:schemeClr w14:val="tx1"/>
            </w14:solidFill>
          </w14:textFill>
        </w:rPr>
        <w:instrText xml:space="preserve">TOC \o "1-3" \h  \u </w:instrText>
      </w:r>
      <w:r>
        <w:rPr>
          <w:rFonts w:hint="eastAsia" w:ascii="宋体" w:hAnsi="宋体" w:eastAsia="宋体" w:cs="宋体"/>
          <w:color w:val="000000" w:themeColor="text1"/>
          <w:sz w:val="24"/>
          <w:szCs w:val="24"/>
          <w14:textFill>
            <w14:solidFill>
              <w14:schemeClr w14:val="tx1"/>
            </w14:solidFill>
          </w14:textFill>
        </w:rPr>
        <w:fldChar w:fldCharType="separate"/>
      </w:r>
      <w:r>
        <w:rPr>
          <w:rFonts w:hint="eastAsia" w:ascii="宋体" w:hAnsi="宋体" w:eastAsia="宋体" w:cs="宋体"/>
          <w:color w:val="000000" w:themeColor="text1"/>
          <w:szCs w:val="24"/>
          <w14:textFill>
            <w14:solidFill>
              <w14:schemeClr w14:val="tx1"/>
            </w14:solidFill>
          </w14:textFill>
        </w:rPr>
        <w:fldChar w:fldCharType="begin"/>
      </w:r>
      <w:r>
        <w:rPr>
          <w:rFonts w:hint="eastAsia" w:ascii="宋体" w:hAnsi="宋体" w:eastAsia="宋体" w:cs="宋体"/>
          <w:szCs w:val="24"/>
        </w:rPr>
        <w:instrText xml:space="preserve"> HYPERLINK \l _Toc9104 </w:instrText>
      </w:r>
      <w:r>
        <w:rPr>
          <w:rFonts w:hint="eastAsia" w:ascii="宋体" w:hAnsi="宋体" w:eastAsia="宋体" w:cs="宋体"/>
          <w:szCs w:val="24"/>
        </w:rPr>
        <w:fldChar w:fldCharType="separate"/>
      </w:r>
      <w:r>
        <w:rPr>
          <w:rFonts w:hint="eastAsia" w:ascii="宋体" w:hAnsi="宋体" w:eastAsia="宋体" w:cs="宋体"/>
        </w:rPr>
        <w:t>第1章  编制说明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_Toc9104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color w:val="000000" w:themeColor="text1"/>
          <w:szCs w:val="24"/>
          <w14:textFill>
            <w14:solidFill>
              <w14:schemeClr w14:val="tx1"/>
            </w14:solidFill>
          </w14:textFill>
        </w:rPr>
        <w:fldChar w:fldCharType="end"/>
      </w:r>
    </w:p>
    <w:p w14:paraId="4140DA08">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_Toc20352 </w:instrText>
      </w:r>
      <w:r>
        <w:rPr>
          <w:rFonts w:hint="eastAsia" w:ascii="宋体" w:hAnsi="宋体" w:eastAsia="宋体" w:cs="宋体"/>
          <w:kern w:val="2"/>
          <w:szCs w:val="24"/>
        </w:rPr>
        <w:fldChar w:fldCharType="separate"/>
      </w:r>
      <w:r>
        <w:rPr>
          <w:rFonts w:hint="eastAsia" w:ascii="宋体" w:hAnsi="宋体" w:eastAsia="宋体" w:cs="宋体"/>
        </w:rPr>
        <w:t>1.1安全评价的目的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_Toc20352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DFB0069">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_Toc3416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lang w:val="en-US" w:eastAsia="zh-CN"/>
        </w:rPr>
        <w:t>2</w:t>
      </w:r>
      <w:r>
        <w:rPr>
          <w:rFonts w:hint="eastAsia" w:ascii="宋体" w:hAnsi="宋体" w:eastAsia="宋体" w:cs="宋体"/>
        </w:rPr>
        <w:t>评价对象及范围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_Toc3416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1BA089F">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_Toc19336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安全评价依据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_Toc19336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8272ECC">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_Toc13245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szCs w:val="36"/>
        </w:rPr>
        <w:t>.</w:t>
      </w:r>
      <w:r>
        <w:rPr>
          <w:rFonts w:hint="eastAsia" w:ascii="宋体" w:hAnsi="宋体" w:eastAsia="宋体" w:cs="宋体"/>
          <w:lang w:val="en-US" w:eastAsia="zh-CN"/>
        </w:rPr>
        <w:t>3</w:t>
      </w:r>
      <w:r>
        <w:rPr>
          <w:rFonts w:hint="eastAsia" w:ascii="宋体" w:hAnsi="宋体" w:eastAsia="宋体" w:cs="宋体"/>
          <w:szCs w:val="36"/>
        </w:rPr>
        <w:t>.</w:t>
      </w:r>
      <w:r>
        <w:rPr>
          <w:rFonts w:hint="eastAsia" w:ascii="宋体" w:hAnsi="宋体" w:eastAsia="宋体" w:cs="宋体"/>
        </w:rPr>
        <w:t>1法律法规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_Toc13245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41E5C9F">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_Toc13574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.2行政法规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_Toc13574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18D4BDA">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_Toc23779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.3部门规章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_Toc23779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5711286">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_Toc5584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.4地方有关法规文件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_Toc5584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D349A09">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_Toc32362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.5国家标准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_Toc32362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8004D0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_Toc23461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.6行业标准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_Toc23461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B370ADF">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_Toc19277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.7 建设项目合法证明文件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_Toc19277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DD41992">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_Toc16639 </w:instrText>
      </w:r>
      <w:r>
        <w:rPr>
          <w:rFonts w:hint="eastAsia" w:ascii="宋体" w:hAnsi="宋体" w:eastAsia="宋体" w:cs="宋体"/>
          <w:kern w:val="2"/>
          <w:szCs w:val="24"/>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.8</w:t>
      </w:r>
      <w:r>
        <w:rPr>
          <w:rFonts w:hint="eastAsia" w:ascii="宋体" w:hAnsi="宋体" w:eastAsia="宋体" w:cs="宋体"/>
          <w:lang w:val="en-US" w:eastAsia="zh-CN"/>
        </w:rPr>
        <w:t>其他相关参考</w:t>
      </w:r>
      <w:r>
        <w:rPr>
          <w:rFonts w:hint="eastAsia" w:ascii="宋体" w:hAnsi="宋体" w:eastAsia="宋体" w:cs="宋体"/>
        </w:rPr>
        <w:t>资料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_Toc16639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3BDEAA3">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_Toc16855 </w:instrText>
      </w:r>
      <w:r>
        <w:rPr>
          <w:rFonts w:hint="eastAsia" w:ascii="宋体" w:hAnsi="宋体" w:eastAsia="宋体" w:cs="宋体"/>
          <w:kern w:val="2"/>
          <w:szCs w:val="24"/>
        </w:rPr>
        <w:fldChar w:fldCharType="separate"/>
      </w:r>
      <w:r>
        <w:rPr>
          <w:rFonts w:hint="eastAsia" w:ascii="宋体" w:hAnsi="宋体" w:eastAsia="宋体" w:cs="宋体"/>
        </w:rPr>
        <w:t>1.4评价原则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_Toc16855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A6819CA">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_Toc18869 </w:instrText>
      </w:r>
      <w:r>
        <w:rPr>
          <w:rFonts w:hint="eastAsia" w:ascii="宋体" w:hAnsi="宋体" w:eastAsia="宋体" w:cs="宋体"/>
          <w:kern w:val="2"/>
          <w:szCs w:val="24"/>
        </w:rPr>
        <w:fldChar w:fldCharType="separate"/>
      </w:r>
      <w:r>
        <w:rPr>
          <w:rFonts w:hint="eastAsia" w:ascii="宋体" w:hAnsi="宋体" w:eastAsia="宋体" w:cs="宋体"/>
        </w:rPr>
        <w:t>1.5评价程序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_Toc18869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DBA30AA">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_Toc16988 </w:instrText>
      </w:r>
      <w:r>
        <w:rPr>
          <w:rFonts w:hint="eastAsia" w:ascii="宋体" w:hAnsi="宋体" w:eastAsia="宋体" w:cs="宋体"/>
          <w:kern w:val="2"/>
          <w:szCs w:val="24"/>
        </w:rPr>
        <w:fldChar w:fldCharType="separate"/>
      </w:r>
      <w:r>
        <w:rPr>
          <w:rFonts w:hint="eastAsia" w:ascii="宋体" w:hAnsi="宋体" w:eastAsia="宋体" w:cs="宋体"/>
        </w:rPr>
        <w:t>1.6评价基准日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_Toc16988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26928EF">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_Toc22869 </w:instrText>
      </w:r>
      <w:r>
        <w:rPr>
          <w:rFonts w:hint="eastAsia" w:ascii="宋体" w:hAnsi="宋体" w:eastAsia="宋体" w:cs="宋体"/>
          <w:kern w:val="2"/>
          <w:szCs w:val="24"/>
        </w:rPr>
        <w:fldChar w:fldCharType="separate"/>
      </w:r>
      <w:r>
        <w:rPr>
          <w:rFonts w:hint="eastAsia" w:ascii="宋体" w:hAnsi="宋体" w:eastAsia="宋体" w:cs="宋体"/>
        </w:rPr>
        <w:t>1.7评价报告使用权声明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_Toc22869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0E56C5C">
      <w:pPr>
        <w:pStyle w:val="36"/>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_Toc15504 </w:instrText>
      </w:r>
      <w:r>
        <w:rPr>
          <w:rFonts w:hint="eastAsia" w:ascii="宋体" w:hAnsi="宋体" w:eastAsia="宋体" w:cs="宋体"/>
          <w:kern w:val="2"/>
          <w:szCs w:val="24"/>
        </w:rPr>
        <w:fldChar w:fldCharType="separate"/>
      </w:r>
      <w:r>
        <w:rPr>
          <w:rFonts w:hint="eastAsia" w:ascii="宋体" w:hAnsi="宋体" w:eastAsia="宋体" w:cs="宋体"/>
        </w:rPr>
        <w:t>第2章 企业及项目概况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_Toc15504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447606D">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_Toc22940 </w:instrText>
      </w:r>
      <w:r>
        <w:rPr>
          <w:rFonts w:hint="eastAsia" w:ascii="宋体" w:hAnsi="宋体" w:eastAsia="宋体" w:cs="宋体"/>
          <w:kern w:val="2"/>
          <w:szCs w:val="24"/>
        </w:rPr>
        <w:fldChar w:fldCharType="separate"/>
      </w:r>
      <w:r>
        <w:rPr>
          <w:rFonts w:hint="eastAsia" w:ascii="宋体" w:hAnsi="宋体" w:eastAsia="宋体" w:cs="宋体"/>
        </w:rPr>
        <w:t>2.1企业</w:t>
      </w:r>
      <w:r>
        <w:rPr>
          <w:rFonts w:hint="eastAsia" w:ascii="宋体" w:hAnsi="宋体" w:eastAsia="宋体" w:cs="宋体"/>
          <w:lang w:val="en-US" w:eastAsia="zh-CN"/>
        </w:rPr>
        <w:t>概况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_Toc22940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3D0E9B4">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_Toc12464 </w:instrText>
      </w:r>
      <w:r>
        <w:rPr>
          <w:rFonts w:hint="eastAsia" w:ascii="宋体" w:hAnsi="宋体" w:eastAsia="宋体" w:cs="宋体"/>
          <w:kern w:val="2"/>
          <w:szCs w:val="24"/>
        </w:rPr>
        <w:fldChar w:fldCharType="separate"/>
      </w:r>
      <w:r>
        <w:rPr>
          <w:rFonts w:hint="eastAsia" w:ascii="宋体" w:hAnsi="宋体" w:eastAsia="宋体" w:cs="宋体"/>
        </w:rPr>
        <w:t>2.2项目概况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_Toc12464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9B077C5">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_Toc22912 </w:instrText>
      </w:r>
      <w:r>
        <w:rPr>
          <w:rFonts w:hint="eastAsia" w:ascii="宋体" w:hAnsi="宋体" w:eastAsia="宋体" w:cs="宋体"/>
          <w:kern w:val="2"/>
          <w:szCs w:val="24"/>
        </w:rPr>
        <w:fldChar w:fldCharType="separate"/>
      </w:r>
      <w:r>
        <w:rPr>
          <w:rFonts w:hint="eastAsia" w:ascii="宋体" w:hAnsi="宋体" w:eastAsia="宋体" w:cs="宋体"/>
        </w:rPr>
        <w:t>2.2.1项目</w:t>
      </w:r>
      <w:r>
        <w:rPr>
          <w:rFonts w:hint="eastAsia" w:ascii="宋体" w:hAnsi="宋体" w:eastAsia="宋体" w:cs="宋体"/>
          <w:lang w:val="en-US" w:eastAsia="zh-CN"/>
        </w:rPr>
        <w:t>简介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_Toc22912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8391E5B">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_Toc27354 </w:instrText>
      </w:r>
      <w:r>
        <w:rPr>
          <w:rFonts w:hint="eastAsia" w:ascii="宋体" w:hAnsi="宋体" w:eastAsia="宋体" w:cs="宋体"/>
          <w:kern w:val="2"/>
          <w:szCs w:val="24"/>
        </w:rPr>
        <w:fldChar w:fldCharType="separate"/>
      </w:r>
      <w:r>
        <w:rPr>
          <w:rFonts w:hint="eastAsia" w:ascii="宋体" w:hAnsi="宋体" w:eastAsia="宋体" w:cs="宋体"/>
        </w:rPr>
        <w:t>2.2.</w:t>
      </w:r>
      <w:r>
        <w:rPr>
          <w:rFonts w:hint="eastAsia" w:ascii="宋体" w:hAnsi="宋体" w:eastAsia="宋体" w:cs="宋体"/>
          <w:lang w:val="en-US" w:eastAsia="zh-CN"/>
        </w:rPr>
        <w:t>2</w:t>
      </w:r>
      <w:r>
        <w:rPr>
          <w:rFonts w:hint="eastAsia" w:ascii="宋体" w:hAnsi="宋体" w:eastAsia="宋体" w:cs="宋体"/>
        </w:rPr>
        <w:t>项目地理位置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_Toc27354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D98FBA7">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_Toc4510 </w:instrText>
      </w:r>
      <w:r>
        <w:rPr>
          <w:rFonts w:hint="eastAsia" w:ascii="宋体" w:hAnsi="宋体" w:eastAsia="宋体" w:cs="宋体"/>
          <w:kern w:val="2"/>
          <w:szCs w:val="24"/>
        </w:rPr>
        <w:fldChar w:fldCharType="separate"/>
      </w:r>
      <w:r>
        <w:rPr>
          <w:rFonts w:hint="eastAsia" w:ascii="宋体" w:hAnsi="宋体" w:eastAsia="宋体" w:cs="宋体"/>
        </w:rPr>
        <w:t>2.2.</w:t>
      </w:r>
      <w:r>
        <w:rPr>
          <w:rFonts w:hint="eastAsia" w:ascii="宋体" w:hAnsi="宋体" w:eastAsia="宋体" w:cs="宋体"/>
          <w:lang w:val="en-US" w:eastAsia="zh-CN"/>
        </w:rPr>
        <w:t>3</w:t>
      </w:r>
      <w:r>
        <w:rPr>
          <w:rFonts w:hint="eastAsia" w:ascii="宋体" w:hAnsi="宋体" w:eastAsia="宋体" w:cs="宋体"/>
        </w:rPr>
        <w:t>项目周边情况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_Toc4510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FCEA176">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_Toc21065 </w:instrText>
      </w:r>
      <w:r>
        <w:rPr>
          <w:rFonts w:hint="eastAsia" w:ascii="宋体" w:hAnsi="宋体" w:eastAsia="宋体" w:cs="宋体"/>
          <w:kern w:val="2"/>
          <w:szCs w:val="24"/>
        </w:rPr>
        <w:fldChar w:fldCharType="separate"/>
      </w:r>
      <w:r>
        <w:rPr>
          <w:rFonts w:hint="eastAsia" w:ascii="宋体" w:hAnsi="宋体" w:eastAsia="宋体" w:cs="宋体"/>
        </w:rPr>
        <w:t>2.2.</w:t>
      </w:r>
      <w:r>
        <w:rPr>
          <w:rFonts w:hint="eastAsia" w:ascii="宋体" w:hAnsi="宋体" w:eastAsia="宋体" w:cs="宋体"/>
          <w:lang w:val="en-US" w:eastAsia="zh-CN"/>
        </w:rPr>
        <w:t>4</w:t>
      </w:r>
      <w:r>
        <w:rPr>
          <w:rFonts w:hint="eastAsia" w:ascii="宋体" w:hAnsi="宋体" w:eastAsia="宋体" w:cs="宋体"/>
        </w:rPr>
        <w:t>气象条件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_Toc21065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85BC4AF">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_Toc24850 </w:instrText>
      </w:r>
      <w:r>
        <w:rPr>
          <w:rFonts w:hint="eastAsia" w:ascii="宋体" w:hAnsi="宋体" w:eastAsia="宋体" w:cs="宋体"/>
          <w:kern w:val="2"/>
          <w:szCs w:val="24"/>
        </w:rPr>
        <w:fldChar w:fldCharType="separate"/>
      </w:r>
      <w:r>
        <w:rPr>
          <w:rFonts w:hint="eastAsia" w:ascii="宋体" w:hAnsi="宋体" w:eastAsia="宋体" w:cs="宋体"/>
        </w:rPr>
        <w:t>2.2.</w:t>
      </w:r>
      <w:r>
        <w:rPr>
          <w:rFonts w:hint="eastAsia" w:ascii="宋体" w:hAnsi="宋体" w:eastAsia="宋体" w:cs="宋体"/>
          <w:lang w:val="en-US" w:eastAsia="zh-CN"/>
        </w:rPr>
        <w:t>5</w:t>
      </w:r>
      <w:r>
        <w:rPr>
          <w:rFonts w:hint="eastAsia" w:ascii="宋体" w:hAnsi="宋体" w:eastAsia="宋体" w:cs="宋体"/>
        </w:rPr>
        <w:t>地质条件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_Toc24850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5A3697A">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_Toc13136 </w:instrText>
      </w:r>
      <w:r>
        <w:rPr>
          <w:rFonts w:hint="eastAsia" w:ascii="宋体" w:hAnsi="宋体" w:eastAsia="宋体" w:cs="宋体"/>
          <w:kern w:val="2"/>
          <w:szCs w:val="24"/>
        </w:rPr>
        <w:fldChar w:fldCharType="separate"/>
      </w:r>
      <w:r>
        <w:rPr>
          <w:rFonts w:hint="eastAsia" w:ascii="宋体" w:hAnsi="宋体" w:eastAsia="宋体" w:cs="宋体"/>
        </w:rPr>
        <w:t>2.3总图布置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_Toc13136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E326AB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_Toc11767 </w:instrText>
      </w:r>
      <w:r>
        <w:rPr>
          <w:rFonts w:hint="eastAsia" w:ascii="宋体" w:hAnsi="宋体" w:eastAsia="宋体" w:cs="宋体"/>
          <w:kern w:val="2"/>
          <w:szCs w:val="24"/>
        </w:rPr>
        <w:fldChar w:fldCharType="separate"/>
      </w:r>
      <w:r>
        <w:rPr>
          <w:rFonts w:hint="eastAsia" w:ascii="宋体" w:hAnsi="宋体" w:eastAsia="宋体" w:cs="宋体"/>
        </w:rPr>
        <w:t>2.3.1总平面布置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_Toc11767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63557A2">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_Toc25161 </w:instrText>
      </w:r>
      <w:r>
        <w:rPr>
          <w:rFonts w:hint="eastAsia" w:ascii="宋体" w:hAnsi="宋体" w:eastAsia="宋体" w:cs="宋体"/>
          <w:kern w:val="2"/>
          <w:szCs w:val="24"/>
        </w:rPr>
        <w:fldChar w:fldCharType="separate"/>
      </w:r>
      <w:r>
        <w:rPr>
          <w:rFonts w:hint="eastAsia" w:ascii="宋体" w:hAnsi="宋体" w:eastAsia="宋体" w:cs="宋体"/>
        </w:rPr>
        <w:t>2.3.2</w:t>
      </w:r>
      <w:r>
        <w:rPr>
          <w:rFonts w:hint="eastAsia" w:ascii="宋体" w:hAnsi="宋体" w:eastAsia="宋体" w:cs="宋体"/>
          <w:lang w:val="en-US" w:eastAsia="zh-CN"/>
        </w:rPr>
        <w:t>厂区道路及出入口</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_Toc25161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0103E9A">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_Toc12081 </w:instrText>
      </w:r>
      <w:r>
        <w:rPr>
          <w:rFonts w:hint="eastAsia" w:ascii="宋体" w:hAnsi="宋体" w:eastAsia="宋体" w:cs="宋体"/>
          <w:kern w:val="2"/>
          <w:szCs w:val="24"/>
        </w:rPr>
        <w:fldChar w:fldCharType="separate"/>
      </w:r>
      <w:r>
        <w:rPr>
          <w:rFonts w:hint="eastAsia" w:ascii="宋体" w:hAnsi="宋体" w:eastAsia="宋体" w:cs="宋体"/>
        </w:rPr>
        <w:t>2.3.3运输方式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_Toc12081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DA96798">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_Toc18126 </w:instrText>
      </w:r>
      <w:r>
        <w:rPr>
          <w:rFonts w:hint="eastAsia" w:ascii="宋体" w:hAnsi="宋体" w:eastAsia="宋体" w:cs="宋体"/>
          <w:kern w:val="2"/>
          <w:szCs w:val="24"/>
        </w:rPr>
        <w:fldChar w:fldCharType="separate"/>
      </w:r>
      <w:r>
        <w:rPr>
          <w:rFonts w:hint="eastAsia" w:ascii="宋体" w:hAnsi="宋体" w:eastAsia="宋体" w:cs="宋体"/>
        </w:rPr>
        <w:t>2.4主要原辅材料和产品</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_Toc18126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77D58A5">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_Toc4391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5</w:t>
      </w:r>
      <w:r>
        <w:rPr>
          <w:rFonts w:hint="eastAsia" w:ascii="宋体" w:hAnsi="宋体" w:eastAsia="宋体" w:cs="宋体"/>
        </w:rPr>
        <w:t>生产工艺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_Toc4391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08F5126">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_Toc6651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5</w:t>
      </w:r>
      <w:r>
        <w:rPr>
          <w:rFonts w:hint="eastAsia" w:ascii="宋体" w:hAnsi="宋体" w:eastAsia="宋体" w:cs="宋体"/>
        </w:rPr>
        <w:t>.</w:t>
      </w:r>
      <w:r>
        <w:rPr>
          <w:rFonts w:hint="eastAsia" w:ascii="宋体" w:hAnsi="宋体" w:eastAsia="宋体" w:cs="宋体"/>
          <w:lang w:val="en-US" w:eastAsia="zh-CN"/>
        </w:rPr>
        <w:t>1</w:t>
      </w:r>
      <w:r>
        <w:rPr>
          <w:rFonts w:hint="eastAsia" w:ascii="宋体" w:hAnsi="宋体" w:eastAsia="宋体" w:cs="宋体"/>
        </w:rPr>
        <w:t>主要生产设备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_Toc6651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84FF981">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_Toc13712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5</w:t>
      </w:r>
      <w:r>
        <w:rPr>
          <w:rFonts w:hint="eastAsia" w:ascii="宋体" w:hAnsi="宋体" w:eastAsia="宋体" w:cs="宋体"/>
        </w:rPr>
        <w:t>.</w:t>
      </w:r>
      <w:r>
        <w:rPr>
          <w:rFonts w:hint="eastAsia" w:ascii="宋体" w:hAnsi="宋体" w:eastAsia="宋体" w:cs="宋体"/>
          <w:lang w:val="en-US" w:eastAsia="zh-CN"/>
        </w:rPr>
        <w:t>2</w:t>
      </w:r>
      <w:r>
        <w:rPr>
          <w:rFonts w:hint="eastAsia" w:ascii="宋体" w:hAnsi="宋体" w:eastAsia="宋体" w:cs="宋体"/>
        </w:rPr>
        <w:t>特种设备及强制检验设备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_Toc13712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710EE3F">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_Toc14222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公用工程及辅助工程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_Toc14222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154170D">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_Toc3726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.1给排水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_Toc3726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3671B16">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_Toc8469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.2供配电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_Toc8469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8928E51">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_Toc22431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lang w:val="en-US" w:eastAsia="zh-CN"/>
        </w:rPr>
        <w:t>3防雷和</w:t>
      </w:r>
      <w:r>
        <w:rPr>
          <w:rFonts w:hint="eastAsia" w:ascii="宋体" w:hAnsi="宋体" w:eastAsia="宋体" w:cs="宋体"/>
        </w:rPr>
        <w:t>消防</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_Toc22431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53F6CD7">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_Toc2961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lang w:val="en-US" w:eastAsia="zh-CN"/>
        </w:rPr>
        <w:t>4</w:t>
      </w:r>
      <w:r>
        <w:rPr>
          <w:rFonts w:hint="eastAsia" w:ascii="宋体" w:hAnsi="宋体" w:eastAsia="宋体" w:cs="宋体"/>
        </w:rPr>
        <w:t>安全设施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_Toc2961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009DDCA">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_Toc17208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6</w:t>
      </w:r>
      <w:r>
        <w:rPr>
          <w:rFonts w:hint="eastAsia" w:ascii="宋体" w:hAnsi="宋体" w:eastAsia="宋体" w:cs="宋体"/>
        </w:rPr>
        <w:t>.5其他</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_Toc17208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9BA5130">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_Toc21306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安全管理现状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_Toc21306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525BE57">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_Toc10751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.1</w:t>
      </w:r>
      <w:r>
        <w:rPr>
          <w:rFonts w:hint="eastAsia" w:ascii="宋体" w:hAnsi="宋体" w:eastAsia="宋体" w:cs="宋体"/>
          <w:lang w:val="en-US" w:eastAsia="zh-CN"/>
        </w:rPr>
        <w:t>劳动定员及</w:t>
      </w:r>
      <w:r>
        <w:rPr>
          <w:rFonts w:hint="eastAsia" w:ascii="宋体" w:hAnsi="宋体" w:eastAsia="宋体" w:cs="宋体"/>
        </w:rPr>
        <w:t>工作制度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_Toc10751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0BC071E">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_Toc20033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.2安全管理组织机构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_Toc20033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684CA4B">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_Toc28922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.3安全管理制度、安全生产责任制及安全操作规程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_Toc28922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0B4383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_Toc32451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.4人员持证上岗情况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_Toc32451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586E7F8">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_Toc17977 </w:instrText>
      </w:r>
      <w:r>
        <w:rPr>
          <w:rFonts w:hint="eastAsia" w:ascii="宋体" w:hAnsi="宋体" w:eastAsia="宋体" w:cs="宋体"/>
          <w:kern w:val="2"/>
          <w:szCs w:val="24"/>
        </w:rPr>
        <w:fldChar w:fldCharType="separate"/>
      </w:r>
      <w:r>
        <w:rPr>
          <w:rFonts w:hint="eastAsia" w:ascii="宋体" w:hAnsi="宋体" w:eastAsia="宋体" w:cs="宋体"/>
          <w:lang w:eastAsia="en-US"/>
        </w:rPr>
        <w:t>2.</w:t>
      </w:r>
      <w:r>
        <w:rPr>
          <w:rFonts w:hint="eastAsia" w:ascii="宋体" w:hAnsi="宋体" w:eastAsia="宋体" w:cs="宋体"/>
          <w:lang w:val="en-US" w:eastAsia="zh-CN"/>
        </w:rPr>
        <w:t>7</w:t>
      </w:r>
      <w:r>
        <w:rPr>
          <w:rFonts w:hint="eastAsia" w:ascii="宋体" w:hAnsi="宋体" w:eastAsia="宋体" w:cs="宋体"/>
          <w:lang w:eastAsia="en-US"/>
        </w:rPr>
        <w:t>.</w:t>
      </w:r>
      <w:r>
        <w:rPr>
          <w:rFonts w:hint="eastAsia" w:ascii="宋体" w:hAnsi="宋体" w:eastAsia="宋体" w:cs="宋体"/>
        </w:rPr>
        <w:t>5</w:t>
      </w:r>
      <w:r>
        <w:rPr>
          <w:rFonts w:hint="eastAsia" w:ascii="宋体" w:hAnsi="宋体" w:eastAsia="宋体" w:cs="宋体"/>
          <w:lang w:eastAsia="en-US"/>
        </w:rPr>
        <w:t>安全管理</w:t>
      </w:r>
      <w:r>
        <w:rPr>
          <w:rFonts w:hint="eastAsia" w:ascii="宋体" w:hAnsi="宋体" w:eastAsia="宋体" w:cs="宋体"/>
        </w:rPr>
        <w:t>台账、</w:t>
      </w:r>
      <w:r>
        <w:rPr>
          <w:rFonts w:hint="eastAsia" w:ascii="宋体" w:hAnsi="宋体" w:eastAsia="宋体" w:cs="宋体"/>
          <w:lang w:eastAsia="en-US"/>
        </w:rPr>
        <w:t>记录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_Toc17977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2CA79DF">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_Toc25940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.6安全投入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_Toc25940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6522E32">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_Toc4030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.7安全警示、标志</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_Toc4030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3024026">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_Toc191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.8应急救援预案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B0A9F4D">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_Toc1711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.9保险缴纳情况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_Toc1711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C59D1E9">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_Toc11507 </w:instrText>
      </w:r>
      <w:r>
        <w:rPr>
          <w:rFonts w:hint="eastAsia" w:ascii="宋体" w:hAnsi="宋体" w:eastAsia="宋体" w:cs="宋体"/>
          <w:kern w:val="2"/>
          <w:szCs w:val="24"/>
        </w:rPr>
        <w:fldChar w:fldCharType="separate"/>
      </w:r>
      <w:r>
        <w:rPr>
          <w:rFonts w:hint="eastAsia" w:ascii="宋体" w:hAnsi="宋体" w:eastAsia="宋体" w:cs="宋体"/>
        </w:rPr>
        <w:t>2.</w:t>
      </w:r>
      <w:r>
        <w:rPr>
          <w:rFonts w:hint="eastAsia" w:ascii="宋体" w:hAnsi="宋体" w:eastAsia="宋体" w:cs="宋体"/>
          <w:lang w:val="en-US" w:eastAsia="zh-CN"/>
        </w:rPr>
        <w:t>7</w:t>
      </w:r>
      <w:r>
        <w:rPr>
          <w:rFonts w:hint="eastAsia" w:ascii="宋体" w:hAnsi="宋体" w:eastAsia="宋体" w:cs="宋体"/>
        </w:rPr>
        <w:t>.</w:t>
      </w:r>
      <w:r>
        <w:rPr>
          <w:rFonts w:hint="eastAsia" w:ascii="宋体" w:hAnsi="宋体" w:eastAsia="宋体" w:cs="宋体"/>
          <w:lang w:val="en-US" w:eastAsia="zh-CN"/>
        </w:rPr>
        <w:t>10</w:t>
      </w:r>
      <w:r>
        <w:rPr>
          <w:rFonts w:hint="eastAsia" w:ascii="宋体" w:hAnsi="宋体" w:eastAsia="宋体" w:cs="宋体"/>
        </w:rPr>
        <w:t>安全生产标准化创建</w:t>
      </w:r>
      <w:r>
        <w:rPr>
          <w:rFonts w:hint="eastAsia" w:ascii="宋体" w:hAnsi="宋体" w:eastAsia="宋体" w:cs="宋体"/>
          <w:lang w:eastAsia="zh-CN"/>
        </w:rPr>
        <w:t>、</w:t>
      </w:r>
      <w:r>
        <w:rPr>
          <w:rFonts w:hint="eastAsia" w:ascii="宋体" w:hAnsi="宋体" w:eastAsia="宋体" w:cs="宋体"/>
        </w:rPr>
        <w:t>双重预防机制</w:t>
      </w:r>
      <w:r>
        <w:rPr>
          <w:rFonts w:hint="eastAsia" w:ascii="宋体" w:hAnsi="宋体" w:eastAsia="宋体" w:cs="宋体"/>
          <w:lang w:val="en-US" w:eastAsia="zh-CN"/>
        </w:rPr>
        <w:t>构建</w:t>
      </w:r>
      <w:r>
        <w:rPr>
          <w:rFonts w:hint="eastAsia" w:ascii="宋体" w:hAnsi="宋体" w:eastAsia="宋体" w:cs="宋体"/>
        </w:rPr>
        <w:t>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_Toc11507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944F780">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_Toc2331 </w:instrText>
      </w:r>
      <w:r>
        <w:rPr>
          <w:rFonts w:hint="eastAsia" w:ascii="宋体" w:hAnsi="宋体" w:eastAsia="宋体" w:cs="宋体"/>
          <w:kern w:val="2"/>
          <w:szCs w:val="24"/>
        </w:rPr>
        <w:fldChar w:fldCharType="separate"/>
      </w:r>
      <w:r>
        <w:rPr>
          <w:rFonts w:hint="eastAsia" w:ascii="宋体" w:hAnsi="宋体" w:eastAsia="宋体" w:cs="宋体"/>
          <w:lang w:val="en-US" w:eastAsia="zh-CN"/>
        </w:rPr>
        <w:t>2.7.11</w:t>
      </w:r>
      <w:r>
        <w:rPr>
          <w:rFonts w:hint="eastAsia" w:ascii="宋体" w:hAnsi="宋体" w:eastAsia="宋体" w:cs="宋体"/>
        </w:rPr>
        <w:t>项目投产以来的安全生产情况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_Toc2331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3CB76D5">
      <w:pPr>
        <w:pStyle w:val="36"/>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_Toc25144 </w:instrText>
      </w:r>
      <w:r>
        <w:rPr>
          <w:rFonts w:hint="eastAsia" w:ascii="宋体" w:hAnsi="宋体" w:eastAsia="宋体" w:cs="宋体"/>
          <w:kern w:val="2"/>
          <w:szCs w:val="24"/>
        </w:rPr>
        <w:fldChar w:fldCharType="separate"/>
      </w:r>
      <w:r>
        <w:rPr>
          <w:rFonts w:hint="eastAsia" w:ascii="宋体" w:hAnsi="宋体" w:eastAsia="宋体" w:cs="宋体"/>
        </w:rPr>
        <w:t>第3章  主要危险、有害因素辨识与分析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_Toc25144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189E4B9">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_Toc16083 </w:instrText>
      </w:r>
      <w:r>
        <w:rPr>
          <w:rFonts w:hint="eastAsia" w:ascii="宋体" w:hAnsi="宋体" w:eastAsia="宋体" w:cs="宋体"/>
          <w:kern w:val="2"/>
          <w:szCs w:val="24"/>
        </w:rPr>
        <w:fldChar w:fldCharType="separate"/>
      </w:r>
      <w:r>
        <w:rPr>
          <w:rFonts w:hint="eastAsia" w:ascii="宋体" w:hAnsi="宋体" w:eastAsia="宋体" w:cs="宋体"/>
        </w:rPr>
        <w:t>3.1辨识与分析的目的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_Toc16083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8BA7EDE">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_Toc7964 </w:instrText>
      </w:r>
      <w:r>
        <w:rPr>
          <w:rFonts w:hint="eastAsia" w:ascii="宋体" w:hAnsi="宋体" w:eastAsia="宋体" w:cs="宋体"/>
          <w:kern w:val="2"/>
          <w:szCs w:val="24"/>
        </w:rPr>
        <w:fldChar w:fldCharType="separate"/>
      </w:r>
      <w:r>
        <w:rPr>
          <w:rFonts w:hint="eastAsia" w:ascii="宋体" w:hAnsi="宋体" w:eastAsia="宋体" w:cs="宋体"/>
        </w:rPr>
        <w:t>3.2辨识与分析的方法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_Toc7964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1A9E1F6">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_Toc21033 </w:instrText>
      </w:r>
      <w:r>
        <w:rPr>
          <w:rFonts w:hint="eastAsia" w:ascii="宋体" w:hAnsi="宋体" w:eastAsia="宋体" w:cs="宋体"/>
          <w:kern w:val="2"/>
          <w:szCs w:val="24"/>
        </w:rPr>
        <w:fldChar w:fldCharType="separate"/>
      </w:r>
      <w:r>
        <w:rPr>
          <w:rFonts w:hint="eastAsia" w:ascii="宋体" w:hAnsi="宋体" w:eastAsia="宋体" w:cs="宋体"/>
        </w:rPr>
        <w:t>3.3危险、有害因素产生的原因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_Toc21033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C150B10">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_Toc23225 </w:instrText>
      </w:r>
      <w:r>
        <w:rPr>
          <w:rFonts w:hint="eastAsia" w:ascii="宋体" w:hAnsi="宋体" w:eastAsia="宋体" w:cs="宋体"/>
          <w:kern w:val="2"/>
          <w:szCs w:val="24"/>
        </w:rPr>
        <w:fldChar w:fldCharType="separate"/>
      </w:r>
      <w:r>
        <w:rPr>
          <w:rFonts w:hint="eastAsia" w:ascii="宋体" w:hAnsi="宋体" w:eastAsia="宋体" w:cs="宋体"/>
        </w:rPr>
        <w:t>3.3.1运行失控与设备故障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_Toc23225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091FD78">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_Toc17302 </w:instrText>
      </w:r>
      <w:r>
        <w:rPr>
          <w:rFonts w:hint="eastAsia" w:ascii="宋体" w:hAnsi="宋体" w:eastAsia="宋体" w:cs="宋体"/>
          <w:kern w:val="2"/>
          <w:szCs w:val="24"/>
        </w:rPr>
        <w:fldChar w:fldCharType="separate"/>
      </w:r>
      <w:r>
        <w:rPr>
          <w:rFonts w:hint="eastAsia" w:ascii="宋体" w:hAnsi="宋体" w:eastAsia="宋体" w:cs="宋体"/>
        </w:rPr>
        <w:t>3.3.2人员失误</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_Toc17302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71F9E0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_Toc2629 </w:instrText>
      </w:r>
      <w:r>
        <w:rPr>
          <w:rFonts w:hint="eastAsia" w:ascii="宋体" w:hAnsi="宋体" w:eastAsia="宋体" w:cs="宋体"/>
          <w:kern w:val="2"/>
          <w:szCs w:val="24"/>
        </w:rPr>
        <w:fldChar w:fldCharType="separate"/>
      </w:r>
      <w:r>
        <w:rPr>
          <w:rFonts w:hint="eastAsia" w:ascii="宋体" w:hAnsi="宋体" w:eastAsia="宋体" w:cs="宋体"/>
        </w:rPr>
        <w:t>3.3.3管理缺陷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_Toc2629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5DD94B6">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_Toc22419 </w:instrText>
      </w:r>
      <w:r>
        <w:rPr>
          <w:rFonts w:hint="eastAsia" w:ascii="宋体" w:hAnsi="宋体" w:eastAsia="宋体" w:cs="宋体"/>
          <w:kern w:val="2"/>
          <w:szCs w:val="24"/>
        </w:rPr>
        <w:fldChar w:fldCharType="separate"/>
      </w:r>
      <w:r>
        <w:rPr>
          <w:rFonts w:hint="eastAsia" w:ascii="宋体" w:hAnsi="宋体" w:eastAsia="宋体" w:cs="宋体"/>
        </w:rPr>
        <w:t>3.3.4环境因素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_Toc22419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66AD715">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_Toc23564 </w:instrText>
      </w:r>
      <w:r>
        <w:rPr>
          <w:rFonts w:hint="eastAsia" w:ascii="宋体" w:hAnsi="宋体" w:eastAsia="宋体" w:cs="宋体"/>
          <w:kern w:val="2"/>
          <w:szCs w:val="24"/>
        </w:rPr>
        <w:fldChar w:fldCharType="separate"/>
      </w:r>
      <w:r>
        <w:rPr>
          <w:rFonts w:hint="eastAsia" w:ascii="宋体" w:hAnsi="宋体" w:eastAsia="宋体" w:cs="宋体"/>
          <w:bCs/>
        </w:rPr>
        <w:t>3.4主要危险、有害物质辨识与分析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_Toc23564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C1B9185">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_Toc22564 </w:instrText>
      </w:r>
      <w:r>
        <w:rPr>
          <w:rFonts w:hint="eastAsia" w:ascii="宋体" w:hAnsi="宋体" w:eastAsia="宋体" w:cs="宋体"/>
          <w:kern w:val="2"/>
          <w:szCs w:val="24"/>
        </w:rPr>
        <w:fldChar w:fldCharType="separate"/>
      </w:r>
      <w:r>
        <w:rPr>
          <w:rFonts w:hint="eastAsia" w:ascii="宋体" w:hAnsi="宋体" w:eastAsia="宋体" w:cs="宋体"/>
        </w:rPr>
        <w:t>3.4.1主要危险、有害物质辨识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_Toc22564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2B8DDB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_Toc6978 </w:instrText>
      </w:r>
      <w:r>
        <w:rPr>
          <w:rFonts w:hint="eastAsia" w:ascii="宋体" w:hAnsi="宋体" w:eastAsia="宋体" w:cs="宋体"/>
          <w:kern w:val="2"/>
          <w:szCs w:val="24"/>
        </w:rPr>
        <w:fldChar w:fldCharType="separate"/>
      </w:r>
      <w:r>
        <w:rPr>
          <w:rFonts w:hint="eastAsia" w:ascii="宋体" w:hAnsi="宋体" w:eastAsia="宋体" w:cs="宋体"/>
        </w:rPr>
        <w:t>3.4.2危险物质的理化特性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_Toc6978 \h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4F61C42">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_Toc28653 </w:instrText>
      </w:r>
      <w:r>
        <w:rPr>
          <w:rFonts w:hint="eastAsia" w:ascii="宋体" w:hAnsi="宋体" w:eastAsia="宋体" w:cs="宋体"/>
          <w:kern w:val="2"/>
          <w:szCs w:val="24"/>
        </w:rPr>
        <w:fldChar w:fldCharType="separate"/>
      </w:r>
      <w:r>
        <w:rPr>
          <w:rFonts w:hint="eastAsia" w:ascii="宋体" w:hAnsi="宋体" w:eastAsia="宋体" w:cs="宋体"/>
          <w:bCs/>
        </w:rPr>
        <w:t>3.5选址与总体布局危险、有害因素分析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_Toc28653 \h </w:instrText>
      </w:r>
      <w:r>
        <w:rPr>
          <w:rFonts w:hint="eastAsia" w:ascii="宋体" w:hAnsi="宋体" w:eastAsia="宋体" w:cs="宋体"/>
        </w:rPr>
        <w:fldChar w:fldCharType="separate"/>
      </w:r>
      <w:r>
        <w:rPr>
          <w:rFonts w:hint="eastAsia" w:ascii="宋体" w:hAnsi="宋体" w:eastAsia="宋体" w:cs="宋体"/>
        </w:rPr>
        <w:t>33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21643EE">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_Toc2888 </w:instrText>
      </w:r>
      <w:r>
        <w:rPr>
          <w:rFonts w:hint="eastAsia" w:ascii="宋体" w:hAnsi="宋体" w:eastAsia="宋体" w:cs="宋体"/>
          <w:kern w:val="2"/>
          <w:szCs w:val="24"/>
        </w:rPr>
        <w:fldChar w:fldCharType="separate"/>
      </w:r>
      <w:r>
        <w:rPr>
          <w:rFonts w:hint="eastAsia" w:ascii="宋体" w:hAnsi="宋体" w:eastAsia="宋体" w:cs="宋体"/>
        </w:rPr>
        <w:t>3.5.1厂址危险性分析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_Toc2888 \h </w:instrText>
      </w:r>
      <w:r>
        <w:rPr>
          <w:rFonts w:hint="eastAsia" w:ascii="宋体" w:hAnsi="宋体" w:eastAsia="宋体" w:cs="宋体"/>
        </w:rPr>
        <w:fldChar w:fldCharType="separate"/>
      </w:r>
      <w:r>
        <w:rPr>
          <w:rFonts w:hint="eastAsia" w:ascii="宋体" w:hAnsi="宋体" w:eastAsia="宋体" w:cs="宋体"/>
        </w:rPr>
        <w:t>33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224F047">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_Toc21198 </w:instrText>
      </w:r>
      <w:r>
        <w:rPr>
          <w:rFonts w:hint="eastAsia" w:ascii="宋体" w:hAnsi="宋体" w:eastAsia="宋体" w:cs="宋体"/>
          <w:kern w:val="2"/>
          <w:szCs w:val="24"/>
        </w:rPr>
        <w:fldChar w:fldCharType="separate"/>
      </w:r>
      <w:r>
        <w:rPr>
          <w:rFonts w:hint="eastAsia" w:ascii="宋体" w:hAnsi="宋体" w:eastAsia="宋体" w:cs="宋体"/>
        </w:rPr>
        <w:t>3.5.2总平面布置危险性分析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_Toc21198 \h </w:instrText>
      </w:r>
      <w:r>
        <w:rPr>
          <w:rFonts w:hint="eastAsia" w:ascii="宋体" w:hAnsi="宋体" w:eastAsia="宋体" w:cs="宋体"/>
        </w:rPr>
        <w:fldChar w:fldCharType="separate"/>
      </w:r>
      <w:r>
        <w:rPr>
          <w:rFonts w:hint="eastAsia" w:ascii="宋体" w:hAnsi="宋体" w:eastAsia="宋体" w:cs="宋体"/>
        </w:rPr>
        <w:t>35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9D9831D">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_Toc15976 </w:instrText>
      </w:r>
      <w:r>
        <w:rPr>
          <w:rFonts w:hint="eastAsia" w:ascii="宋体" w:hAnsi="宋体" w:eastAsia="宋体" w:cs="宋体"/>
          <w:kern w:val="2"/>
          <w:szCs w:val="24"/>
        </w:rPr>
        <w:fldChar w:fldCharType="separate"/>
      </w:r>
      <w:r>
        <w:rPr>
          <w:rFonts w:hint="eastAsia" w:ascii="宋体" w:hAnsi="宋体" w:eastAsia="宋体" w:cs="宋体"/>
          <w:bCs/>
        </w:rPr>
        <w:t>3.</w:t>
      </w:r>
      <w:r>
        <w:rPr>
          <w:rFonts w:hint="eastAsia" w:ascii="宋体" w:hAnsi="宋体" w:eastAsia="宋体" w:cs="宋体"/>
          <w:bCs/>
          <w:lang w:val="en-US" w:eastAsia="zh-CN"/>
        </w:rPr>
        <w:t>6</w:t>
      </w:r>
      <w:r>
        <w:rPr>
          <w:rFonts w:hint="eastAsia" w:ascii="宋体" w:hAnsi="宋体" w:eastAsia="宋体" w:cs="宋体"/>
          <w:bCs/>
        </w:rPr>
        <w:t xml:space="preserve"> 生产过程中固有危险、有害因素辨识与分析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_Toc15976 \h </w:instrText>
      </w:r>
      <w:r>
        <w:rPr>
          <w:rFonts w:hint="eastAsia" w:ascii="宋体" w:hAnsi="宋体" w:eastAsia="宋体" w:cs="宋体"/>
        </w:rPr>
        <w:fldChar w:fldCharType="separate"/>
      </w:r>
      <w:r>
        <w:rPr>
          <w:rFonts w:hint="eastAsia" w:ascii="宋体" w:hAnsi="宋体" w:eastAsia="宋体" w:cs="宋体"/>
        </w:rPr>
        <w:t>35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1614EA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_Toc18504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lang w:val="en-US" w:eastAsia="zh-CN"/>
        </w:rPr>
        <w:t>1</w:t>
      </w:r>
      <w:r>
        <w:rPr>
          <w:rFonts w:hint="eastAsia" w:ascii="宋体" w:hAnsi="宋体" w:eastAsia="宋体" w:cs="宋体"/>
        </w:rPr>
        <w:t>火灾、爆炸</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_Toc18504 \h </w:instrText>
      </w:r>
      <w:r>
        <w:rPr>
          <w:rFonts w:hint="eastAsia" w:ascii="宋体" w:hAnsi="宋体" w:eastAsia="宋体" w:cs="宋体"/>
        </w:rPr>
        <w:fldChar w:fldCharType="separate"/>
      </w:r>
      <w:r>
        <w:rPr>
          <w:rFonts w:hint="eastAsia" w:ascii="宋体" w:hAnsi="宋体" w:eastAsia="宋体" w:cs="宋体"/>
        </w:rPr>
        <w:t>35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E88103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_Toc19212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.2压力容器爆炸</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_Toc19212 \h </w:instrText>
      </w:r>
      <w:r>
        <w:rPr>
          <w:rFonts w:hint="eastAsia" w:ascii="宋体" w:hAnsi="宋体" w:eastAsia="宋体" w:cs="宋体"/>
        </w:rPr>
        <w:fldChar w:fldCharType="separate"/>
      </w:r>
      <w:r>
        <w:rPr>
          <w:rFonts w:hint="eastAsia" w:ascii="宋体" w:hAnsi="宋体" w:eastAsia="宋体" w:cs="宋体"/>
        </w:rPr>
        <w:t>37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81AEFFD">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_Toc3655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.3 机械伤害</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_Toc3655 \h </w:instrText>
      </w:r>
      <w:r>
        <w:rPr>
          <w:rFonts w:hint="eastAsia" w:ascii="宋体" w:hAnsi="宋体" w:eastAsia="宋体" w:cs="宋体"/>
        </w:rPr>
        <w:fldChar w:fldCharType="separate"/>
      </w:r>
      <w:r>
        <w:rPr>
          <w:rFonts w:hint="eastAsia" w:ascii="宋体" w:hAnsi="宋体" w:eastAsia="宋体" w:cs="宋体"/>
        </w:rPr>
        <w:t>37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5DB3B5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_Toc7155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.4 起重伤害</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_Toc7155 \h </w:instrText>
      </w:r>
      <w:r>
        <w:rPr>
          <w:rFonts w:hint="eastAsia" w:ascii="宋体" w:hAnsi="宋体" w:eastAsia="宋体" w:cs="宋体"/>
        </w:rPr>
        <w:fldChar w:fldCharType="separate"/>
      </w:r>
      <w:r>
        <w:rPr>
          <w:rFonts w:hint="eastAsia" w:ascii="宋体" w:hAnsi="宋体" w:eastAsia="宋体" w:cs="宋体"/>
        </w:rPr>
        <w:t>38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813FDDE">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_Toc32516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.5 中毒</w:t>
      </w:r>
      <w:r>
        <w:rPr>
          <w:rFonts w:hint="eastAsia" w:ascii="宋体" w:hAnsi="宋体" w:eastAsia="宋体" w:cs="宋体"/>
          <w:lang w:val="en-US" w:eastAsia="zh-CN"/>
        </w:rPr>
        <w:t>和</w:t>
      </w:r>
      <w:r>
        <w:rPr>
          <w:rFonts w:hint="eastAsia" w:ascii="宋体" w:hAnsi="宋体" w:eastAsia="宋体" w:cs="宋体"/>
        </w:rPr>
        <w:t>窒息</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_Toc32516 \h </w:instrText>
      </w:r>
      <w:r>
        <w:rPr>
          <w:rFonts w:hint="eastAsia" w:ascii="宋体" w:hAnsi="宋体" w:eastAsia="宋体" w:cs="宋体"/>
        </w:rPr>
        <w:fldChar w:fldCharType="separate"/>
      </w:r>
      <w:r>
        <w:rPr>
          <w:rFonts w:hint="eastAsia" w:ascii="宋体" w:hAnsi="宋体" w:eastAsia="宋体" w:cs="宋体"/>
        </w:rPr>
        <w:t>39</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7A4E8F0">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_Toc15109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.6 高处坠落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_Toc15109 \h </w:instrText>
      </w:r>
      <w:r>
        <w:rPr>
          <w:rFonts w:hint="eastAsia" w:ascii="宋体" w:hAnsi="宋体" w:eastAsia="宋体" w:cs="宋体"/>
        </w:rPr>
        <w:fldChar w:fldCharType="separate"/>
      </w:r>
      <w:r>
        <w:rPr>
          <w:rFonts w:hint="eastAsia" w:ascii="宋体" w:hAnsi="宋体" w:eastAsia="宋体" w:cs="宋体"/>
        </w:rPr>
        <w:t>39</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5ED3481">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_Toc31508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.7 物体打击</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_Toc31508 \h </w:instrText>
      </w:r>
      <w:r>
        <w:rPr>
          <w:rFonts w:hint="eastAsia" w:ascii="宋体" w:hAnsi="宋体" w:eastAsia="宋体" w:cs="宋体"/>
        </w:rPr>
        <w:fldChar w:fldCharType="separate"/>
      </w:r>
      <w:r>
        <w:rPr>
          <w:rFonts w:hint="eastAsia" w:ascii="宋体" w:hAnsi="宋体" w:eastAsia="宋体" w:cs="宋体"/>
        </w:rPr>
        <w:t>40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D2F53E7">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_Toc13221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.8 触电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_Toc13221 \h </w:instrText>
      </w:r>
      <w:r>
        <w:rPr>
          <w:rFonts w:hint="eastAsia" w:ascii="宋体" w:hAnsi="宋体" w:eastAsia="宋体" w:cs="宋体"/>
        </w:rPr>
        <w:fldChar w:fldCharType="separate"/>
      </w:r>
      <w:r>
        <w:rPr>
          <w:rFonts w:hint="eastAsia" w:ascii="宋体" w:hAnsi="宋体" w:eastAsia="宋体" w:cs="宋体"/>
        </w:rPr>
        <w:t>40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BF4DE17">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_Toc24806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.9 车辆伤害</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_Toc24806 \h </w:instrText>
      </w:r>
      <w:r>
        <w:rPr>
          <w:rFonts w:hint="eastAsia" w:ascii="宋体" w:hAnsi="宋体" w:eastAsia="宋体" w:cs="宋体"/>
        </w:rPr>
        <w:fldChar w:fldCharType="separate"/>
      </w:r>
      <w:r>
        <w:rPr>
          <w:rFonts w:hint="eastAsia" w:ascii="宋体" w:hAnsi="宋体" w:eastAsia="宋体" w:cs="宋体"/>
        </w:rPr>
        <w:t>41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8E6E73B">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_Toc20662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.10坍塌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_Toc20662 \h </w:instrText>
      </w:r>
      <w:r>
        <w:rPr>
          <w:rFonts w:hint="eastAsia" w:ascii="宋体" w:hAnsi="宋体" w:eastAsia="宋体" w:cs="宋体"/>
        </w:rPr>
        <w:fldChar w:fldCharType="separate"/>
      </w:r>
      <w:r>
        <w:rPr>
          <w:rFonts w:hint="eastAsia" w:ascii="宋体" w:hAnsi="宋体" w:eastAsia="宋体" w:cs="宋体"/>
        </w:rPr>
        <w:t>42</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8D0F376">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_Toc25918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.11淹溺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_Toc25918 \h </w:instrText>
      </w:r>
      <w:r>
        <w:rPr>
          <w:rFonts w:hint="eastAsia" w:ascii="宋体" w:hAnsi="宋体" w:eastAsia="宋体" w:cs="宋体"/>
        </w:rPr>
        <w:fldChar w:fldCharType="separate"/>
      </w:r>
      <w:r>
        <w:rPr>
          <w:rFonts w:hint="eastAsia" w:ascii="宋体" w:hAnsi="宋体" w:eastAsia="宋体" w:cs="宋体"/>
        </w:rPr>
        <w:t>42</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B3B9CDA">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_Toc23472 </w:instrText>
      </w:r>
      <w:r>
        <w:rPr>
          <w:rFonts w:hint="eastAsia" w:ascii="宋体" w:hAnsi="宋体" w:eastAsia="宋体" w:cs="宋体"/>
          <w:kern w:val="2"/>
          <w:szCs w:val="24"/>
        </w:rPr>
        <w:fldChar w:fldCharType="separate"/>
      </w:r>
      <w:r>
        <w:rPr>
          <w:rFonts w:hint="eastAsia" w:ascii="宋体" w:hAnsi="宋体" w:eastAsia="宋体" w:cs="宋体"/>
          <w:lang w:val="en-US" w:eastAsia="zh-CN"/>
        </w:rPr>
        <w:t>3.6.12 噪声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_Toc23472 \h </w:instrText>
      </w:r>
      <w:r>
        <w:rPr>
          <w:rFonts w:hint="eastAsia" w:ascii="宋体" w:hAnsi="宋体" w:eastAsia="宋体" w:cs="宋体"/>
        </w:rPr>
        <w:fldChar w:fldCharType="separate"/>
      </w:r>
      <w:r>
        <w:rPr>
          <w:rFonts w:hint="eastAsia" w:ascii="宋体" w:hAnsi="宋体" w:eastAsia="宋体" w:cs="宋体"/>
        </w:rPr>
        <w:t>42</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8FAD7E8">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_Toc31850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lang w:val="en-US" w:eastAsia="zh-CN"/>
        </w:rPr>
        <w:t>13</w:t>
      </w:r>
      <w:r>
        <w:rPr>
          <w:rFonts w:hint="eastAsia" w:ascii="宋体" w:hAnsi="宋体" w:eastAsia="宋体" w:cs="宋体"/>
        </w:rPr>
        <w:t xml:space="preserve"> 粉尘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_Toc31850 \h </w:instrText>
      </w:r>
      <w:r>
        <w:rPr>
          <w:rFonts w:hint="eastAsia" w:ascii="宋体" w:hAnsi="宋体" w:eastAsia="宋体" w:cs="宋体"/>
        </w:rPr>
        <w:fldChar w:fldCharType="separate"/>
      </w:r>
      <w:r>
        <w:rPr>
          <w:rFonts w:hint="eastAsia" w:ascii="宋体" w:hAnsi="宋体" w:eastAsia="宋体" w:cs="宋体"/>
        </w:rPr>
        <w:t>43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3AD2F83">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_Toc28024 </w:instrText>
      </w:r>
      <w:r>
        <w:rPr>
          <w:rFonts w:hint="eastAsia" w:ascii="宋体" w:hAnsi="宋体" w:eastAsia="宋体" w:cs="宋体"/>
          <w:kern w:val="2"/>
          <w:szCs w:val="24"/>
        </w:rPr>
        <w:fldChar w:fldCharType="separate"/>
      </w:r>
      <w:r>
        <w:rPr>
          <w:rFonts w:hint="eastAsia" w:ascii="宋体" w:hAnsi="宋体" w:eastAsia="宋体" w:cs="宋体"/>
          <w:bCs/>
          <w:lang w:val="en-US" w:eastAsia="zh-CN"/>
        </w:rPr>
        <w:t>3.7</w:t>
      </w:r>
      <w:r>
        <w:rPr>
          <w:rFonts w:hint="eastAsia" w:ascii="宋体" w:hAnsi="宋体" w:eastAsia="宋体" w:cs="宋体"/>
          <w:bCs/>
        </w:rPr>
        <w:t>公用和辅助设备设施危险有害因素辨识与分析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_Toc28024 \h </w:instrText>
      </w:r>
      <w:r>
        <w:rPr>
          <w:rFonts w:hint="eastAsia" w:ascii="宋体" w:hAnsi="宋体" w:eastAsia="宋体" w:cs="宋体"/>
        </w:rPr>
        <w:fldChar w:fldCharType="separate"/>
      </w:r>
      <w:r>
        <w:rPr>
          <w:rFonts w:hint="eastAsia" w:ascii="宋体" w:hAnsi="宋体" w:eastAsia="宋体" w:cs="宋体"/>
        </w:rPr>
        <w:t>43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D01FF60">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_Toc16970 </w:instrText>
      </w:r>
      <w:r>
        <w:rPr>
          <w:rFonts w:hint="eastAsia" w:ascii="宋体" w:hAnsi="宋体" w:eastAsia="宋体" w:cs="宋体"/>
          <w:kern w:val="2"/>
          <w:szCs w:val="24"/>
        </w:rPr>
        <w:fldChar w:fldCharType="separate"/>
      </w:r>
      <w:r>
        <w:rPr>
          <w:rFonts w:hint="eastAsia" w:ascii="宋体" w:hAnsi="宋体" w:eastAsia="宋体" w:cs="宋体"/>
          <w:lang w:val="en-US" w:eastAsia="zh-CN"/>
        </w:rPr>
        <w:t>3.7.1</w:t>
      </w:r>
      <w:r>
        <w:rPr>
          <w:rFonts w:hint="eastAsia" w:ascii="宋体" w:hAnsi="宋体" w:eastAsia="宋体" w:cs="宋体"/>
        </w:rPr>
        <w:t>供配电系统</w:t>
      </w:r>
      <w:r>
        <w:rPr>
          <w:rFonts w:hint="eastAsia" w:ascii="宋体" w:hAnsi="宋体" w:eastAsia="宋体" w:cs="宋体"/>
          <w:lang w:eastAsia="zh-CN"/>
        </w:rPr>
        <w:t>危险有害因素</w:t>
      </w:r>
      <w:r>
        <w:rPr>
          <w:rFonts w:hint="eastAsia" w:ascii="宋体" w:hAnsi="宋体" w:eastAsia="宋体" w:cs="宋体"/>
        </w:rPr>
        <w:t>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_Toc16970 \h </w:instrText>
      </w:r>
      <w:r>
        <w:rPr>
          <w:rFonts w:hint="eastAsia" w:ascii="宋体" w:hAnsi="宋体" w:eastAsia="宋体" w:cs="宋体"/>
        </w:rPr>
        <w:fldChar w:fldCharType="separate"/>
      </w:r>
      <w:r>
        <w:rPr>
          <w:rFonts w:hint="eastAsia" w:ascii="宋体" w:hAnsi="宋体" w:eastAsia="宋体" w:cs="宋体"/>
        </w:rPr>
        <w:t>43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F83DACC">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_Toc9942 </w:instrText>
      </w:r>
      <w:r>
        <w:rPr>
          <w:rFonts w:hint="eastAsia" w:ascii="宋体" w:hAnsi="宋体" w:eastAsia="宋体" w:cs="宋体"/>
          <w:kern w:val="2"/>
          <w:szCs w:val="24"/>
        </w:rPr>
        <w:fldChar w:fldCharType="separate"/>
      </w:r>
      <w:r>
        <w:rPr>
          <w:rFonts w:hint="eastAsia" w:ascii="宋体" w:hAnsi="宋体" w:eastAsia="宋体" w:cs="宋体"/>
          <w:lang w:val="en-US" w:eastAsia="zh-CN"/>
        </w:rPr>
        <w:t>3.7.2给排水系统危险有害因素分析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_Toc9942 \h </w:instrText>
      </w:r>
      <w:r>
        <w:rPr>
          <w:rFonts w:hint="eastAsia" w:ascii="宋体" w:hAnsi="宋体" w:eastAsia="宋体" w:cs="宋体"/>
        </w:rPr>
        <w:fldChar w:fldCharType="separate"/>
      </w:r>
      <w:r>
        <w:rPr>
          <w:rFonts w:hint="eastAsia" w:ascii="宋体" w:hAnsi="宋体" w:eastAsia="宋体" w:cs="宋体"/>
        </w:rPr>
        <w:t>44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BF3089E">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_Toc32603 </w:instrText>
      </w:r>
      <w:r>
        <w:rPr>
          <w:rFonts w:hint="eastAsia" w:ascii="宋体" w:hAnsi="宋体" w:eastAsia="宋体" w:cs="宋体"/>
          <w:kern w:val="2"/>
          <w:szCs w:val="24"/>
        </w:rPr>
        <w:fldChar w:fldCharType="separate"/>
      </w:r>
      <w:r>
        <w:rPr>
          <w:rFonts w:hint="eastAsia" w:ascii="宋体" w:hAnsi="宋体" w:eastAsia="宋体" w:cs="宋体"/>
          <w:lang w:val="en-US" w:eastAsia="zh-CN"/>
        </w:rPr>
        <w:t>3.7.3 供气系统危险有害因素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_Toc32603 \h </w:instrText>
      </w:r>
      <w:r>
        <w:rPr>
          <w:rFonts w:hint="eastAsia" w:ascii="宋体" w:hAnsi="宋体" w:eastAsia="宋体" w:cs="宋体"/>
        </w:rPr>
        <w:fldChar w:fldCharType="separate"/>
      </w:r>
      <w:r>
        <w:rPr>
          <w:rFonts w:hint="eastAsia" w:ascii="宋体" w:hAnsi="宋体" w:eastAsia="宋体" w:cs="宋体"/>
        </w:rPr>
        <w:t>44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2A2B758">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_Toc5567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7</w:t>
      </w:r>
      <w:r>
        <w:rPr>
          <w:rFonts w:hint="eastAsia" w:ascii="宋体" w:hAnsi="宋体" w:eastAsia="宋体" w:cs="宋体"/>
        </w:rPr>
        <w:t>.</w:t>
      </w:r>
      <w:r>
        <w:rPr>
          <w:rFonts w:hint="eastAsia" w:ascii="宋体" w:hAnsi="宋体" w:eastAsia="宋体" w:cs="宋体"/>
          <w:lang w:val="en-US" w:eastAsia="zh-CN"/>
        </w:rPr>
        <w:t>4</w:t>
      </w:r>
      <w:r>
        <w:rPr>
          <w:rFonts w:hint="eastAsia" w:ascii="宋体" w:hAnsi="宋体" w:eastAsia="宋体" w:cs="宋体"/>
        </w:rPr>
        <w:t>安全管理缺陷的危险有害因素辨识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_Toc5567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88DB161">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_Toc7018 </w:instrText>
      </w:r>
      <w:r>
        <w:rPr>
          <w:rFonts w:hint="eastAsia" w:ascii="宋体" w:hAnsi="宋体" w:eastAsia="宋体" w:cs="宋体"/>
          <w:kern w:val="2"/>
          <w:szCs w:val="24"/>
        </w:rPr>
        <w:fldChar w:fldCharType="separate"/>
      </w:r>
      <w:r>
        <w:rPr>
          <w:rFonts w:hint="eastAsia" w:ascii="宋体" w:hAnsi="宋体" w:eastAsia="宋体" w:cs="宋体"/>
          <w:lang w:val="en-US" w:eastAsia="zh-CN"/>
        </w:rPr>
        <w:t>3.8</w:t>
      </w:r>
      <w:r>
        <w:rPr>
          <w:rFonts w:hint="eastAsia" w:ascii="宋体" w:hAnsi="宋体" w:eastAsia="宋体" w:cs="宋体"/>
        </w:rPr>
        <w:t>主要危险、有害因素分布场所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_Toc7018 \h </w:instrText>
      </w:r>
      <w:r>
        <w:rPr>
          <w:rFonts w:hint="eastAsia" w:ascii="宋体" w:hAnsi="宋体" w:eastAsia="宋体" w:cs="宋体"/>
        </w:rPr>
        <w:fldChar w:fldCharType="separate"/>
      </w:r>
      <w:r>
        <w:rPr>
          <w:rFonts w:hint="eastAsia" w:ascii="宋体" w:hAnsi="宋体" w:eastAsia="宋体" w:cs="宋体"/>
        </w:rPr>
        <w:t>46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0467AE6">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_Toc30159 </w:instrText>
      </w:r>
      <w:r>
        <w:rPr>
          <w:rFonts w:hint="eastAsia" w:ascii="宋体" w:hAnsi="宋体" w:eastAsia="宋体" w:cs="宋体"/>
          <w:kern w:val="2"/>
          <w:szCs w:val="24"/>
        </w:rPr>
        <w:fldChar w:fldCharType="separate"/>
      </w:r>
      <w:r>
        <w:rPr>
          <w:rFonts w:hint="eastAsia" w:ascii="宋体" w:hAnsi="宋体" w:eastAsia="宋体" w:cs="宋体"/>
        </w:rPr>
        <w:t>3.</w:t>
      </w:r>
      <w:r>
        <w:rPr>
          <w:rFonts w:hint="eastAsia" w:ascii="宋体" w:hAnsi="宋体" w:eastAsia="宋体" w:cs="宋体"/>
          <w:lang w:val="en-US" w:eastAsia="zh-CN"/>
        </w:rPr>
        <w:t>9</w:t>
      </w:r>
      <w:r>
        <w:rPr>
          <w:rFonts w:hint="eastAsia" w:ascii="宋体" w:hAnsi="宋体" w:eastAsia="宋体" w:cs="宋体"/>
        </w:rPr>
        <w:t>重大危险源辨识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_Toc30159 \h </w:instrText>
      </w:r>
      <w:r>
        <w:rPr>
          <w:rFonts w:hint="eastAsia" w:ascii="宋体" w:hAnsi="宋体" w:eastAsia="宋体" w:cs="宋体"/>
        </w:rPr>
        <w:fldChar w:fldCharType="separate"/>
      </w:r>
      <w:r>
        <w:rPr>
          <w:rFonts w:hint="eastAsia" w:ascii="宋体" w:hAnsi="宋体" w:eastAsia="宋体" w:cs="宋体"/>
        </w:rPr>
        <w:t>47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8338249">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_Toc4768 </w:instrText>
      </w:r>
      <w:r>
        <w:rPr>
          <w:rFonts w:hint="eastAsia" w:ascii="宋体" w:hAnsi="宋体" w:eastAsia="宋体" w:cs="宋体"/>
          <w:kern w:val="2"/>
          <w:szCs w:val="24"/>
        </w:rPr>
        <w:fldChar w:fldCharType="separate"/>
      </w:r>
      <w:r>
        <w:rPr>
          <w:rFonts w:hint="eastAsia" w:ascii="宋体" w:hAnsi="宋体" w:eastAsia="宋体" w:cs="宋体"/>
          <w:lang w:val="en-US" w:eastAsia="zh-CN"/>
        </w:rPr>
        <w:t>3.9.1</w:t>
      </w:r>
      <w:r>
        <w:rPr>
          <w:rFonts w:hint="eastAsia" w:ascii="宋体" w:hAnsi="宋体" w:eastAsia="宋体" w:cs="宋体"/>
        </w:rPr>
        <w:t>辨识方法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_Toc4768 \h </w:instrText>
      </w:r>
      <w:r>
        <w:rPr>
          <w:rFonts w:hint="eastAsia" w:ascii="宋体" w:hAnsi="宋体" w:eastAsia="宋体" w:cs="宋体"/>
        </w:rPr>
        <w:fldChar w:fldCharType="separate"/>
      </w:r>
      <w:r>
        <w:rPr>
          <w:rFonts w:hint="eastAsia" w:ascii="宋体" w:hAnsi="宋体" w:eastAsia="宋体" w:cs="宋体"/>
        </w:rPr>
        <w:t>47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781DE6E">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_Toc11680 </w:instrText>
      </w:r>
      <w:r>
        <w:rPr>
          <w:rFonts w:hint="eastAsia" w:ascii="宋体" w:hAnsi="宋体" w:eastAsia="宋体" w:cs="宋体"/>
          <w:kern w:val="2"/>
          <w:szCs w:val="24"/>
        </w:rPr>
        <w:fldChar w:fldCharType="separate"/>
      </w:r>
      <w:r>
        <w:rPr>
          <w:rFonts w:hint="eastAsia" w:ascii="宋体" w:hAnsi="宋体" w:eastAsia="宋体" w:cs="宋体"/>
          <w:lang w:val="en-US" w:eastAsia="zh-CN"/>
        </w:rPr>
        <w:t>3.9.2危险化学品重大危险源辨识过程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_Toc11680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032246F">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_Toc26613 </w:instrText>
      </w:r>
      <w:r>
        <w:rPr>
          <w:rFonts w:hint="eastAsia" w:ascii="宋体" w:hAnsi="宋体" w:eastAsia="宋体" w:cs="宋体"/>
          <w:kern w:val="2"/>
          <w:szCs w:val="24"/>
        </w:rPr>
        <w:fldChar w:fldCharType="separate"/>
      </w:r>
      <w:r>
        <w:rPr>
          <w:rFonts w:hint="eastAsia" w:ascii="宋体" w:hAnsi="宋体" w:eastAsia="宋体" w:cs="宋体"/>
          <w:lang w:val="en-US" w:eastAsia="zh-CN"/>
        </w:rPr>
        <w:t>3.9.3重大危险源辨识结论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_Toc26613 \h </w:instrText>
      </w:r>
      <w:r>
        <w:rPr>
          <w:rFonts w:hint="eastAsia" w:ascii="宋体" w:hAnsi="宋体" w:eastAsia="宋体" w:cs="宋体"/>
        </w:rPr>
        <w:fldChar w:fldCharType="separate"/>
      </w:r>
      <w:r>
        <w:rPr>
          <w:rFonts w:hint="eastAsia" w:ascii="宋体" w:hAnsi="宋体" w:eastAsia="宋体" w:cs="宋体"/>
        </w:rPr>
        <w:t>49</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D371D66">
      <w:pPr>
        <w:pStyle w:val="36"/>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_Toc14315 </w:instrText>
      </w:r>
      <w:r>
        <w:rPr>
          <w:rFonts w:hint="eastAsia" w:ascii="宋体" w:hAnsi="宋体" w:eastAsia="宋体" w:cs="宋体"/>
          <w:kern w:val="2"/>
          <w:szCs w:val="24"/>
        </w:rPr>
        <w:fldChar w:fldCharType="separate"/>
      </w:r>
      <w:r>
        <w:rPr>
          <w:rFonts w:hint="eastAsia" w:ascii="宋体" w:hAnsi="宋体" w:eastAsia="宋体" w:cs="宋体"/>
        </w:rPr>
        <w:t>第4章  评价单元划分及评价方法选择</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_Toc14315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AE62BB0">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_Toc10329 </w:instrText>
      </w:r>
      <w:r>
        <w:rPr>
          <w:rFonts w:hint="eastAsia" w:ascii="宋体" w:hAnsi="宋体" w:eastAsia="宋体" w:cs="宋体"/>
          <w:kern w:val="2"/>
          <w:szCs w:val="24"/>
        </w:rPr>
        <w:fldChar w:fldCharType="separate"/>
      </w:r>
      <w:r>
        <w:rPr>
          <w:rFonts w:hint="eastAsia" w:ascii="宋体" w:hAnsi="宋体" w:eastAsia="宋体" w:cs="宋体"/>
        </w:rPr>
        <w:t>4.1安全评价单元划分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_Toc10329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EDC6EEF">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_Toc24208 </w:instrText>
      </w:r>
      <w:r>
        <w:rPr>
          <w:rFonts w:hint="eastAsia" w:ascii="宋体" w:hAnsi="宋体" w:eastAsia="宋体" w:cs="宋体"/>
          <w:kern w:val="2"/>
          <w:szCs w:val="24"/>
        </w:rPr>
        <w:fldChar w:fldCharType="separate"/>
      </w:r>
      <w:r>
        <w:rPr>
          <w:rFonts w:hint="eastAsia" w:ascii="宋体" w:hAnsi="宋体" w:eastAsia="宋体" w:cs="宋体"/>
        </w:rPr>
        <w:t>4.1.1评价单元划分原则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_Toc24208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51C14A9">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_Toc27669 </w:instrText>
      </w:r>
      <w:r>
        <w:rPr>
          <w:rFonts w:hint="eastAsia" w:ascii="宋体" w:hAnsi="宋体" w:eastAsia="宋体" w:cs="宋体"/>
          <w:kern w:val="2"/>
          <w:szCs w:val="24"/>
        </w:rPr>
        <w:fldChar w:fldCharType="separate"/>
      </w:r>
      <w:r>
        <w:rPr>
          <w:rFonts w:hint="eastAsia" w:ascii="宋体" w:hAnsi="宋体" w:eastAsia="宋体" w:cs="宋体"/>
        </w:rPr>
        <w:t>4.1.2评价单元划分</w:t>
      </w:r>
      <w:r>
        <w:rPr>
          <w:rFonts w:hint="eastAsia" w:ascii="宋体" w:hAnsi="宋体" w:eastAsia="宋体" w:cs="宋体"/>
          <w:lang w:val="en-US" w:eastAsia="zh-CN"/>
        </w:rPr>
        <w:t>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_Toc27669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37BA351">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_Toc7928 </w:instrText>
      </w:r>
      <w:r>
        <w:rPr>
          <w:rFonts w:hint="eastAsia" w:ascii="宋体" w:hAnsi="宋体" w:eastAsia="宋体" w:cs="宋体"/>
          <w:kern w:val="2"/>
          <w:szCs w:val="24"/>
        </w:rPr>
        <w:fldChar w:fldCharType="separate"/>
      </w:r>
      <w:r>
        <w:rPr>
          <w:rFonts w:hint="eastAsia" w:ascii="宋体" w:hAnsi="宋体" w:eastAsia="宋体" w:cs="宋体"/>
        </w:rPr>
        <w:t>4.2评价单元划分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_Toc7928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36F482A">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_Toc28715 </w:instrText>
      </w:r>
      <w:r>
        <w:rPr>
          <w:rFonts w:hint="eastAsia" w:ascii="宋体" w:hAnsi="宋体" w:eastAsia="宋体" w:cs="宋体"/>
          <w:kern w:val="2"/>
          <w:szCs w:val="24"/>
        </w:rPr>
        <w:fldChar w:fldCharType="separate"/>
      </w:r>
      <w:r>
        <w:rPr>
          <w:rFonts w:hint="eastAsia" w:ascii="宋体" w:hAnsi="宋体" w:eastAsia="宋体" w:cs="宋体"/>
        </w:rPr>
        <w:t>4.3评价方法的确定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_Toc28715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1BB9849">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_Toc2671 </w:instrText>
      </w:r>
      <w:r>
        <w:rPr>
          <w:rFonts w:hint="eastAsia" w:ascii="宋体" w:hAnsi="宋体" w:eastAsia="宋体" w:cs="宋体"/>
          <w:kern w:val="2"/>
          <w:szCs w:val="24"/>
        </w:rPr>
        <w:fldChar w:fldCharType="separate"/>
      </w:r>
      <w:r>
        <w:rPr>
          <w:rFonts w:hint="eastAsia" w:ascii="宋体" w:hAnsi="宋体" w:eastAsia="宋体" w:cs="宋体"/>
        </w:rPr>
        <w:t>4.4评价方法介绍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_Toc2671 \h </w:instrText>
      </w:r>
      <w:r>
        <w:rPr>
          <w:rFonts w:hint="eastAsia" w:ascii="宋体" w:hAnsi="宋体" w:eastAsia="宋体" w:cs="宋体"/>
        </w:rPr>
        <w:fldChar w:fldCharType="separate"/>
      </w:r>
      <w:r>
        <w:rPr>
          <w:rFonts w:hint="eastAsia" w:ascii="宋体" w:hAnsi="宋体" w:eastAsia="宋体" w:cs="宋体"/>
        </w:rPr>
        <w:t>52</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DABBA76">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_Toc28608 </w:instrText>
      </w:r>
      <w:r>
        <w:rPr>
          <w:rFonts w:hint="eastAsia" w:ascii="宋体" w:hAnsi="宋体" w:eastAsia="宋体" w:cs="宋体"/>
          <w:kern w:val="2"/>
          <w:szCs w:val="24"/>
        </w:rPr>
        <w:fldChar w:fldCharType="separate"/>
      </w:r>
      <w:r>
        <w:rPr>
          <w:rFonts w:hint="eastAsia" w:ascii="宋体" w:hAnsi="宋体" w:eastAsia="宋体" w:cs="宋体"/>
        </w:rPr>
        <w:t>4.4.1安全检查表</w:t>
      </w:r>
      <w:r>
        <w:rPr>
          <w:rFonts w:hint="eastAsia" w:ascii="宋体" w:hAnsi="宋体" w:eastAsia="宋体" w:cs="宋体"/>
          <w:lang w:val="en-US" w:eastAsia="zh-CN"/>
        </w:rPr>
        <w:t>法（</w:t>
      </w:r>
      <w:r>
        <w:rPr>
          <w:rFonts w:hint="eastAsia" w:ascii="宋体" w:hAnsi="宋体" w:eastAsia="宋体" w:cs="宋体"/>
        </w:rPr>
        <w:t>SCA</w:t>
      </w:r>
      <w:r>
        <w:rPr>
          <w:rFonts w:hint="eastAsia" w:ascii="宋体" w:hAnsi="宋体" w:eastAsia="宋体" w:cs="宋体"/>
          <w:lang w:val="en-US" w:eastAsia="zh-CN"/>
        </w:rPr>
        <w:t>）</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_Toc28608 \h </w:instrText>
      </w:r>
      <w:r>
        <w:rPr>
          <w:rFonts w:hint="eastAsia" w:ascii="宋体" w:hAnsi="宋体" w:eastAsia="宋体" w:cs="宋体"/>
        </w:rPr>
        <w:fldChar w:fldCharType="separate"/>
      </w:r>
      <w:r>
        <w:rPr>
          <w:rFonts w:hint="eastAsia" w:ascii="宋体" w:hAnsi="宋体" w:eastAsia="宋体" w:cs="宋体"/>
        </w:rPr>
        <w:t>52</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C6BF573">
      <w:pPr>
        <w:pStyle w:val="36"/>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_Toc19046 </w:instrText>
      </w:r>
      <w:r>
        <w:rPr>
          <w:rFonts w:hint="eastAsia" w:ascii="宋体" w:hAnsi="宋体" w:eastAsia="宋体" w:cs="宋体"/>
          <w:kern w:val="2"/>
          <w:szCs w:val="24"/>
        </w:rPr>
        <w:fldChar w:fldCharType="separate"/>
      </w:r>
      <w:r>
        <w:rPr>
          <w:rFonts w:hint="eastAsia" w:ascii="宋体" w:hAnsi="宋体" w:eastAsia="宋体" w:cs="宋体"/>
        </w:rPr>
        <w:t>第5章  定性、定量评价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_Toc19046 \h </w:instrText>
      </w:r>
      <w:r>
        <w:rPr>
          <w:rFonts w:hint="eastAsia" w:ascii="宋体" w:hAnsi="宋体" w:eastAsia="宋体" w:cs="宋体"/>
        </w:rPr>
        <w:fldChar w:fldCharType="separate"/>
      </w:r>
      <w:r>
        <w:rPr>
          <w:rFonts w:hint="eastAsia" w:ascii="宋体" w:hAnsi="宋体" w:eastAsia="宋体" w:cs="宋体"/>
        </w:rPr>
        <w:t>54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7178FD8">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_Toc26071 </w:instrText>
      </w:r>
      <w:r>
        <w:rPr>
          <w:rFonts w:hint="eastAsia" w:ascii="宋体" w:hAnsi="宋体" w:eastAsia="宋体" w:cs="宋体"/>
          <w:kern w:val="2"/>
          <w:szCs w:val="24"/>
        </w:rPr>
        <w:fldChar w:fldCharType="separate"/>
      </w:r>
      <w:r>
        <w:rPr>
          <w:rFonts w:hint="eastAsia" w:ascii="宋体" w:hAnsi="宋体" w:eastAsia="宋体" w:cs="宋体"/>
        </w:rPr>
        <w:t>5.1厂址及总平面布置评价单元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_Toc26071 \h </w:instrText>
      </w:r>
      <w:r>
        <w:rPr>
          <w:rFonts w:hint="eastAsia" w:ascii="宋体" w:hAnsi="宋体" w:eastAsia="宋体" w:cs="宋体"/>
        </w:rPr>
        <w:fldChar w:fldCharType="separate"/>
      </w:r>
      <w:r>
        <w:rPr>
          <w:rFonts w:hint="eastAsia" w:ascii="宋体" w:hAnsi="宋体" w:eastAsia="宋体" w:cs="宋体"/>
        </w:rPr>
        <w:t>54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B3F28C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_Toc28613 </w:instrText>
      </w:r>
      <w:r>
        <w:rPr>
          <w:rFonts w:hint="eastAsia" w:ascii="宋体" w:hAnsi="宋体" w:eastAsia="宋体" w:cs="宋体"/>
          <w:kern w:val="2"/>
          <w:szCs w:val="24"/>
        </w:rPr>
        <w:fldChar w:fldCharType="separate"/>
      </w:r>
      <w:r>
        <w:rPr>
          <w:rFonts w:hint="eastAsia" w:ascii="宋体" w:hAnsi="宋体" w:eastAsia="宋体" w:cs="宋体"/>
        </w:rPr>
        <w:t>5.1.1厂址及总平面布置安全检查表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_Toc28613 \h </w:instrText>
      </w:r>
      <w:r>
        <w:rPr>
          <w:rFonts w:hint="eastAsia" w:ascii="宋体" w:hAnsi="宋体" w:eastAsia="宋体" w:cs="宋体"/>
        </w:rPr>
        <w:fldChar w:fldCharType="separate"/>
      </w:r>
      <w:r>
        <w:rPr>
          <w:rFonts w:hint="eastAsia" w:ascii="宋体" w:hAnsi="宋体" w:eastAsia="宋体" w:cs="宋体"/>
        </w:rPr>
        <w:t>54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F94BB4E">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_Toc25065 </w:instrText>
      </w:r>
      <w:r>
        <w:rPr>
          <w:rFonts w:hint="eastAsia" w:ascii="宋体" w:hAnsi="宋体" w:eastAsia="宋体" w:cs="宋体"/>
          <w:kern w:val="2"/>
          <w:szCs w:val="24"/>
        </w:rPr>
        <w:fldChar w:fldCharType="separate"/>
      </w:r>
      <w:r>
        <w:rPr>
          <w:rFonts w:hint="eastAsia" w:ascii="宋体" w:hAnsi="宋体" w:eastAsia="宋体" w:cs="宋体"/>
        </w:rPr>
        <w:t>5.1.2</w:t>
      </w:r>
      <w:r>
        <w:rPr>
          <w:rFonts w:hint="eastAsia" w:ascii="宋体" w:hAnsi="宋体" w:eastAsia="宋体" w:cs="宋体"/>
          <w:lang w:val="en-US" w:eastAsia="zh-CN"/>
        </w:rPr>
        <w:t>单元</w:t>
      </w:r>
      <w:r>
        <w:rPr>
          <w:rFonts w:hint="eastAsia" w:ascii="宋体" w:hAnsi="宋体" w:eastAsia="宋体" w:cs="宋体"/>
        </w:rPr>
        <w:t>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_Toc25065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938E9C1">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_Toc11689 </w:instrText>
      </w:r>
      <w:r>
        <w:rPr>
          <w:rFonts w:hint="eastAsia" w:ascii="宋体" w:hAnsi="宋体" w:eastAsia="宋体" w:cs="宋体"/>
          <w:kern w:val="2"/>
          <w:szCs w:val="24"/>
        </w:rPr>
        <w:fldChar w:fldCharType="separate"/>
      </w:r>
      <w:r>
        <w:rPr>
          <w:rFonts w:hint="eastAsia" w:ascii="宋体" w:hAnsi="宋体" w:eastAsia="宋体" w:cs="宋体"/>
        </w:rPr>
        <w:t>5.2生产工艺</w:t>
      </w:r>
      <w:r>
        <w:rPr>
          <w:rFonts w:hint="eastAsia" w:ascii="宋体" w:hAnsi="宋体" w:eastAsia="宋体" w:cs="宋体"/>
          <w:lang w:val="en-US" w:eastAsia="zh-CN"/>
        </w:rPr>
        <w:t>及设施</w:t>
      </w:r>
      <w:r>
        <w:rPr>
          <w:rFonts w:hint="eastAsia" w:ascii="宋体" w:hAnsi="宋体" w:eastAsia="宋体" w:cs="宋体"/>
        </w:rPr>
        <w:t>评价单元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_Toc11689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13CF138">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_Toc11794 </w:instrText>
      </w:r>
      <w:r>
        <w:rPr>
          <w:rFonts w:hint="eastAsia" w:ascii="宋体" w:hAnsi="宋体" w:eastAsia="宋体" w:cs="宋体"/>
          <w:kern w:val="2"/>
          <w:szCs w:val="24"/>
        </w:rPr>
        <w:fldChar w:fldCharType="separate"/>
      </w:r>
      <w:r>
        <w:rPr>
          <w:rFonts w:hint="eastAsia" w:ascii="宋体" w:hAnsi="宋体" w:eastAsia="宋体" w:cs="宋体"/>
        </w:rPr>
        <w:t>5.2.1生产场所和设施安全检查表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_Toc11794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7B72B94">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_Toc25419 </w:instrText>
      </w:r>
      <w:r>
        <w:rPr>
          <w:rFonts w:hint="eastAsia" w:ascii="宋体" w:hAnsi="宋体" w:eastAsia="宋体" w:cs="宋体"/>
          <w:kern w:val="2"/>
          <w:szCs w:val="24"/>
        </w:rPr>
        <w:fldChar w:fldCharType="separate"/>
      </w:r>
      <w:r>
        <w:rPr>
          <w:rFonts w:hint="eastAsia" w:ascii="宋体" w:hAnsi="宋体" w:eastAsia="宋体" w:cs="宋体"/>
        </w:rPr>
        <w:t>5.2.2单元小结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_Toc25419 \h </w:instrText>
      </w:r>
      <w:r>
        <w:rPr>
          <w:rFonts w:hint="eastAsia" w:ascii="宋体" w:hAnsi="宋体" w:eastAsia="宋体" w:cs="宋体"/>
        </w:rPr>
        <w:fldChar w:fldCharType="separate"/>
      </w:r>
      <w:r>
        <w:rPr>
          <w:rFonts w:hint="eastAsia" w:ascii="宋体" w:hAnsi="宋体" w:eastAsia="宋体" w:cs="宋体"/>
        </w:rPr>
        <w:t>60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A0641D8">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_Toc15351 </w:instrText>
      </w:r>
      <w:r>
        <w:rPr>
          <w:rFonts w:hint="eastAsia" w:ascii="宋体" w:hAnsi="宋体" w:eastAsia="宋体" w:cs="宋体"/>
          <w:kern w:val="2"/>
          <w:szCs w:val="24"/>
        </w:rPr>
        <w:fldChar w:fldCharType="separate"/>
      </w:r>
      <w:r>
        <w:rPr>
          <w:rFonts w:hint="eastAsia" w:ascii="宋体" w:hAnsi="宋体" w:eastAsia="宋体" w:cs="宋体"/>
        </w:rPr>
        <w:t>5.</w:t>
      </w:r>
      <w:r>
        <w:rPr>
          <w:rFonts w:hint="eastAsia" w:ascii="宋体" w:hAnsi="宋体" w:eastAsia="宋体" w:cs="宋体"/>
          <w:lang w:val="en-US" w:eastAsia="zh-CN"/>
        </w:rPr>
        <w:t>3</w:t>
      </w:r>
      <w:r>
        <w:rPr>
          <w:rFonts w:hint="eastAsia" w:ascii="宋体" w:hAnsi="宋体" w:eastAsia="宋体" w:cs="宋体"/>
        </w:rPr>
        <w:t>常规防护设施评价单元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_Toc15351 \h </w:instrText>
      </w:r>
      <w:r>
        <w:rPr>
          <w:rFonts w:hint="eastAsia" w:ascii="宋体" w:hAnsi="宋体" w:eastAsia="宋体" w:cs="宋体"/>
        </w:rPr>
        <w:fldChar w:fldCharType="separate"/>
      </w:r>
      <w:r>
        <w:rPr>
          <w:rFonts w:hint="eastAsia" w:ascii="宋体" w:hAnsi="宋体" w:eastAsia="宋体" w:cs="宋体"/>
        </w:rPr>
        <w:t>61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7138B52">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_Toc13791 </w:instrText>
      </w:r>
      <w:r>
        <w:rPr>
          <w:rFonts w:hint="eastAsia" w:ascii="宋体" w:hAnsi="宋体" w:eastAsia="宋体" w:cs="宋体"/>
          <w:kern w:val="2"/>
          <w:szCs w:val="24"/>
        </w:rPr>
        <w:fldChar w:fldCharType="separate"/>
      </w:r>
      <w:r>
        <w:rPr>
          <w:rFonts w:hint="eastAsia" w:ascii="宋体" w:hAnsi="宋体" w:eastAsia="宋体" w:cs="宋体"/>
        </w:rPr>
        <w:t>5.</w:t>
      </w:r>
      <w:r>
        <w:rPr>
          <w:rFonts w:hint="eastAsia" w:ascii="宋体" w:hAnsi="宋体" w:eastAsia="宋体" w:cs="宋体"/>
          <w:lang w:val="en-US" w:eastAsia="zh-CN"/>
        </w:rPr>
        <w:t>3</w:t>
      </w:r>
      <w:r>
        <w:rPr>
          <w:rFonts w:hint="eastAsia" w:ascii="宋体" w:hAnsi="宋体" w:eastAsia="宋体" w:cs="宋体"/>
        </w:rPr>
        <w:t>.1常规防护设施和措施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_Toc13791 \h </w:instrText>
      </w:r>
      <w:r>
        <w:rPr>
          <w:rFonts w:hint="eastAsia" w:ascii="宋体" w:hAnsi="宋体" w:eastAsia="宋体" w:cs="宋体"/>
        </w:rPr>
        <w:fldChar w:fldCharType="separate"/>
      </w:r>
      <w:r>
        <w:rPr>
          <w:rFonts w:hint="eastAsia" w:ascii="宋体" w:hAnsi="宋体" w:eastAsia="宋体" w:cs="宋体"/>
        </w:rPr>
        <w:t>61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2FB4913">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_Toc13713 </w:instrText>
      </w:r>
      <w:r>
        <w:rPr>
          <w:rFonts w:hint="eastAsia" w:ascii="宋体" w:hAnsi="宋体" w:eastAsia="宋体" w:cs="宋体"/>
          <w:kern w:val="2"/>
          <w:szCs w:val="24"/>
        </w:rPr>
        <w:fldChar w:fldCharType="separate"/>
      </w:r>
      <w:r>
        <w:rPr>
          <w:rFonts w:hint="eastAsia" w:ascii="宋体" w:hAnsi="宋体" w:eastAsia="宋体" w:cs="宋体"/>
        </w:rPr>
        <w:t>5.</w:t>
      </w:r>
      <w:r>
        <w:rPr>
          <w:rFonts w:hint="eastAsia" w:ascii="宋体" w:hAnsi="宋体" w:eastAsia="宋体" w:cs="宋体"/>
          <w:lang w:val="en-US" w:eastAsia="zh-CN"/>
        </w:rPr>
        <w:t>3</w:t>
      </w:r>
      <w:r>
        <w:rPr>
          <w:rFonts w:hint="eastAsia" w:ascii="宋体" w:hAnsi="宋体" w:eastAsia="宋体" w:cs="宋体"/>
        </w:rPr>
        <w:t>.2评价小结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_Toc13713 \h </w:instrText>
      </w:r>
      <w:r>
        <w:rPr>
          <w:rFonts w:hint="eastAsia" w:ascii="宋体" w:hAnsi="宋体" w:eastAsia="宋体" w:cs="宋体"/>
        </w:rPr>
        <w:fldChar w:fldCharType="separate"/>
      </w:r>
      <w:r>
        <w:rPr>
          <w:rFonts w:hint="eastAsia" w:ascii="宋体" w:hAnsi="宋体" w:eastAsia="宋体" w:cs="宋体"/>
        </w:rPr>
        <w:t>64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1E56848">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_Toc17069 </w:instrText>
      </w:r>
      <w:r>
        <w:rPr>
          <w:rFonts w:hint="eastAsia" w:ascii="宋体" w:hAnsi="宋体" w:eastAsia="宋体" w:cs="宋体"/>
          <w:kern w:val="2"/>
          <w:szCs w:val="24"/>
        </w:rPr>
        <w:fldChar w:fldCharType="separate"/>
      </w:r>
      <w:r>
        <w:rPr>
          <w:rFonts w:hint="eastAsia" w:ascii="宋体" w:hAnsi="宋体" w:eastAsia="宋体" w:cs="宋体"/>
        </w:rPr>
        <w:t>5.</w:t>
      </w:r>
      <w:r>
        <w:rPr>
          <w:rFonts w:hint="eastAsia" w:ascii="宋体" w:hAnsi="宋体" w:eastAsia="宋体" w:cs="宋体"/>
          <w:lang w:val="en-US" w:eastAsia="zh-CN"/>
        </w:rPr>
        <w:t>4</w:t>
      </w:r>
      <w:r>
        <w:rPr>
          <w:rFonts w:hint="eastAsia" w:ascii="宋体" w:hAnsi="宋体" w:eastAsia="宋体" w:cs="宋体"/>
        </w:rPr>
        <w:t>公用工程及辅助设施评价单元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_Toc17069 \h </w:instrText>
      </w:r>
      <w:r>
        <w:rPr>
          <w:rFonts w:hint="eastAsia" w:ascii="宋体" w:hAnsi="宋体" w:eastAsia="宋体" w:cs="宋体"/>
        </w:rPr>
        <w:fldChar w:fldCharType="separate"/>
      </w:r>
      <w:r>
        <w:rPr>
          <w:rFonts w:hint="eastAsia" w:ascii="宋体" w:hAnsi="宋体" w:eastAsia="宋体" w:cs="宋体"/>
        </w:rPr>
        <w:t>64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1CC4AE1">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_Toc14710 </w:instrText>
      </w:r>
      <w:r>
        <w:rPr>
          <w:rFonts w:hint="eastAsia" w:ascii="宋体" w:hAnsi="宋体" w:eastAsia="宋体" w:cs="宋体"/>
          <w:kern w:val="2"/>
          <w:szCs w:val="24"/>
        </w:rPr>
        <w:fldChar w:fldCharType="separate"/>
      </w:r>
      <w:r>
        <w:rPr>
          <w:rFonts w:hint="eastAsia" w:ascii="宋体" w:hAnsi="宋体" w:eastAsia="宋体" w:cs="宋体"/>
        </w:rPr>
        <w:t>5.</w:t>
      </w:r>
      <w:r>
        <w:rPr>
          <w:rFonts w:hint="eastAsia" w:ascii="宋体" w:hAnsi="宋体" w:eastAsia="宋体" w:cs="宋体"/>
          <w:lang w:val="en-US" w:eastAsia="zh-CN"/>
        </w:rPr>
        <w:t>4</w:t>
      </w:r>
      <w:r>
        <w:rPr>
          <w:rFonts w:hint="eastAsia" w:ascii="宋体" w:hAnsi="宋体" w:eastAsia="宋体" w:cs="宋体"/>
        </w:rPr>
        <w:t>.1供配电系统</w:t>
      </w:r>
      <w:r>
        <w:rPr>
          <w:rFonts w:hint="eastAsia" w:ascii="宋体" w:hAnsi="宋体" w:eastAsia="宋体" w:cs="宋体"/>
          <w:lang w:val="en-US" w:eastAsia="zh-CN"/>
        </w:rPr>
        <w:t>资单元安全检查表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_Toc14710 \h </w:instrText>
      </w:r>
      <w:r>
        <w:rPr>
          <w:rFonts w:hint="eastAsia" w:ascii="宋体" w:hAnsi="宋体" w:eastAsia="宋体" w:cs="宋体"/>
        </w:rPr>
        <w:fldChar w:fldCharType="separate"/>
      </w:r>
      <w:r>
        <w:rPr>
          <w:rFonts w:hint="eastAsia" w:ascii="宋体" w:hAnsi="宋体" w:eastAsia="宋体" w:cs="宋体"/>
        </w:rPr>
        <w:t>64</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019CCA8">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_Toc29363 </w:instrText>
      </w:r>
      <w:r>
        <w:rPr>
          <w:rFonts w:hint="eastAsia" w:ascii="宋体" w:hAnsi="宋体" w:eastAsia="宋体" w:cs="宋体"/>
          <w:kern w:val="2"/>
          <w:szCs w:val="24"/>
        </w:rPr>
        <w:fldChar w:fldCharType="separate"/>
      </w:r>
      <w:r>
        <w:rPr>
          <w:rFonts w:hint="eastAsia" w:ascii="宋体" w:hAnsi="宋体" w:eastAsia="宋体" w:cs="宋体"/>
        </w:rPr>
        <w:t>5.</w:t>
      </w:r>
      <w:r>
        <w:rPr>
          <w:rFonts w:hint="eastAsia" w:ascii="宋体" w:hAnsi="宋体" w:eastAsia="宋体" w:cs="宋体"/>
          <w:lang w:val="en-US" w:eastAsia="zh-CN"/>
        </w:rPr>
        <w:t>4</w:t>
      </w:r>
      <w:r>
        <w:rPr>
          <w:rFonts w:hint="eastAsia" w:ascii="宋体" w:hAnsi="宋体" w:eastAsia="宋体" w:cs="宋体"/>
        </w:rPr>
        <w:t>.2给排水系统子单元</w:t>
      </w:r>
      <w:r>
        <w:rPr>
          <w:rFonts w:hint="eastAsia" w:ascii="宋体" w:hAnsi="宋体" w:eastAsia="宋体" w:cs="宋体"/>
          <w:lang w:val="en-US" w:eastAsia="zh-CN"/>
        </w:rPr>
        <w:t>安全检查表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_Toc29363 \h </w:instrText>
      </w:r>
      <w:r>
        <w:rPr>
          <w:rFonts w:hint="eastAsia" w:ascii="宋体" w:hAnsi="宋体" w:eastAsia="宋体" w:cs="宋体"/>
        </w:rPr>
        <w:fldChar w:fldCharType="separate"/>
      </w:r>
      <w:r>
        <w:rPr>
          <w:rFonts w:hint="eastAsia" w:ascii="宋体" w:hAnsi="宋体" w:eastAsia="宋体" w:cs="宋体"/>
        </w:rPr>
        <w:t>65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474665F2">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_Toc18019 </w:instrText>
      </w:r>
      <w:r>
        <w:rPr>
          <w:rFonts w:hint="eastAsia" w:ascii="宋体" w:hAnsi="宋体" w:eastAsia="宋体" w:cs="宋体"/>
          <w:kern w:val="2"/>
          <w:szCs w:val="24"/>
        </w:rPr>
        <w:fldChar w:fldCharType="separate"/>
      </w:r>
      <w:r>
        <w:rPr>
          <w:rFonts w:hint="eastAsia" w:ascii="宋体" w:hAnsi="宋体" w:eastAsia="宋体" w:cs="宋体"/>
        </w:rPr>
        <w:t>5.</w:t>
      </w:r>
      <w:r>
        <w:rPr>
          <w:rFonts w:hint="eastAsia" w:ascii="宋体" w:hAnsi="宋体" w:eastAsia="宋体" w:cs="宋体"/>
          <w:lang w:val="en-US" w:eastAsia="zh-CN"/>
        </w:rPr>
        <w:t>4</w:t>
      </w:r>
      <w:r>
        <w:rPr>
          <w:rFonts w:hint="eastAsia" w:ascii="宋体" w:hAnsi="宋体" w:eastAsia="宋体" w:cs="宋体"/>
        </w:rPr>
        <w:t>.3消防系统子单元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_Toc18019 \h </w:instrText>
      </w:r>
      <w:r>
        <w:rPr>
          <w:rFonts w:hint="eastAsia" w:ascii="宋体" w:hAnsi="宋体" w:eastAsia="宋体" w:cs="宋体"/>
        </w:rPr>
        <w:fldChar w:fldCharType="separate"/>
      </w:r>
      <w:r>
        <w:rPr>
          <w:rFonts w:hint="eastAsia" w:ascii="宋体" w:hAnsi="宋体" w:eastAsia="宋体" w:cs="宋体"/>
        </w:rPr>
        <w:t>66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A8D20E1">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_Toc1166 </w:instrText>
      </w:r>
      <w:r>
        <w:rPr>
          <w:rFonts w:hint="eastAsia" w:ascii="宋体" w:hAnsi="宋体" w:eastAsia="宋体" w:cs="宋体"/>
          <w:kern w:val="2"/>
          <w:szCs w:val="24"/>
        </w:rPr>
        <w:fldChar w:fldCharType="separate"/>
      </w:r>
      <w:r>
        <w:rPr>
          <w:rFonts w:hint="eastAsia" w:ascii="宋体" w:hAnsi="宋体" w:eastAsia="宋体" w:cs="宋体"/>
        </w:rPr>
        <w:t>5.</w:t>
      </w:r>
      <w:r>
        <w:rPr>
          <w:rFonts w:hint="eastAsia" w:ascii="宋体" w:hAnsi="宋体" w:eastAsia="宋体" w:cs="宋体"/>
          <w:lang w:val="en-US" w:eastAsia="zh-CN"/>
        </w:rPr>
        <w:t>4</w:t>
      </w:r>
      <w:r>
        <w:rPr>
          <w:rFonts w:hint="eastAsia" w:ascii="宋体" w:hAnsi="宋体" w:eastAsia="宋体" w:cs="宋体"/>
        </w:rPr>
        <w:t>.</w:t>
      </w:r>
      <w:r>
        <w:rPr>
          <w:rFonts w:hint="eastAsia" w:ascii="宋体" w:hAnsi="宋体" w:eastAsia="宋体" w:cs="宋体"/>
          <w:lang w:val="en-US" w:eastAsia="zh-CN"/>
        </w:rPr>
        <w:t>4</w:t>
      </w:r>
      <w:r>
        <w:rPr>
          <w:rFonts w:hint="eastAsia" w:ascii="宋体" w:hAnsi="宋体" w:eastAsia="宋体" w:cs="宋体"/>
        </w:rPr>
        <w:t>单元小结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_Toc1166 \h </w:instrText>
      </w:r>
      <w:r>
        <w:rPr>
          <w:rFonts w:hint="eastAsia" w:ascii="宋体" w:hAnsi="宋体" w:eastAsia="宋体" w:cs="宋体"/>
        </w:rPr>
        <w:fldChar w:fldCharType="separate"/>
      </w:r>
      <w:r>
        <w:rPr>
          <w:rFonts w:hint="eastAsia" w:ascii="宋体" w:hAnsi="宋体" w:eastAsia="宋体" w:cs="宋体"/>
        </w:rPr>
        <w:t>67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84B2CA0">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_Toc14348 </w:instrText>
      </w:r>
      <w:r>
        <w:rPr>
          <w:rFonts w:hint="eastAsia" w:ascii="宋体" w:hAnsi="宋体" w:eastAsia="宋体" w:cs="宋体"/>
          <w:kern w:val="2"/>
          <w:szCs w:val="24"/>
        </w:rPr>
        <w:fldChar w:fldCharType="separate"/>
      </w:r>
      <w:r>
        <w:rPr>
          <w:rFonts w:hint="eastAsia" w:ascii="宋体" w:hAnsi="宋体" w:eastAsia="宋体" w:cs="宋体"/>
        </w:rPr>
        <w:t>5.5安全生产管理评价单元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_Toc14348 \h </w:instrText>
      </w:r>
      <w:r>
        <w:rPr>
          <w:rFonts w:hint="eastAsia" w:ascii="宋体" w:hAnsi="宋体" w:eastAsia="宋体" w:cs="宋体"/>
        </w:rPr>
        <w:fldChar w:fldCharType="separate"/>
      </w:r>
      <w:r>
        <w:rPr>
          <w:rFonts w:hint="eastAsia" w:ascii="宋体" w:hAnsi="宋体" w:eastAsia="宋体" w:cs="宋体"/>
        </w:rPr>
        <w:t>67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5317E6B">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_Toc18049 </w:instrText>
      </w:r>
      <w:r>
        <w:rPr>
          <w:rFonts w:hint="eastAsia" w:ascii="宋体" w:hAnsi="宋体" w:eastAsia="宋体" w:cs="宋体"/>
          <w:kern w:val="2"/>
          <w:szCs w:val="24"/>
        </w:rPr>
        <w:fldChar w:fldCharType="separate"/>
      </w:r>
      <w:r>
        <w:rPr>
          <w:rFonts w:hint="eastAsia" w:ascii="宋体" w:hAnsi="宋体" w:eastAsia="宋体" w:cs="宋体"/>
        </w:rPr>
        <w:t>5.5.1安全</w:t>
      </w:r>
      <w:r>
        <w:rPr>
          <w:rFonts w:hint="eastAsia" w:ascii="宋体" w:hAnsi="宋体" w:eastAsia="宋体" w:cs="宋体"/>
          <w:lang w:val="en-US" w:eastAsia="zh-CN"/>
        </w:rPr>
        <w:t>生产</w:t>
      </w:r>
      <w:r>
        <w:rPr>
          <w:rFonts w:hint="eastAsia" w:ascii="宋体" w:hAnsi="宋体" w:eastAsia="宋体" w:cs="宋体"/>
        </w:rPr>
        <w:t>管理</w:t>
      </w:r>
      <w:r>
        <w:rPr>
          <w:rFonts w:hint="eastAsia" w:ascii="宋体" w:hAnsi="宋体" w:eastAsia="宋体" w:cs="宋体"/>
          <w:lang w:val="en-US" w:eastAsia="zh-CN"/>
        </w:rPr>
        <w:t>分析</w:t>
      </w:r>
      <w:r>
        <w:rPr>
          <w:rFonts w:hint="eastAsia" w:ascii="宋体" w:hAnsi="宋体" w:eastAsia="宋体" w:cs="宋体"/>
        </w:rPr>
        <w:t>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_Toc18049 \h </w:instrText>
      </w:r>
      <w:r>
        <w:rPr>
          <w:rFonts w:hint="eastAsia" w:ascii="宋体" w:hAnsi="宋体" w:eastAsia="宋体" w:cs="宋体"/>
        </w:rPr>
        <w:fldChar w:fldCharType="separate"/>
      </w:r>
      <w:r>
        <w:rPr>
          <w:rFonts w:hint="eastAsia" w:ascii="宋体" w:hAnsi="宋体" w:eastAsia="宋体" w:cs="宋体"/>
        </w:rPr>
        <w:t>67</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4A3E53F">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_Toc1923 </w:instrText>
      </w:r>
      <w:r>
        <w:rPr>
          <w:rFonts w:hint="eastAsia" w:ascii="宋体" w:hAnsi="宋体" w:eastAsia="宋体" w:cs="宋体"/>
          <w:kern w:val="2"/>
          <w:szCs w:val="24"/>
        </w:rPr>
        <w:fldChar w:fldCharType="separate"/>
      </w:r>
      <w:r>
        <w:rPr>
          <w:rFonts w:hint="eastAsia" w:ascii="宋体" w:hAnsi="宋体" w:eastAsia="宋体" w:cs="宋体"/>
          <w:kern w:val="0"/>
        </w:rPr>
        <w:t>5.5.2 应急</w:t>
      </w:r>
      <w:r>
        <w:rPr>
          <w:rFonts w:hint="eastAsia" w:ascii="宋体" w:hAnsi="宋体" w:eastAsia="宋体" w:cs="宋体"/>
          <w:kern w:val="0"/>
          <w:lang w:val="en-US" w:eastAsia="zh-CN"/>
        </w:rPr>
        <w:t>救援预案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_Toc1923 \h </w:instrText>
      </w:r>
      <w:r>
        <w:rPr>
          <w:rFonts w:hint="eastAsia" w:ascii="宋体" w:hAnsi="宋体" w:eastAsia="宋体" w:cs="宋体"/>
        </w:rPr>
        <w:fldChar w:fldCharType="separate"/>
      </w:r>
      <w:r>
        <w:rPr>
          <w:rFonts w:hint="eastAsia" w:ascii="宋体" w:hAnsi="宋体" w:eastAsia="宋体" w:cs="宋体"/>
        </w:rPr>
        <w:t>71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7D70D0C">
      <w:pPr>
        <w:pStyle w:val="27"/>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_Toc2508 </w:instrText>
      </w:r>
      <w:r>
        <w:rPr>
          <w:rFonts w:hint="eastAsia" w:ascii="宋体" w:hAnsi="宋体" w:eastAsia="宋体" w:cs="宋体"/>
          <w:kern w:val="2"/>
          <w:szCs w:val="24"/>
        </w:rPr>
        <w:fldChar w:fldCharType="separate"/>
      </w:r>
      <w:r>
        <w:rPr>
          <w:rFonts w:hint="eastAsia" w:ascii="宋体" w:hAnsi="宋体" w:eastAsia="宋体" w:cs="宋体"/>
          <w:kern w:val="0"/>
        </w:rPr>
        <w:t>5.5.3 单元小结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_Toc2508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1A26303">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_Toc21423 </w:instrText>
      </w:r>
      <w:r>
        <w:rPr>
          <w:rFonts w:hint="eastAsia" w:ascii="宋体" w:hAnsi="宋体" w:eastAsia="宋体" w:cs="宋体"/>
          <w:kern w:val="2"/>
          <w:szCs w:val="24"/>
        </w:rPr>
        <w:fldChar w:fldCharType="separate"/>
      </w:r>
      <w:r>
        <w:rPr>
          <w:rFonts w:hint="eastAsia" w:ascii="宋体" w:hAnsi="宋体" w:eastAsia="宋体" w:cs="宋体"/>
        </w:rPr>
        <w:t>5.6 重大生产安全事故隐患单元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_Toc21423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C2874A1">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_Toc25019 </w:instrText>
      </w:r>
      <w:r>
        <w:rPr>
          <w:rFonts w:hint="eastAsia" w:ascii="宋体" w:hAnsi="宋体" w:eastAsia="宋体" w:cs="宋体"/>
          <w:kern w:val="2"/>
          <w:szCs w:val="24"/>
        </w:rPr>
        <w:fldChar w:fldCharType="separate"/>
      </w:r>
      <w:r>
        <w:rPr>
          <w:rFonts w:hint="eastAsia" w:ascii="宋体" w:hAnsi="宋体" w:eastAsia="宋体" w:cs="宋体"/>
        </w:rPr>
        <w:t>5.7</w:t>
      </w:r>
      <w:r>
        <w:rPr>
          <w:rFonts w:hint="eastAsia" w:ascii="宋体" w:hAnsi="宋体" w:eastAsia="宋体" w:cs="宋体"/>
          <w:lang w:val="en-US" w:eastAsia="zh-CN"/>
        </w:rPr>
        <w:t xml:space="preserve"> </w:t>
      </w:r>
      <w:r>
        <w:rPr>
          <w:rFonts w:hint="eastAsia" w:ascii="宋体" w:hAnsi="宋体" w:eastAsia="宋体" w:cs="宋体"/>
        </w:rPr>
        <w:t>有限空间作业评价单元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_Toc25019 \h </w:instrText>
      </w:r>
      <w:r>
        <w:rPr>
          <w:rFonts w:hint="eastAsia" w:ascii="宋体" w:hAnsi="宋体" w:eastAsia="宋体" w:cs="宋体"/>
        </w:rPr>
        <w:fldChar w:fldCharType="separate"/>
      </w:r>
      <w:r>
        <w:rPr>
          <w:rFonts w:hint="eastAsia" w:ascii="宋体" w:hAnsi="宋体" w:eastAsia="宋体" w:cs="宋体"/>
        </w:rPr>
        <w:t>76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C845606">
      <w:pPr>
        <w:pStyle w:val="36"/>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_Toc6830 </w:instrText>
      </w:r>
      <w:r>
        <w:rPr>
          <w:rFonts w:hint="eastAsia" w:ascii="宋体" w:hAnsi="宋体" w:eastAsia="宋体" w:cs="宋体"/>
          <w:kern w:val="2"/>
          <w:szCs w:val="24"/>
        </w:rPr>
        <w:fldChar w:fldCharType="separate"/>
      </w:r>
      <w:r>
        <w:rPr>
          <w:rFonts w:hint="eastAsia" w:ascii="宋体" w:hAnsi="宋体" w:eastAsia="宋体" w:cs="宋体"/>
        </w:rPr>
        <w:t>第6章  主要存在问题及安全对策措施建议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_Toc6830 \h </w:instrText>
      </w:r>
      <w:r>
        <w:rPr>
          <w:rFonts w:hint="eastAsia" w:ascii="宋体" w:hAnsi="宋体" w:eastAsia="宋体" w:cs="宋体"/>
        </w:rPr>
        <w:fldChar w:fldCharType="separate"/>
      </w:r>
      <w:r>
        <w:rPr>
          <w:rFonts w:hint="eastAsia" w:ascii="宋体" w:hAnsi="宋体" w:eastAsia="宋体" w:cs="宋体"/>
        </w:rPr>
        <w:t>80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1C6AB9AB">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_Toc5126 </w:instrText>
      </w:r>
      <w:r>
        <w:rPr>
          <w:rFonts w:hint="eastAsia" w:ascii="宋体" w:hAnsi="宋体" w:eastAsia="宋体" w:cs="宋体"/>
          <w:kern w:val="2"/>
          <w:szCs w:val="24"/>
        </w:rPr>
        <w:fldChar w:fldCharType="separate"/>
      </w:r>
      <w:r>
        <w:rPr>
          <w:rFonts w:hint="eastAsia" w:ascii="宋体" w:hAnsi="宋体" w:eastAsia="宋体" w:cs="宋体"/>
        </w:rPr>
        <w:t>6.1主要存在问题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_Toc5126 \h </w:instrText>
      </w:r>
      <w:r>
        <w:rPr>
          <w:rFonts w:hint="eastAsia" w:ascii="宋体" w:hAnsi="宋体" w:eastAsia="宋体" w:cs="宋体"/>
        </w:rPr>
        <w:fldChar w:fldCharType="separate"/>
      </w:r>
      <w:r>
        <w:rPr>
          <w:rFonts w:hint="eastAsia" w:ascii="宋体" w:hAnsi="宋体" w:eastAsia="宋体" w:cs="宋体"/>
        </w:rPr>
        <w:t>80</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771AC23">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_Toc4886 </w:instrText>
      </w:r>
      <w:r>
        <w:rPr>
          <w:rFonts w:hint="eastAsia" w:ascii="宋体" w:hAnsi="宋体" w:eastAsia="宋体" w:cs="宋体"/>
          <w:kern w:val="2"/>
          <w:szCs w:val="24"/>
        </w:rPr>
        <w:fldChar w:fldCharType="separate"/>
      </w:r>
      <w:r>
        <w:rPr>
          <w:rFonts w:hint="eastAsia" w:ascii="宋体" w:hAnsi="宋体" w:eastAsia="宋体" w:cs="宋体"/>
        </w:rPr>
        <w:t>6.</w:t>
      </w:r>
      <w:r>
        <w:rPr>
          <w:rFonts w:hint="eastAsia" w:ascii="宋体" w:hAnsi="宋体" w:eastAsia="宋体" w:cs="宋体"/>
          <w:lang w:val="en-US" w:eastAsia="zh-CN"/>
        </w:rPr>
        <w:t>2</w:t>
      </w:r>
      <w:r>
        <w:rPr>
          <w:rFonts w:hint="eastAsia" w:ascii="宋体" w:hAnsi="宋体" w:eastAsia="宋体" w:cs="宋体"/>
        </w:rPr>
        <w:t>安全生产条件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_Toc4886 \h </w:instrText>
      </w:r>
      <w:r>
        <w:rPr>
          <w:rFonts w:hint="eastAsia" w:ascii="宋体" w:hAnsi="宋体" w:eastAsia="宋体" w:cs="宋体"/>
        </w:rPr>
        <w:fldChar w:fldCharType="separate"/>
      </w:r>
      <w:r>
        <w:rPr>
          <w:rFonts w:hint="eastAsia" w:ascii="宋体" w:hAnsi="宋体" w:eastAsia="宋体" w:cs="宋体"/>
        </w:rPr>
        <w:t>81</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3420E72">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_Toc3467 </w:instrText>
      </w:r>
      <w:r>
        <w:rPr>
          <w:rFonts w:hint="eastAsia" w:ascii="宋体" w:hAnsi="宋体" w:eastAsia="宋体" w:cs="宋体"/>
          <w:kern w:val="2"/>
          <w:szCs w:val="24"/>
        </w:rPr>
        <w:fldChar w:fldCharType="separate"/>
      </w:r>
      <w:r>
        <w:rPr>
          <w:rFonts w:hint="eastAsia" w:ascii="宋体" w:hAnsi="宋体" w:eastAsia="宋体" w:cs="宋体"/>
        </w:rPr>
        <w:t>6.</w:t>
      </w:r>
      <w:r>
        <w:rPr>
          <w:rFonts w:hint="eastAsia" w:ascii="宋体" w:hAnsi="宋体" w:eastAsia="宋体" w:cs="宋体"/>
          <w:lang w:val="en-US" w:eastAsia="zh-CN"/>
        </w:rPr>
        <w:t>3</w:t>
      </w:r>
      <w:r>
        <w:rPr>
          <w:rFonts w:hint="eastAsia" w:ascii="宋体" w:hAnsi="宋体" w:eastAsia="宋体" w:cs="宋体"/>
        </w:rPr>
        <w:t>安全管理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_Toc3467 \h </w:instrText>
      </w:r>
      <w:r>
        <w:rPr>
          <w:rFonts w:hint="eastAsia" w:ascii="宋体" w:hAnsi="宋体" w:eastAsia="宋体" w:cs="宋体"/>
        </w:rPr>
        <w:fldChar w:fldCharType="separate"/>
      </w:r>
      <w:r>
        <w:rPr>
          <w:rFonts w:hint="eastAsia" w:ascii="宋体" w:hAnsi="宋体" w:eastAsia="宋体" w:cs="宋体"/>
        </w:rPr>
        <w:t>83</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A8B9D7F">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_Toc19570 </w:instrText>
      </w:r>
      <w:r>
        <w:rPr>
          <w:rFonts w:hint="eastAsia" w:ascii="宋体" w:hAnsi="宋体" w:eastAsia="宋体" w:cs="宋体"/>
          <w:kern w:val="2"/>
          <w:szCs w:val="24"/>
        </w:rPr>
        <w:fldChar w:fldCharType="separate"/>
      </w:r>
      <w:r>
        <w:rPr>
          <w:rFonts w:hint="eastAsia" w:ascii="宋体" w:hAnsi="宋体" w:eastAsia="宋体" w:cs="宋体"/>
        </w:rPr>
        <w:t>6.</w:t>
      </w:r>
      <w:r>
        <w:rPr>
          <w:rFonts w:hint="eastAsia" w:ascii="宋体" w:hAnsi="宋体" w:eastAsia="宋体" w:cs="宋体"/>
          <w:lang w:val="en-US" w:eastAsia="zh-CN"/>
        </w:rPr>
        <w:t>4</w:t>
      </w:r>
      <w:r>
        <w:rPr>
          <w:rFonts w:hint="eastAsia" w:ascii="宋体" w:hAnsi="宋体" w:eastAsia="宋体" w:cs="宋体"/>
        </w:rPr>
        <w:t>应急救援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_Toc19570 \h </w:instrText>
      </w:r>
      <w:r>
        <w:rPr>
          <w:rFonts w:hint="eastAsia" w:ascii="宋体" w:hAnsi="宋体" w:eastAsia="宋体" w:cs="宋体"/>
        </w:rPr>
        <w:fldChar w:fldCharType="separate"/>
      </w:r>
      <w:r>
        <w:rPr>
          <w:rFonts w:hint="eastAsia" w:ascii="宋体" w:hAnsi="宋体" w:eastAsia="宋体" w:cs="宋体"/>
        </w:rPr>
        <w:t>85</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6DFA221">
      <w:pPr>
        <w:pStyle w:val="36"/>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_Toc1372 </w:instrText>
      </w:r>
      <w:r>
        <w:rPr>
          <w:rFonts w:hint="eastAsia" w:ascii="宋体" w:hAnsi="宋体" w:eastAsia="宋体" w:cs="宋体"/>
          <w:kern w:val="2"/>
          <w:szCs w:val="24"/>
        </w:rPr>
        <w:fldChar w:fldCharType="separate"/>
      </w:r>
      <w:r>
        <w:rPr>
          <w:rFonts w:hint="eastAsia" w:ascii="宋体" w:hAnsi="宋体" w:eastAsia="宋体" w:cs="宋体"/>
        </w:rPr>
        <w:t>第7章  安全现状评价结论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_Toc1372 \h </w:instrText>
      </w:r>
      <w:r>
        <w:rPr>
          <w:rFonts w:hint="eastAsia" w:ascii="宋体" w:hAnsi="宋体" w:eastAsia="宋体" w:cs="宋体"/>
        </w:rPr>
        <w:fldChar w:fldCharType="separate"/>
      </w:r>
      <w:r>
        <w:rPr>
          <w:rFonts w:hint="eastAsia" w:ascii="宋体" w:hAnsi="宋体" w:eastAsia="宋体" w:cs="宋体"/>
        </w:rPr>
        <w:t>86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2DD265DE">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_Toc14445 </w:instrText>
      </w:r>
      <w:r>
        <w:rPr>
          <w:rFonts w:hint="eastAsia" w:ascii="宋体" w:hAnsi="宋体" w:eastAsia="宋体" w:cs="宋体"/>
          <w:kern w:val="2"/>
          <w:szCs w:val="24"/>
        </w:rPr>
        <w:fldChar w:fldCharType="separate"/>
      </w:r>
      <w:r>
        <w:rPr>
          <w:rFonts w:hint="eastAsia" w:ascii="宋体" w:hAnsi="宋体" w:eastAsia="宋体" w:cs="宋体"/>
        </w:rPr>
        <w:t>7.1主要危险、有害因素评价结果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_Toc14445 \h </w:instrText>
      </w:r>
      <w:r>
        <w:rPr>
          <w:rFonts w:hint="eastAsia" w:ascii="宋体" w:hAnsi="宋体" w:eastAsia="宋体" w:cs="宋体"/>
        </w:rPr>
        <w:fldChar w:fldCharType="separate"/>
      </w:r>
      <w:r>
        <w:rPr>
          <w:rFonts w:hint="eastAsia" w:ascii="宋体" w:hAnsi="宋体" w:eastAsia="宋体" w:cs="宋体"/>
        </w:rPr>
        <w:t>86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23DD6E3">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_Toc2489 </w:instrText>
      </w:r>
      <w:r>
        <w:rPr>
          <w:rFonts w:hint="eastAsia" w:ascii="宋体" w:hAnsi="宋体" w:eastAsia="宋体" w:cs="宋体"/>
          <w:kern w:val="2"/>
          <w:szCs w:val="24"/>
        </w:rPr>
        <w:fldChar w:fldCharType="separate"/>
      </w:r>
      <w:r>
        <w:rPr>
          <w:rFonts w:hint="eastAsia" w:ascii="宋体" w:hAnsi="宋体" w:eastAsia="宋体" w:cs="宋体"/>
        </w:rPr>
        <w:t>7.2需要重点防范和控制的危险、有害因素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_Toc2489 \h </w:instrText>
      </w:r>
      <w:r>
        <w:rPr>
          <w:rFonts w:hint="eastAsia" w:ascii="宋体" w:hAnsi="宋体" w:eastAsia="宋体" w:cs="宋体"/>
        </w:rPr>
        <w:fldChar w:fldCharType="separate"/>
      </w:r>
      <w:r>
        <w:rPr>
          <w:rFonts w:hint="eastAsia" w:ascii="宋体" w:hAnsi="宋体" w:eastAsia="宋体" w:cs="宋体"/>
        </w:rPr>
        <w:t>86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7291EFE6">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_Toc2696 </w:instrText>
      </w:r>
      <w:r>
        <w:rPr>
          <w:rFonts w:hint="eastAsia" w:ascii="宋体" w:hAnsi="宋体" w:eastAsia="宋体" w:cs="宋体"/>
          <w:kern w:val="2"/>
          <w:szCs w:val="24"/>
        </w:rPr>
        <w:fldChar w:fldCharType="separate"/>
      </w:r>
      <w:r>
        <w:rPr>
          <w:rFonts w:hint="eastAsia" w:ascii="宋体" w:hAnsi="宋体" w:eastAsia="宋体" w:cs="宋体"/>
        </w:rPr>
        <w:t>7.3安全评价结论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_Toc2696 \h </w:instrText>
      </w:r>
      <w:r>
        <w:rPr>
          <w:rFonts w:hint="eastAsia" w:ascii="宋体" w:hAnsi="宋体" w:eastAsia="宋体" w:cs="宋体"/>
        </w:rPr>
        <w:fldChar w:fldCharType="separate"/>
      </w:r>
      <w:r>
        <w:rPr>
          <w:rFonts w:hint="eastAsia" w:ascii="宋体" w:hAnsi="宋体" w:eastAsia="宋体" w:cs="宋体"/>
        </w:rPr>
        <w:t>86</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0ED621AF">
      <w:pPr>
        <w:pStyle w:val="36"/>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_Toc19830 </w:instrText>
      </w:r>
      <w:r>
        <w:rPr>
          <w:rFonts w:hint="eastAsia" w:ascii="宋体" w:hAnsi="宋体" w:eastAsia="宋体" w:cs="宋体"/>
          <w:kern w:val="2"/>
          <w:szCs w:val="24"/>
        </w:rPr>
        <w:fldChar w:fldCharType="separate"/>
      </w:r>
      <w:r>
        <w:rPr>
          <w:rFonts w:hint="eastAsia" w:ascii="宋体" w:hAnsi="宋体" w:eastAsia="宋体" w:cs="宋体"/>
        </w:rPr>
        <w:t>第8章  与企业交换的意见</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_Toc19830 \h </w:instrText>
      </w:r>
      <w:r>
        <w:rPr>
          <w:rFonts w:hint="eastAsia" w:ascii="宋体" w:hAnsi="宋体" w:eastAsia="宋体" w:cs="宋体"/>
        </w:rPr>
        <w:fldChar w:fldCharType="separate"/>
      </w:r>
      <w:r>
        <w:rPr>
          <w:rFonts w:hint="eastAsia" w:ascii="宋体" w:hAnsi="宋体" w:eastAsia="宋体" w:cs="宋体"/>
        </w:rPr>
        <w:t>88</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3E30F4EF">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_Toc2637 </w:instrText>
      </w:r>
      <w:r>
        <w:rPr>
          <w:rFonts w:hint="eastAsia" w:ascii="宋体" w:hAnsi="宋体" w:eastAsia="宋体" w:cs="宋体"/>
          <w:kern w:val="2"/>
          <w:szCs w:val="24"/>
        </w:rPr>
        <w:fldChar w:fldCharType="separate"/>
      </w:r>
      <w:r>
        <w:rPr>
          <w:rFonts w:hint="eastAsia" w:ascii="宋体" w:hAnsi="宋体" w:eastAsia="宋体" w:cs="宋体"/>
          <w:szCs w:val="28"/>
        </w:rPr>
        <w:t>附件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_Toc2637 \h </w:instrText>
      </w:r>
      <w:r>
        <w:rPr>
          <w:rFonts w:hint="eastAsia" w:ascii="宋体" w:hAnsi="宋体" w:eastAsia="宋体" w:cs="宋体"/>
        </w:rPr>
        <w:fldChar w:fldCharType="separate"/>
      </w:r>
      <w:r>
        <w:rPr>
          <w:rFonts w:hint="eastAsia" w:ascii="宋体" w:hAnsi="宋体" w:eastAsia="宋体" w:cs="宋体"/>
        </w:rPr>
        <w:t>89</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60BD4044">
      <w:pPr>
        <w:pStyle w:val="44"/>
        <w:tabs>
          <w:tab w:val="right" w:leader="dot" w:pos="8504"/>
        </w:tabs>
        <w:rPr>
          <w:rFonts w:hint="eastAsia" w:ascii="宋体" w:hAnsi="宋体" w:eastAsia="宋体" w:cs="宋体"/>
        </w:rPr>
      </w:pPr>
      <w:r>
        <w:rPr>
          <w:rFonts w:hint="eastAsia" w:ascii="宋体" w:hAnsi="宋体" w:eastAsia="宋体" w:cs="宋体"/>
          <w:color w:val="000000" w:themeColor="text1"/>
          <w:kern w:val="2"/>
          <w:szCs w:val="24"/>
          <w14:textFill>
            <w14:solidFill>
              <w14:schemeClr w14:val="tx1"/>
            </w14:solidFill>
          </w14:textFill>
        </w:rPr>
        <w:fldChar w:fldCharType="begin"/>
      </w:r>
      <w:r>
        <w:rPr>
          <w:rFonts w:hint="eastAsia" w:ascii="宋体" w:hAnsi="宋体" w:eastAsia="宋体" w:cs="宋体"/>
          <w:kern w:val="2"/>
          <w:szCs w:val="24"/>
        </w:rPr>
        <w:instrText xml:space="preserve"> HYPERLINK \l _Toc464 </w:instrText>
      </w:r>
      <w:r>
        <w:rPr>
          <w:rFonts w:hint="eastAsia" w:ascii="宋体" w:hAnsi="宋体" w:eastAsia="宋体" w:cs="宋体"/>
          <w:kern w:val="2"/>
          <w:szCs w:val="24"/>
        </w:rPr>
        <w:fldChar w:fldCharType="separate"/>
      </w:r>
      <w:r>
        <w:rPr>
          <w:rFonts w:hint="eastAsia" w:ascii="宋体" w:hAnsi="宋体" w:eastAsia="宋体" w:cs="宋体"/>
          <w:szCs w:val="28"/>
        </w:rPr>
        <w:t>附图</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_Toc464 \h </w:instrText>
      </w:r>
      <w:r>
        <w:rPr>
          <w:rFonts w:hint="eastAsia" w:ascii="宋体" w:hAnsi="宋体" w:eastAsia="宋体" w:cs="宋体"/>
        </w:rPr>
        <w:fldChar w:fldCharType="separate"/>
      </w:r>
      <w:r>
        <w:rPr>
          <w:rFonts w:hint="eastAsia" w:ascii="宋体" w:hAnsi="宋体" w:eastAsia="宋体" w:cs="宋体"/>
        </w:rPr>
        <w:t>89</w:t>
      </w:r>
      <w:r>
        <w:rPr>
          <w:rFonts w:hint="eastAsia" w:ascii="宋体" w:hAnsi="宋体" w:eastAsia="宋体" w:cs="宋体"/>
        </w:rPr>
        <w:fldChar w:fldCharType="end"/>
      </w:r>
      <w:r>
        <w:rPr>
          <w:rFonts w:hint="eastAsia" w:ascii="宋体" w:hAnsi="宋体" w:eastAsia="宋体" w:cs="宋体"/>
          <w:color w:val="000000" w:themeColor="text1"/>
          <w:kern w:val="2"/>
          <w:szCs w:val="24"/>
          <w14:textFill>
            <w14:solidFill>
              <w14:schemeClr w14:val="tx1"/>
            </w14:solidFill>
          </w14:textFill>
        </w:rPr>
        <w:fldChar w:fldCharType="end"/>
      </w:r>
    </w:p>
    <w:p w14:paraId="589DAC28">
      <w:pPr>
        <w:rPr>
          <w:rFonts w:hint="eastAsia" w:ascii="宋体" w:hAnsi="宋体" w:eastAsia="宋体" w:cs="宋体"/>
          <w:color w:val="000000" w:themeColor="text1"/>
          <w:sz w:val="24"/>
          <w:szCs w:val="24"/>
          <w14:textFill>
            <w14:solidFill>
              <w14:schemeClr w14:val="tx1"/>
            </w14:solidFill>
          </w14:textFill>
        </w:rPr>
        <w:sectPr>
          <w:footerReference r:id="rId6" w:type="default"/>
          <w:pgSz w:w="11906" w:h="16838"/>
          <w:pgMar w:top="1587" w:right="1701" w:bottom="1701" w:left="1701" w:header="851" w:footer="992" w:gutter="0"/>
          <w:pgNumType w:fmt="upperRoman" w:start="1"/>
          <w:cols w:space="720" w:num="1"/>
          <w:docGrid w:type="lines" w:linePitch="330" w:charSpace="0"/>
        </w:sectPr>
      </w:pPr>
      <w:r>
        <w:rPr>
          <w:rFonts w:hint="eastAsia" w:ascii="宋体" w:hAnsi="宋体" w:eastAsia="宋体" w:cs="宋体"/>
          <w:color w:val="000000" w:themeColor="text1"/>
          <w:kern w:val="2"/>
          <w:szCs w:val="24"/>
          <w14:textFill>
            <w14:solidFill>
              <w14:schemeClr w14:val="tx1"/>
            </w14:solidFill>
          </w14:textFill>
        </w:rPr>
        <w:fldChar w:fldCharType="end"/>
      </w:r>
    </w:p>
    <w:p w14:paraId="10B39CB3">
      <w:pPr>
        <w:pStyle w:val="3"/>
        <w:tabs>
          <w:tab w:val="center" w:pos="4312"/>
          <w:tab w:val="left" w:pos="6423"/>
        </w:tabs>
        <w:spacing w:before="165" w:after="165"/>
        <w:jc w:val="left"/>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ab/>
      </w:r>
      <w:bookmarkStart w:id="18" w:name="_Toc9104"/>
      <w:r>
        <w:rPr>
          <w:rFonts w:ascii="Times New Roman" w:hAnsi="Times New Roman"/>
          <w:color w:val="000000" w:themeColor="text1"/>
          <w14:textFill>
            <w14:solidFill>
              <w14:schemeClr w14:val="tx1"/>
            </w14:solidFill>
          </w14:textFill>
        </w:rPr>
        <w:t>第1章  编制说明</w:t>
      </w:r>
      <w:bookmarkEnd w:id="16"/>
      <w:bookmarkEnd w:id="17"/>
      <w:bookmarkEnd w:id="18"/>
      <w:r>
        <w:rPr>
          <w:rFonts w:hint="eastAsia" w:ascii="Times New Roman" w:hAnsi="Times New Roman"/>
          <w:color w:val="000000" w:themeColor="text1"/>
          <w14:textFill>
            <w14:solidFill>
              <w14:schemeClr w14:val="tx1"/>
            </w14:solidFill>
          </w14:textFill>
        </w:rPr>
        <w:tab/>
      </w:r>
    </w:p>
    <w:p w14:paraId="3DFBBE8E">
      <w:pPr>
        <w:pStyle w:val="4"/>
        <w:rPr>
          <w:rFonts w:ascii="Times New Roman" w:hAnsi="Times New Roman"/>
          <w:color w:val="000000" w:themeColor="text1"/>
          <w14:textFill>
            <w14:solidFill>
              <w14:schemeClr w14:val="tx1"/>
            </w14:solidFill>
          </w14:textFill>
        </w:rPr>
      </w:pPr>
      <w:bookmarkStart w:id="19" w:name="_Toc20457"/>
      <w:bookmarkStart w:id="20" w:name="_Toc313453419"/>
      <w:bookmarkStart w:id="21" w:name="_Toc335926124"/>
      <w:bookmarkStart w:id="22" w:name="_Toc20352"/>
      <w:r>
        <w:rPr>
          <w:rFonts w:ascii="Times New Roman" w:hAnsi="Times New Roman"/>
          <w:color w:val="000000" w:themeColor="text1"/>
          <w14:textFill>
            <w14:solidFill>
              <w14:schemeClr w14:val="tx1"/>
            </w14:solidFill>
          </w14:textFill>
        </w:rPr>
        <w:t>1.1安全评价的目的</w:t>
      </w:r>
      <w:bookmarkEnd w:id="19"/>
      <w:bookmarkEnd w:id="20"/>
      <w:bookmarkEnd w:id="21"/>
      <w:bookmarkEnd w:id="22"/>
    </w:p>
    <w:p w14:paraId="2606E4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bookmarkStart w:id="23" w:name="_Toc121910185"/>
      <w:r>
        <w:rPr>
          <w:rFonts w:hint="eastAsia" w:ascii="宋体" w:hAnsi="宋体" w:eastAsia="宋体" w:cs="宋体"/>
          <w:color w:val="000000" w:themeColor="text1"/>
          <w:sz w:val="28"/>
          <w:szCs w:val="28"/>
          <w14:textFill>
            <w14:solidFill>
              <w14:schemeClr w14:val="tx1"/>
            </w14:solidFill>
          </w14:textFill>
        </w:rPr>
        <w:t>1.为贯彻“安全第一、预防为主、综合治理”的安全生产方针，</w:t>
      </w:r>
      <w:r>
        <w:rPr>
          <w:rFonts w:hint="eastAsia" w:ascii="宋体" w:hAnsi="宋体" w:eastAsia="宋体" w:cs="宋体"/>
          <w:color w:val="000000" w:themeColor="text1"/>
          <w:sz w:val="28"/>
          <w14:textFill>
            <w14:solidFill>
              <w14:schemeClr w14:val="tx1"/>
            </w14:solidFill>
          </w14:textFill>
        </w:rPr>
        <w:t>本次安全评价工作的目的是向</w:t>
      </w:r>
      <w:r>
        <w:rPr>
          <w:rFonts w:hint="eastAsia" w:ascii="宋体" w:hAnsi="宋体" w:eastAsia="宋体" w:cs="宋体"/>
          <w:color w:val="000000" w:themeColor="text1"/>
          <w:sz w:val="28"/>
          <w:szCs w:val="28"/>
          <w:lang w:eastAsia="zh-CN"/>
          <w14:textFill>
            <w14:solidFill>
              <w14:schemeClr w14:val="tx1"/>
            </w14:solidFill>
          </w14:textFill>
        </w:rPr>
        <w:t>南华昆轻树脂瓦开发有限公司</w:t>
      </w:r>
      <w:r>
        <w:rPr>
          <w:rFonts w:hint="eastAsia" w:ascii="宋体" w:hAnsi="宋体" w:eastAsia="宋体" w:cs="宋体"/>
          <w:color w:val="000000" w:themeColor="text1"/>
          <w:sz w:val="28"/>
          <w:szCs w:val="28"/>
          <w14:textFill>
            <w14:solidFill>
              <w14:schemeClr w14:val="tx1"/>
            </w14:solidFill>
          </w14:textFill>
        </w:rPr>
        <w:t>提供安全评价报告，为各级应急管理部门安全监管提供依据</w:t>
      </w:r>
      <w:r>
        <w:rPr>
          <w:rFonts w:hint="eastAsia" w:ascii="宋体" w:hAnsi="宋体" w:eastAsia="宋体" w:cs="宋体"/>
          <w:snapToGrid w:val="0"/>
          <w:color w:val="000000" w:themeColor="text1"/>
          <w:kern w:val="0"/>
          <w:sz w:val="28"/>
          <w:szCs w:val="20"/>
          <w14:textFill>
            <w14:solidFill>
              <w14:schemeClr w14:val="tx1"/>
            </w14:solidFill>
          </w14:textFill>
        </w:rPr>
        <w:t>；</w:t>
      </w:r>
    </w:p>
    <w:p w14:paraId="3F629A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val="0"/>
          <w:color w:val="000000" w:themeColor="text1"/>
          <w:kern w:val="0"/>
          <w:sz w:val="28"/>
          <w:szCs w:val="20"/>
          <w14:textFill>
            <w14:solidFill>
              <w14:schemeClr w14:val="tx1"/>
            </w14:solidFill>
          </w14:textFill>
        </w:rPr>
      </w:pPr>
      <w:r>
        <w:rPr>
          <w:rFonts w:hint="eastAsia" w:ascii="宋体" w:hAnsi="宋体" w:eastAsia="宋体" w:cs="宋体"/>
          <w:snapToGrid w:val="0"/>
          <w:color w:val="000000" w:themeColor="text1"/>
          <w:kern w:val="0"/>
          <w:sz w:val="28"/>
          <w:szCs w:val="20"/>
          <w14:textFill>
            <w14:solidFill>
              <w14:schemeClr w14:val="tx1"/>
            </w14:solidFill>
          </w14:textFill>
        </w:rPr>
        <w:t>2.通过对该</w:t>
      </w:r>
      <w:r>
        <w:rPr>
          <w:rFonts w:hint="eastAsia" w:ascii="宋体" w:hAnsi="宋体" w:eastAsia="宋体" w:cs="宋体"/>
          <w:bCs/>
          <w:snapToGrid w:val="0"/>
          <w:color w:val="000000" w:themeColor="text1"/>
          <w:kern w:val="0"/>
          <w:sz w:val="28"/>
          <w:szCs w:val="20"/>
          <w14:textFill>
            <w14:solidFill>
              <w14:schemeClr w14:val="tx1"/>
            </w14:solidFill>
          </w14:textFill>
        </w:rPr>
        <w:t>项目</w:t>
      </w:r>
      <w:r>
        <w:rPr>
          <w:rFonts w:hint="eastAsia" w:ascii="宋体" w:hAnsi="宋体" w:eastAsia="宋体" w:cs="宋体"/>
          <w:snapToGrid w:val="0"/>
          <w:color w:val="000000" w:themeColor="text1"/>
          <w:kern w:val="0"/>
          <w:sz w:val="28"/>
          <w:szCs w:val="20"/>
          <w14:textFill>
            <w14:solidFill>
              <w14:schemeClr w14:val="tx1"/>
            </w14:solidFill>
          </w14:textFill>
        </w:rPr>
        <w:t>在生产过程中的危险、有害因素辨识，</w:t>
      </w:r>
      <w:r>
        <w:rPr>
          <w:rFonts w:hint="eastAsia" w:ascii="宋体" w:hAnsi="宋体" w:eastAsia="宋体" w:cs="宋体"/>
          <w:color w:val="000000" w:themeColor="text1"/>
          <w:sz w:val="28"/>
          <w:szCs w:val="28"/>
          <w14:textFill>
            <w14:solidFill>
              <w14:schemeClr w14:val="tx1"/>
            </w14:solidFill>
          </w14:textFill>
        </w:rPr>
        <w:t>分析出可能存在的主要危险、有害因素及其产生危险、危害后果的主要条件；</w:t>
      </w:r>
      <w:r>
        <w:rPr>
          <w:rFonts w:hint="eastAsia" w:ascii="宋体" w:hAnsi="宋体" w:eastAsia="宋体" w:cs="宋体"/>
          <w:snapToGrid w:val="0"/>
          <w:color w:val="000000" w:themeColor="text1"/>
          <w:kern w:val="0"/>
          <w:sz w:val="28"/>
          <w:szCs w:val="20"/>
          <w14:textFill>
            <w14:solidFill>
              <w14:schemeClr w14:val="tx1"/>
            </w14:solidFill>
          </w14:textFill>
        </w:rPr>
        <w:t>预测发生事故或造成职业危害的可能性及其严重程度，并提出科学、合理、可行的安全对策措施建议；</w:t>
      </w:r>
    </w:p>
    <w:p w14:paraId="3D79E2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3.通过安全现状评价，企业可进一步全面了解和掌握企业安全生产条件和安全管理状况，并通过完善安全措施，提高企业本质安全程度，预防事故发生，保障人员的生命安全及企业的财产安全。</w:t>
      </w:r>
    </w:p>
    <w:p w14:paraId="72916B65">
      <w:pPr>
        <w:pStyle w:val="4"/>
        <w:rPr>
          <w:rFonts w:hint="eastAsia" w:ascii="Times New Roman" w:hAnsi="Times New Roman" w:cs="Times New Roman"/>
          <w:color w:val="000000" w:themeColor="text1"/>
          <w14:textFill>
            <w14:solidFill>
              <w14:schemeClr w14:val="tx1"/>
            </w14:solidFill>
          </w14:textFill>
        </w:rPr>
      </w:pPr>
      <w:bookmarkStart w:id="24" w:name="_Toc3416"/>
      <w:r>
        <w:rPr>
          <w:rFonts w:hint="eastAsia"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2</w:t>
      </w:r>
      <w:r>
        <w:rPr>
          <w:rFonts w:hint="eastAsia" w:ascii="Times New Roman" w:hAnsi="Times New Roman" w:cs="Times New Roman"/>
          <w:color w:val="000000" w:themeColor="text1"/>
          <w14:textFill>
            <w14:solidFill>
              <w14:schemeClr w14:val="tx1"/>
            </w14:solidFill>
          </w14:textFill>
        </w:rPr>
        <w:t>评价对象及范围</w:t>
      </w:r>
      <w:bookmarkEnd w:id="24"/>
    </w:p>
    <w:p w14:paraId="1E807877">
      <w:pPr>
        <w:pStyle w:val="351"/>
        <w:keepNext w:val="0"/>
        <w:keepLines w:val="0"/>
        <w:pageBreakBefore w:val="0"/>
        <w:widowControl w:val="0"/>
        <w:kinsoku/>
        <w:wordWrap/>
        <w:overflowPunct/>
        <w:topLinePunct w:val="0"/>
        <w:autoSpaceDE/>
        <w:autoSpaceDN/>
        <w:bidi w:val="0"/>
        <w:adjustRightInd/>
        <w:snapToGrid/>
        <w:spacing w:after="0" w:line="500" w:lineRule="exact"/>
        <w:ind w:firstLine="560" w:firstLineChars="200"/>
        <w:rPr>
          <w:rFonts w:hint="eastAsia" w:ascii="宋体" w:hAnsi="宋体" w:eastAsia="宋体" w:cs="宋体"/>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评价对象：南华昆轻树脂瓦开发有限公司新型PVC树脂瓦及水泥瓦生产线。</w:t>
      </w:r>
    </w:p>
    <w:p w14:paraId="1D2C5F25">
      <w:pPr>
        <w:keepNext w:val="0"/>
        <w:keepLines w:val="0"/>
        <w:pageBreakBefore w:val="0"/>
        <w:widowControl w:val="0"/>
        <w:kinsoku/>
        <w:wordWrap/>
        <w:overflowPunct/>
        <w:topLinePunct w:val="0"/>
        <w:autoSpaceDE/>
        <w:autoSpaceDN/>
        <w:bidi w:val="0"/>
        <w:adjustRightInd/>
        <w:snapToGrid/>
        <w:spacing w:line="500" w:lineRule="exact"/>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本次安全现状评价的范围：南华昆轻树脂瓦开发有限公司新型PVC树脂瓦及水泥瓦生产线项目周边环</w:t>
      </w:r>
      <w:r>
        <w:rPr>
          <w:rFonts w:hint="eastAsia" w:ascii="宋体" w:hAnsi="宋体" w:cs="宋体"/>
          <w:color w:val="000000" w:themeColor="text1"/>
          <w:sz w:val="28"/>
          <w:szCs w:val="28"/>
          <w14:textFill>
            <w14:solidFill>
              <w14:schemeClr w14:val="tx1"/>
            </w14:solidFill>
          </w14:textFill>
        </w:rPr>
        <w:t>境、总平面布置、生产工艺</w:t>
      </w:r>
      <w:r>
        <w:rPr>
          <w:rFonts w:hint="eastAsia" w:ascii="宋体" w:hAnsi="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公用工程及生产设备设施现状、企业的安全生产管理等。</w:t>
      </w:r>
    </w:p>
    <w:p w14:paraId="65367FC7">
      <w:pPr>
        <w:pStyle w:val="28"/>
        <w:keepNext w:val="0"/>
        <w:keepLines w:val="0"/>
        <w:pageBreakBefore w:val="0"/>
        <w:widowControl w:val="0"/>
        <w:kinsoku/>
        <w:wordWrap/>
        <w:overflowPunct/>
        <w:topLinePunct w:val="0"/>
        <w:autoSpaceDE/>
        <w:autoSpaceDN/>
        <w:bidi w:val="0"/>
        <w:adjustRightInd/>
        <w:snapToGrid/>
        <w:spacing w:line="500" w:lineRule="exact"/>
        <w:ind w:right="-168" w:rightChars="-70" w:firstLine="600" w:firstLineChars="200"/>
        <w:rPr>
          <w:rFonts w:hint="eastAsia" w:ascii="宋体" w:hAnsi="宋体" w:eastAsia="宋体" w:cs="宋体"/>
          <w:color w:val="000000" w:themeColor="text1"/>
          <w:sz w:val="28"/>
          <w14:textFill>
            <w14:solidFill>
              <w14:schemeClr w14:val="tx1"/>
            </w14:solidFill>
          </w14:textFill>
        </w:rPr>
      </w:pPr>
      <w:bookmarkStart w:id="25" w:name="_Toc144566413"/>
      <w:bookmarkStart w:id="26" w:name="_Toc121371435"/>
      <w:bookmarkStart w:id="27" w:name="_Toc144146159"/>
      <w:r>
        <w:rPr>
          <w:rFonts w:hint="eastAsia" w:ascii="宋体" w:hAnsi="宋体" w:eastAsia="宋体" w:cs="宋体"/>
          <w:color w:val="000000" w:themeColor="text1"/>
          <w:spacing w:val="10"/>
          <w:sz w:val="28"/>
          <w:szCs w:val="28"/>
          <w14:textFill>
            <w14:solidFill>
              <w14:schemeClr w14:val="tx1"/>
            </w14:solidFill>
          </w14:textFill>
        </w:rPr>
        <w:t>凡涉及</w:t>
      </w:r>
      <w:r>
        <w:rPr>
          <w:rFonts w:hint="eastAsia" w:ascii="宋体" w:hAnsi="宋体" w:eastAsia="宋体" w:cs="宋体"/>
          <w:color w:val="000000" w:themeColor="text1"/>
          <w:sz w:val="28"/>
          <w:szCs w:val="28"/>
          <w14:textFill>
            <w14:solidFill>
              <w14:schemeClr w14:val="tx1"/>
            </w14:solidFill>
          </w14:textFill>
        </w:rPr>
        <w:t>项目的环境保护、职业卫生、消防、原辅材料和成品的厂外运输不在本次评价范围内</w:t>
      </w:r>
      <w:bookmarkEnd w:id="25"/>
      <w:bookmarkEnd w:id="26"/>
      <w:bookmarkEnd w:id="27"/>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pacing w:val="10"/>
          <w:sz w:val="28"/>
          <w:szCs w:val="28"/>
          <w14:textFill>
            <w14:solidFill>
              <w14:schemeClr w14:val="tx1"/>
            </w14:solidFill>
          </w14:textFill>
        </w:rPr>
        <w:t>但在评价过程中会有所提及。</w:t>
      </w:r>
      <w:r>
        <w:rPr>
          <w:rFonts w:hint="eastAsia" w:ascii="宋体" w:hAnsi="宋体" w:eastAsia="宋体" w:cs="宋体"/>
          <w:color w:val="000000" w:themeColor="text1"/>
          <w:sz w:val="28"/>
          <w:szCs w:val="28"/>
          <w14:textFill>
            <w14:solidFill>
              <w14:schemeClr w14:val="tx1"/>
            </w14:solidFill>
          </w14:textFill>
        </w:rPr>
        <w:t>有关这些方面的问题，企业在建设和生产过程中应严格执行国家相关法律、法规、标准和规范要求。</w:t>
      </w:r>
    </w:p>
    <w:bookmarkEnd w:id="23"/>
    <w:p w14:paraId="5B0C2F10">
      <w:pPr>
        <w:pStyle w:val="4"/>
        <w:rPr>
          <w:rFonts w:ascii="Times New Roman" w:hAnsi="Times New Roman" w:cs="Times New Roman"/>
          <w:color w:val="000000" w:themeColor="text1"/>
          <w14:textFill>
            <w14:solidFill>
              <w14:schemeClr w14:val="tx1"/>
            </w14:solidFill>
          </w14:textFill>
        </w:rPr>
      </w:pPr>
      <w:bookmarkStart w:id="28" w:name="_Toc335926125"/>
      <w:bookmarkStart w:id="29" w:name="_Toc313453420"/>
      <w:bookmarkStart w:id="30" w:name="_Toc22448"/>
      <w:bookmarkStart w:id="31" w:name="_Toc19336"/>
      <w:r>
        <w:rPr>
          <w:rFonts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安全评价依据</w:t>
      </w:r>
      <w:bookmarkEnd w:id="28"/>
      <w:bookmarkEnd w:id="29"/>
      <w:bookmarkEnd w:id="30"/>
      <w:bookmarkEnd w:id="31"/>
    </w:p>
    <w:p w14:paraId="678E1BB0">
      <w:pPr>
        <w:pStyle w:val="5"/>
        <w:rPr>
          <w:rFonts w:ascii="Times New Roman" w:hAnsi="Times New Roman"/>
          <w:color w:val="000000" w:themeColor="text1"/>
          <w14:textFill>
            <w14:solidFill>
              <w14:schemeClr w14:val="tx1"/>
            </w14:solidFill>
          </w14:textFill>
        </w:rPr>
      </w:pPr>
      <w:bookmarkStart w:id="32" w:name="_Toc313453421"/>
      <w:bookmarkStart w:id="33" w:name="_Toc335926126"/>
      <w:bookmarkStart w:id="34" w:name="_Toc25627"/>
      <w:bookmarkStart w:id="35" w:name="_Toc13245"/>
      <w:r>
        <w:rPr>
          <w:rFonts w:ascii="Times New Roman" w:hAnsi="Times New Roman"/>
          <w:color w:val="000000" w:themeColor="text1"/>
          <w14:textFill>
            <w14:solidFill>
              <w14:schemeClr w14:val="tx1"/>
            </w14:solidFill>
          </w14:textFill>
        </w:rPr>
        <w:t>1</w:t>
      </w:r>
      <w:r>
        <w:rPr>
          <w:rFonts w:ascii="Times New Roman" w:hAnsi="Times New Roman"/>
          <w:color w:val="000000" w:themeColor="text1"/>
          <w:szCs w:val="36"/>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szCs w:val="36"/>
          <w14:textFill>
            <w14:solidFill>
              <w14:schemeClr w14:val="tx1"/>
            </w14:solidFill>
          </w14:textFill>
        </w:rPr>
        <w:t>.</w:t>
      </w:r>
      <w:r>
        <w:rPr>
          <w:rFonts w:ascii="Times New Roman" w:hAnsi="Times New Roman"/>
          <w:color w:val="000000" w:themeColor="text1"/>
          <w14:textFill>
            <w14:solidFill>
              <w14:schemeClr w14:val="tx1"/>
            </w14:solidFill>
          </w14:textFill>
        </w:rPr>
        <w:t>1法律法规</w:t>
      </w:r>
      <w:bookmarkEnd w:id="32"/>
      <w:bookmarkEnd w:id="33"/>
      <w:bookmarkEnd w:id="34"/>
      <w:bookmarkEnd w:id="35"/>
    </w:p>
    <w:p w14:paraId="7FA70B1D">
      <w:pPr>
        <w:pStyle w:val="320"/>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1.《中华人民共和国安全生产法》（中华人员共和国主席令第88号，全国人民代表大会常务委员会关于修改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中华人民共和国安全生产法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的决定，已由中华人民共和国第十三届全国人民代表大会常务委员会第二十九次会议于2021年6月10日通过，现予公布，自2021年9月1日起施行）；</w:t>
      </w:r>
    </w:p>
    <w:p w14:paraId="0EAB16B6">
      <w:pPr>
        <w:pStyle w:val="320"/>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2.《中华人民共和国劳动法》（中华人民共和国主席令第28号，2018年12月29日第二次修改）；</w:t>
      </w:r>
    </w:p>
    <w:p w14:paraId="2955C95C">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3.《中华人民共和国环境保护法》（中华人民共和国主席令第9号，自2015年1月1日起施行）；</w:t>
      </w:r>
    </w:p>
    <w:p w14:paraId="002262F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4.《中华人民共和国职业病防治法》（中华人民共和国主席令第24号，2018年12月29日第三次修正）。</w:t>
      </w:r>
    </w:p>
    <w:p w14:paraId="7775F01B">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5.《中华人民共和国突发事件应对法》（国家主席令第69号，自2007年11月1日起施行）；</w:t>
      </w:r>
    </w:p>
    <w:p w14:paraId="50DEA1AE">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6.《中华人民共和国消防法》（国家主席令</w:t>
      </w:r>
      <w:r>
        <w:rPr>
          <w:rFonts w:hint="eastAsia" w:ascii="宋体" w:hAnsi="宋体" w:eastAsia="宋体" w:cs="宋体"/>
          <w:color w:val="000000" w:themeColor="text1"/>
          <w:sz w:val="28"/>
          <w:szCs w:val="28"/>
          <w:lang w:val="en-US" w:eastAsia="zh-CN"/>
          <w14:textFill>
            <w14:solidFill>
              <w14:schemeClr w14:val="tx1"/>
            </w14:solidFill>
          </w14:textFill>
        </w:rPr>
        <w:t>81</w:t>
      </w:r>
      <w:r>
        <w:rPr>
          <w:rFonts w:hint="eastAsia" w:ascii="宋体" w:hAnsi="宋体" w:eastAsia="宋体" w:cs="宋体"/>
          <w:color w:val="000000" w:themeColor="text1"/>
          <w:sz w:val="28"/>
          <w:szCs w:val="28"/>
          <w14:textFill>
            <w14:solidFill>
              <w14:schemeClr w14:val="tx1"/>
            </w14:solidFill>
          </w14:textFill>
        </w:rPr>
        <w:t>号，自2021年4月2</w:t>
      </w:r>
      <w:r>
        <w:rPr>
          <w:rFonts w:hint="eastAsia" w:ascii="宋体" w:hAnsi="宋体" w:eastAsia="宋体" w:cs="宋体"/>
          <w:color w:val="000000" w:themeColor="text1"/>
          <w:sz w:val="28"/>
          <w:szCs w:val="28"/>
          <w:lang w:val="en-US" w:eastAsia="zh-CN"/>
          <w14:textFill>
            <w14:solidFill>
              <w14:schemeClr w14:val="tx1"/>
            </w14:solidFill>
          </w14:textFill>
        </w:rPr>
        <w:t>9</w:t>
      </w:r>
      <w:r>
        <w:rPr>
          <w:rFonts w:hint="eastAsia" w:ascii="宋体" w:hAnsi="宋体" w:eastAsia="宋体" w:cs="宋体"/>
          <w:color w:val="000000" w:themeColor="text1"/>
          <w:sz w:val="28"/>
          <w:szCs w:val="28"/>
          <w14:textFill>
            <w14:solidFill>
              <w14:schemeClr w14:val="tx1"/>
            </w14:solidFill>
          </w14:textFill>
        </w:rPr>
        <w:t>日起施行）</w:t>
      </w:r>
      <w:r>
        <w:rPr>
          <w:rFonts w:hint="eastAsia" w:ascii="宋体" w:hAnsi="宋体" w:eastAsia="宋体" w:cs="宋体"/>
          <w:color w:val="000000" w:themeColor="text1"/>
          <w:sz w:val="28"/>
          <w:szCs w:val="28"/>
          <w:lang w:eastAsia="zh-CN"/>
          <w14:textFill>
            <w14:solidFill>
              <w14:schemeClr w14:val="tx1"/>
            </w14:solidFill>
          </w14:textFill>
        </w:rPr>
        <w:t>；</w:t>
      </w:r>
    </w:p>
    <w:p w14:paraId="198C3F26">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《中华人民共和国特种设备安全法》（中华人民共和国主席令第</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号</w:t>
      </w:r>
      <w:r>
        <w:rPr>
          <w:rFonts w:hint="eastAsia" w:ascii="宋体" w:hAnsi="宋体" w:eastAsia="宋体" w:cs="宋体"/>
          <w:color w:val="000000" w:themeColor="text1"/>
          <w:sz w:val="28"/>
          <w:szCs w:val="28"/>
          <w:lang w:eastAsia="zh-CN"/>
          <w14:textFill>
            <w14:solidFill>
              <w14:schemeClr w14:val="tx1"/>
            </w14:solidFill>
          </w14:textFill>
        </w:rPr>
        <w:t>，自2014年1月1日起施行</w:t>
      </w:r>
      <w:r>
        <w:rPr>
          <w:rFonts w:hint="eastAsia" w:ascii="宋体" w:hAnsi="宋体" w:eastAsia="宋体" w:cs="宋体"/>
          <w:color w:val="000000" w:themeColor="text1"/>
          <w:sz w:val="28"/>
          <w:szCs w:val="28"/>
          <w14:textFill>
            <w14:solidFill>
              <w14:schemeClr w14:val="tx1"/>
            </w14:solidFill>
          </w14:textFill>
        </w:rPr>
        <w:t>）。</w:t>
      </w:r>
    </w:p>
    <w:p w14:paraId="2362E833">
      <w:pPr>
        <w:pStyle w:val="5"/>
        <w:rPr>
          <w:rFonts w:hint="eastAsia" w:ascii="Times New Roman" w:hAnsi="Times New Roman" w:cs="Times New Roman"/>
          <w:color w:val="000000" w:themeColor="text1"/>
          <w14:textFill>
            <w14:solidFill>
              <w14:schemeClr w14:val="tx1"/>
            </w14:solidFill>
          </w14:textFill>
        </w:rPr>
      </w:pPr>
      <w:bookmarkStart w:id="36" w:name="_Toc313453422"/>
      <w:bookmarkStart w:id="37" w:name="_Toc335926127"/>
      <w:bookmarkStart w:id="38" w:name="_Toc13385"/>
      <w:bookmarkStart w:id="39" w:name="_Toc13574"/>
      <w:r>
        <w:rPr>
          <w:rFonts w:hint="eastAsia"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.2</w:t>
      </w:r>
      <w:bookmarkEnd w:id="36"/>
      <w:r>
        <w:rPr>
          <w:rFonts w:hint="eastAsia" w:ascii="Times New Roman" w:hAnsi="Times New Roman" w:cs="Times New Roman"/>
          <w:color w:val="000000" w:themeColor="text1"/>
          <w14:textFill>
            <w14:solidFill>
              <w14:schemeClr w14:val="tx1"/>
            </w14:solidFill>
          </w14:textFill>
        </w:rPr>
        <w:t>行政法规</w:t>
      </w:r>
      <w:bookmarkEnd w:id="37"/>
      <w:bookmarkEnd w:id="38"/>
      <w:bookmarkEnd w:id="39"/>
    </w:p>
    <w:p w14:paraId="3CF6FA61">
      <w:pPr>
        <w:pageBreakBefore w:val="0"/>
        <w:widowControl w:val="0"/>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1．《国务院关于进一步加强企业安全生产工作的通知》（国发〔2010〕23号）；</w:t>
      </w:r>
    </w:p>
    <w:p w14:paraId="5CFED831">
      <w:pPr>
        <w:pageBreakBefore w:val="0"/>
        <w:widowControl w:val="0"/>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2．《工伤保险条例》（中华人民共和国国务院令第586号修订，自2011年1月1日起施行）；</w:t>
      </w:r>
    </w:p>
    <w:p w14:paraId="2AEB8959">
      <w:pPr>
        <w:pageBreakBefore w:val="0"/>
        <w:widowControl w:val="0"/>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3．《特种设备安全监察条例》（国务院令第549号，2009年5月1日施行）；</w:t>
      </w:r>
    </w:p>
    <w:p w14:paraId="183A0EF4">
      <w:pPr>
        <w:pageBreakBefore w:val="0"/>
        <w:widowControl w:val="0"/>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．《生产安全事故报告和调查处理条例》（国务院令第493号</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2007年6月1日起施行</w:t>
      </w:r>
      <w:r>
        <w:rPr>
          <w:rFonts w:hint="eastAsia" w:ascii="宋体" w:hAnsi="宋体" w:eastAsia="宋体" w:cs="宋体"/>
          <w:color w:val="000000" w:themeColor="text1"/>
          <w:sz w:val="28"/>
          <w:szCs w:val="28"/>
          <w14:textFill>
            <w14:solidFill>
              <w14:schemeClr w14:val="tx1"/>
            </w14:solidFill>
          </w14:textFill>
        </w:rPr>
        <w:t>）；</w:t>
      </w:r>
    </w:p>
    <w:p w14:paraId="1D9C83A1">
      <w:pPr>
        <w:pageBreakBefore w:val="0"/>
        <w:widowControl w:val="0"/>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5.《危险化学品安全管理条例》(2002年1月26日中华人民共和国国务院令第344号公布　2013年12月7日修订)</w:t>
      </w:r>
    </w:p>
    <w:p w14:paraId="48B12267">
      <w:pPr>
        <w:pageBreakBefore w:val="0"/>
        <w:widowControl w:val="0"/>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6.《生产安全事故应急条例》（国务院令第708号，2019年4月1日起实施）。</w:t>
      </w:r>
    </w:p>
    <w:p w14:paraId="5D10CF05">
      <w:pPr>
        <w:pStyle w:val="5"/>
        <w:rPr>
          <w:rFonts w:hint="eastAsia" w:ascii="Times New Roman" w:hAnsi="Times New Roman" w:cs="Times New Roman"/>
          <w:color w:val="000000" w:themeColor="text1"/>
          <w14:textFill>
            <w14:solidFill>
              <w14:schemeClr w14:val="tx1"/>
            </w14:solidFill>
          </w14:textFill>
        </w:rPr>
      </w:pPr>
      <w:bookmarkStart w:id="40" w:name="_Toc353"/>
      <w:bookmarkStart w:id="41" w:name="_Toc23779"/>
      <w:r>
        <w:rPr>
          <w:rFonts w:hint="eastAsia"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.3部门规章</w:t>
      </w:r>
      <w:bookmarkEnd w:id="40"/>
      <w:bookmarkEnd w:id="41"/>
    </w:p>
    <w:p w14:paraId="3AE663B2">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工贸企业重大事故隐患判定标准</w:t>
      </w:r>
      <w:r>
        <w:rPr>
          <w:rFonts w:hint="eastAsia" w:ascii="宋体" w:hAnsi="宋体" w:eastAsia="宋体" w:cs="宋体"/>
          <w:color w:val="000000" w:themeColor="text1"/>
          <w:sz w:val="28"/>
          <w:szCs w:val="28"/>
          <w:lang w:eastAsia="zh-CN"/>
          <w14:textFill>
            <w14:solidFill>
              <w14:schemeClr w14:val="tx1"/>
            </w14:solidFill>
          </w14:textFill>
        </w:rPr>
        <w:t>》（应急管理部令第10号公布，自2023年5月15日起施行）；</w:t>
      </w:r>
    </w:p>
    <w:p w14:paraId="0625076D">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FF"/>
          <w:sz w:val="28"/>
          <w:szCs w:val="28"/>
        </w:rPr>
      </w:pPr>
      <w:r>
        <w:rPr>
          <w:rFonts w:hint="default" w:ascii="宋体" w:hAnsi="宋体" w:eastAsia="宋体" w:cs="宋体"/>
          <w:color w:val="0000FF"/>
          <w:sz w:val="28"/>
          <w:szCs w:val="28"/>
          <w:lang w:val="zh-CN"/>
        </w:rPr>
        <w:t>《危险化学品目录（2022调整版）》（中华人民共和国应急管理部等十部委2022年第8号公告，</w:t>
      </w:r>
      <w:r>
        <w:rPr>
          <w:rFonts w:hint="default" w:ascii="宋体" w:hAnsi="宋体" w:eastAsia="宋体" w:cs="宋体"/>
          <w:color w:val="0000FF"/>
          <w:sz w:val="28"/>
          <w:szCs w:val="28"/>
        </w:rPr>
        <w:t>自2023年1月1日起施行</w:t>
      </w:r>
      <w:r>
        <w:rPr>
          <w:rFonts w:hint="default" w:ascii="宋体" w:hAnsi="宋体" w:eastAsia="宋体" w:cs="宋体"/>
          <w:color w:val="0000FF"/>
          <w:sz w:val="28"/>
          <w:szCs w:val="28"/>
          <w:lang w:val="zh-CN"/>
        </w:rPr>
        <w:t>）</w:t>
      </w:r>
      <w:r>
        <w:rPr>
          <w:rFonts w:hint="eastAsia" w:hAnsi="宋体" w:cs="宋体"/>
          <w:color w:val="0000FF"/>
          <w:sz w:val="28"/>
          <w:szCs w:val="28"/>
          <w:lang w:val="zh-CN"/>
        </w:rPr>
        <w:t>；</w:t>
      </w:r>
    </w:p>
    <w:p w14:paraId="2D188B6C">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应急管理部办公厅关于修改</w:t>
      </w:r>
      <w:r>
        <w:rPr>
          <w:rFonts w:hint="eastAsia" w:ascii="宋体" w:hAnsi="宋体" w:eastAsia="宋体" w:cs="宋体"/>
          <w:color w:val="000000" w:themeColor="text1"/>
          <w:sz w:val="28"/>
          <w:szCs w:val="28"/>
          <w:lang w:val="en-US" w:eastAsia="zh-CN"/>
          <w14:textFill>
            <w14:solidFill>
              <w14:schemeClr w14:val="tx1"/>
            </w14:solidFill>
          </w14:textFill>
        </w:rPr>
        <w:t>&lt;</w:t>
      </w:r>
      <w:r>
        <w:rPr>
          <w:rFonts w:hint="eastAsia" w:ascii="宋体" w:hAnsi="宋体" w:eastAsia="宋体" w:cs="宋体"/>
          <w:color w:val="000000" w:themeColor="text1"/>
          <w:sz w:val="28"/>
          <w:szCs w:val="28"/>
          <w14:textFill>
            <w14:solidFill>
              <w14:schemeClr w14:val="tx1"/>
            </w14:solidFill>
          </w14:textFill>
        </w:rPr>
        <w:t>危险化学品目录（2015版）实施指南（试行）</w:t>
      </w:r>
      <w:r>
        <w:rPr>
          <w:rFonts w:hint="eastAsia" w:ascii="宋体" w:hAnsi="宋体" w:eastAsia="宋体" w:cs="宋体"/>
          <w:color w:val="000000" w:themeColor="text1"/>
          <w:sz w:val="28"/>
          <w:szCs w:val="28"/>
          <w:lang w:val="en-US" w:eastAsia="zh-CN"/>
          <w14:textFill>
            <w14:solidFill>
              <w14:schemeClr w14:val="tx1"/>
            </w14:solidFill>
          </w14:textFill>
        </w:rPr>
        <w:t>&gt;</w:t>
      </w:r>
      <w:r>
        <w:rPr>
          <w:rFonts w:hint="eastAsia" w:ascii="宋体" w:hAnsi="宋体" w:eastAsia="宋体" w:cs="宋体"/>
          <w:color w:val="000000" w:themeColor="text1"/>
          <w:sz w:val="28"/>
          <w:szCs w:val="28"/>
          <w14:textFill>
            <w14:solidFill>
              <w14:schemeClr w14:val="tx1"/>
            </w14:solidFill>
          </w14:textFill>
        </w:rPr>
        <w:t>涉及柴油部分内容的通知</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自2023年1月1日起实施</w:t>
      </w:r>
      <w:r>
        <w:rPr>
          <w:rFonts w:hint="eastAsia" w:ascii="宋体" w:hAnsi="宋体" w:eastAsia="宋体" w:cs="宋体"/>
          <w:color w:val="000000" w:themeColor="text1"/>
          <w:sz w:val="28"/>
          <w:szCs w:val="28"/>
          <w:lang w:val="en-US" w:eastAsia="zh-CN"/>
          <w14:textFill>
            <w14:solidFill>
              <w14:schemeClr w14:val="tx1"/>
            </w14:solidFill>
          </w14:textFill>
        </w:rPr>
        <w:t>）；</w:t>
      </w:r>
    </w:p>
    <w:p w14:paraId="5EEC6EB4">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《企业安全生产费用提取和使用管理办法》（财</w:t>
      </w:r>
      <w:r>
        <w:rPr>
          <w:rFonts w:hint="eastAsia" w:ascii="宋体" w:hAnsi="宋体" w:eastAsia="宋体" w:cs="宋体"/>
          <w:color w:val="000000" w:themeColor="text1"/>
          <w:sz w:val="28"/>
          <w:szCs w:val="28"/>
          <w:lang w:val="en-US" w:eastAsia="zh-CN"/>
          <w14:textFill>
            <w14:solidFill>
              <w14:schemeClr w14:val="tx1"/>
            </w14:solidFill>
          </w14:textFill>
        </w:rPr>
        <w:t>资</w:t>
      </w:r>
      <w:r>
        <w:rPr>
          <w:rFonts w:hint="eastAsia" w:ascii="宋体" w:hAnsi="宋体" w:eastAsia="宋体" w:cs="宋体"/>
          <w:color w:val="000000" w:themeColor="text1"/>
          <w:sz w:val="28"/>
          <w:szCs w:val="28"/>
          <w14:textFill>
            <w14:solidFill>
              <w14:schemeClr w14:val="tx1"/>
            </w14:solidFill>
          </w14:textFill>
        </w:rPr>
        <w:t>〔20</w:t>
      </w:r>
      <w:r>
        <w:rPr>
          <w:rFonts w:hint="eastAsia" w:ascii="宋体" w:hAnsi="宋体" w:eastAsia="宋体" w:cs="宋体"/>
          <w:color w:val="000000" w:themeColor="text1"/>
          <w:sz w:val="28"/>
          <w:szCs w:val="28"/>
          <w:lang w:val="en-US" w:eastAsia="zh-CN"/>
          <w14:textFill>
            <w14:solidFill>
              <w14:schemeClr w14:val="tx1"/>
            </w14:solidFill>
          </w14:textFill>
        </w:rPr>
        <w:t>22</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136</w:t>
      </w:r>
      <w:r>
        <w:rPr>
          <w:rFonts w:hint="eastAsia" w:ascii="宋体" w:hAnsi="宋体" w:eastAsia="宋体" w:cs="宋体"/>
          <w:color w:val="000000" w:themeColor="text1"/>
          <w:sz w:val="28"/>
          <w:szCs w:val="28"/>
          <w14:textFill>
            <w14:solidFill>
              <w14:schemeClr w14:val="tx1"/>
            </w14:solidFill>
          </w14:textFill>
        </w:rPr>
        <w:t>号）；</w:t>
      </w:r>
    </w:p>
    <w:p w14:paraId="385B6A9D">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《生产经营单位安全培训规定》（国家安全生产监督管理总局令第3号，根据国家安全监管总局令第63号修正；根据国家安全监管总局令第80号修正）；</w:t>
      </w:r>
    </w:p>
    <w:p w14:paraId="2B5CC8DC">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《安全生产违法行为行政处罚办法》（国家安全生产监督管理总局令第15号）；</w:t>
      </w:r>
    </w:p>
    <w:p w14:paraId="6DB80859">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《安全生产事故隐患排查治理暂行规定》（国家安全生产监督管理总局令第16号）；</w:t>
      </w:r>
    </w:p>
    <w:p w14:paraId="7CC9A48D">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《生产安全事故应急预案管理办法》（国家安全生产监督管理总局令第88号，应急管理部第2号修改，2019年9月1日起实施）；</w:t>
      </w:r>
    </w:p>
    <w:p w14:paraId="445B1EC0">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《特种作业人员安全技术培训考核管理规定》（修订）（国家安全生产监督管理总局令第30号发布，根据国家安全监管总局令第63号修正，根据国家安全监管总局令第80号修正）；</w:t>
      </w:r>
    </w:p>
    <w:p w14:paraId="320B9428">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《安全生产培训管理办法》（国家安全生产监督管理总局令第44号，根据国家安全监管总局令第63号第一次修正，根据国家安全监管总局令第80号第二次修正）；</w:t>
      </w:r>
    </w:p>
    <w:p w14:paraId="2C2414B5">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工贸企业有限空间作业安全规定</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（应急管理部令第13号公布，自2024年1月1日起施行）；</w:t>
      </w:r>
    </w:p>
    <w:p w14:paraId="27A353FF">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《国家安全监管总局关于修改〈生产经营单位安全培训规定〉等11件规章的决定》（国家安全生产监督管理总局令第63号）；</w:t>
      </w:r>
    </w:p>
    <w:p w14:paraId="798B2B63">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《国家安全监管总局关于修改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生产安全事故报告和调查处理条例</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罚款处罚暂行规定等四部规章的决定》（国家安全生产监督管理总局令第77号）；</w:t>
      </w:r>
    </w:p>
    <w:p w14:paraId="3F290672">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《消防监督检查规定》（中华人民共和国公安部令第120号）；</w:t>
      </w:r>
    </w:p>
    <w:p w14:paraId="6C126450">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《质检总局关于修订《特种设备目录》的公告》（国家质量监督检验检疫总局2014年第114号）；</w:t>
      </w:r>
    </w:p>
    <w:p w14:paraId="24B6CA54">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《国家质量监督检验检疫总局关于修改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特种设备作业人员监督管理办法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的决定》（国家质量监督检验检疫总局第140号）；</w:t>
      </w:r>
    </w:p>
    <w:p w14:paraId="4A0E941B">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default" w:ascii="宋体" w:hAnsi="宋体" w:eastAsia="宋体" w:cs="宋体"/>
          <w:color w:val="0000FF"/>
          <w:sz w:val="28"/>
          <w:szCs w:val="28"/>
        </w:rPr>
        <w:t>《产业结构调整指导目录（2024年本）》（中华人民共和国国家发展和改革委员会令第7号，自2024年2月1日起施行）</w:t>
      </w:r>
      <w:r>
        <w:rPr>
          <w:rFonts w:hint="default" w:ascii="宋体" w:hAnsi="宋体" w:eastAsia="宋体" w:cs="宋体"/>
          <w:color w:val="000000" w:themeColor="text1"/>
          <w:sz w:val="28"/>
          <w:szCs w:val="28"/>
          <w14:textFill>
            <w14:solidFill>
              <w14:schemeClr w14:val="tx1"/>
            </w14:solidFill>
          </w14:textFill>
        </w:rPr>
        <w:t>；</w:t>
      </w:r>
    </w:p>
    <w:p w14:paraId="24DD7CFD">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《国家发展改革委关于修改</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产业结构调整指导目录（2011年本）</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有关条款的决定》（中华人民共和国国家发展和改革委员会令第21号）；</w:t>
      </w:r>
    </w:p>
    <w:p w14:paraId="5D5E3CDC">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《部分工业行业淘汰落后生产工艺装备和产品指导目录（2010年本）》（中华人民共和国工业和信息化部公告工产业〔2010〕第122号）；</w:t>
      </w:r>
    </w:p>
    <w:p w14:paraId="75236CB2">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left="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《防雷减灾管理办法》（中国气象局〔</w:t>
      </w:r>
      <w:r>
        <w:rPr>
          <w:rFonts w:hint="eastAsia" w:ascii="宋体" w:hAnsi="宋体" w:eastAsia="宋体" w:cs="宋体"/>
          <w:color w:val="000000" w:themeColor="text1"/>
          <w:sz w:val="28"/>
          <w:szCs w:val="28"/>
          <w:lang w:val="en-US" w:eastAsia="zh-CN"/>
          <w14:textFill>
            <w14:solidFill>
              <w14:schemeClr w14:val="tx1"/>
            </w14:solidFill>
          </w14:textFill>
        </w:rPr>
        <w:t>2013</w:t>
      </w:r>
      <w:r>
        <w:rPr>
          <w:rFonts w:hint="eastAsia" w:ascii="宋体" w:hAnsi="宋体" w:eastAsia="宋体" w:cs="宋体"/>
          <w:color w:val="000000" w:themeColor="text1"/>
          <w:sz w:val="28"/>
          <w:szCs w:val="28"/>
          <w14:textFill>
            <w14:solidFill>
              <w14:schemeClr w14:val="tx1"/>
            </w14:solidFill>
          </w14:textFill>
        </w:rPr>
        <w:t>〕第24号）。</w:t>
      </w:r>
    </w:p>
    <w:p w14:paraId="76C18CF8">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《建设工程消防设计审查验收管理暂行规定》（中华人民共和国住房和城乡建设部令第51号 自2020年6月1日起施行）；</w:t>
      </w:r>
    </w:p>
    <w:p w14:paraId="6509D024">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《国家质量监督检验检疫总局关于修改〈特种设备作业人员监督管理办法〉的决定》（国家质量监督检验检疫总局第140号）；</w:t>
      </w:r>
    </w:p>
    <w:p w14:paraId="1C2CF3D9">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《部分工业行业淘汰落后生产工艺装备和产品指导目录（2010年本）》（中华人民共和国工业和信息化部公告工产业〔2010〕第122号）；</w:t>
      </w:r>
    </w:p>
    <w:p w14:paraId="4569F0DF">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《防雷减灾管理办法》（中国气象局第24号）</w:t>
      </w:r>
      <w:r>
        <w:rPr>
          <w:rFonts w:hint="eastAsia" w:hAnsi="宋体" w:cs="宋体"/>
          <w:color w:val="000000" w:themeColor="text1"/>
          <w:sz w:val="28"/>
          <w:szCs w:val="28"/>
          <w:lang w:eastAsia="zh-CN"/>
          <w14:textFill>
            <w14:solidFill>
              <w14:schemeClr w14:val="tx1"/>
            </w14:solidFill>
          </w14:textFill>
        </w:rPr>
        <w:t>；</w:t>
      </w:r>
    </w:p>
    <w:p w14:paraId="3F80B8E3">
      <w:pPr>
        <w:keepNext w:val="0"/>
        <w:keepLines w:val="0"/>
        <w:pageBreakBefore w:val="0"/>
        <w:widowControl w:val="0"/>
        <w:numPr>
          <w:ilvl w:val="0"/>
          <w:numId w:val="3"/>
        </w:numPr>
        <w:tabs>
          <w:tab w:val="left" w:pos="0"/>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《生产安全事故罚款处罚规定》（中华人民共和国应急管理部令第14号）。</w:t>
      </w:r>
    </w:p>
    <w:p w14:paraId="7A21E4DB">
      <w:pPr>
        <w:pStyle w:val="9"/>
        <w:rPr>
          <w:rFonts w:hint="eastAsia"/>
          <w:color w:val="000000" w:themeColor="text1"/>
          <w14:textFill>
            <w14:solidFill>
              <w14:schemeClr w14:val="tx1"/>
            </w14:solidFill>
          </w14:textFill>
        </w:rPr>
      </w:pPr>
    </w:p>
    <w:p w14:paraId="7AAC3272">
      <w:pPr>
        <w:pStyle w:val="5"/>
        <w:rPr>
          <w:rFonts w:hint="eastAsia" w:ascii="Times New Roman" w:hAnsi="Times New Roman" w:cs="Times New Roman"/>
          <w:color w:val="000000" w:themeColor="text1"/>
          <w14:textFill>
            <w14:solidFill>
              <w14:schemeClr w14:val="tx1"/>
            </w14:solidFill>
          </w14:textFill>
        </w:rPr>
      </w:pPr>
      <w:bookmarkStart w:id="42" w:name="_Toc327017722"/>
      <w:bookmarkStart w:id="43" w:name="_Toc309682388"/>
      <w:bookmarkStart w:id="44" w:name="_Toc18270"/>
      <w:bookmarkStart w:id="45" w:name="_Toc335926128"/>
      <w:bookmarkStart w:id="46" w:name="_Toc5584"/>
      <w:bookmarkStart w:id="47" w:name="_Toc313453423"/>
      <w:r>
        <w:rPr>
          <w:rFonts w:hint="eastAsia"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.4地方有关法规</w:t>
      </w:r>
      <w:bookmarkEnd w:id="42"/>
      <w:bookmarkEnd w:id="43"/>
      <w:r>
        <w:rPr>
          <w:rFonts w:hint="eastAsia" w:ascii="Times New Roman" w:hAnsi="Times New Roman" w:cs="Times New Roman"/>
          <w:color w:val="000000" w:themeColor="text1"/>
          <w14:textFill>
            <w14:solidFill>
              <w14:schemeClr w14:val="tx1"/>
            </w14:solidFill>
          </w14:textFill>
        </w:rPr>
        <w:t>文件</w:t>
      </w:r>
      <w:bookmarkEnd w:id="44"/>
      <w:bookmarkEnd w:id="45"/>
      <w:bookmarkEnd w:id="46"/>
    </w:p>
    <w:p w14:paraId="2DD493BA">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《云南省安全生产条例》（云南省第十二届人民代表大会常务委员会第三十八次会议于2017年11月30日修订通过，2018年1月1日起施行）；</w:t>
      </w:r>
    </w:p>
    <w:p w14:paraId="5FD18698">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《云南省消防条例》（根据《云南省人民代表大会常务委员会关于修改部分地方性法规的决定》修改，云南省第十三届人民代表大会常务委员会公告第（43）号，自2020年11月25日起施行）</w:t>
      </w:r>
      <w:r>
        <w:rPr>
          <w:rFonts w:hint="eastAsia" w:ascii="宋体" w:hAnsi="宋体" w:eastAsia="宋体" w:cs="宋体"/>
          <w:color w:val="000000" w:themeColor="text1"/>
          <w:kern w:val="0"/>
          <w:sz w:val="28"/>
          <w:szCs w:val="28"/>
          <w:lang w:eastAsia="zh-CN"/>
          <w14:textFill>
            <w14:solidFill>
              <w14:schemeClr w14:val="tx1"/>
            </w14:solidFill>
          </w14:textFill>
        </w:rPr>
        <w:t>；</w:t>
      </w:r>
    </w:p>
    <w:p w14:paraId="08C8B963">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《云南省人民政府贯彻落实国务院关于进一步加强企业安全生产工作通知的实施意见》（云政发〔2010〕157号）；</w:t>
      </w:r>
    </w:p>
    <w:p w14:paraId="230CC9C1">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《云南省人民政府关于进一步加强安全生产工作的决定》（云政发〔2011〕229号）；</w:t>
      </w:r>
    </w:p>
    <w:p w14:paraId="28496273">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《云南省安全生产培训管理规定》（云南省安全生产监督管理局公告第38号）；</w:t>
      </w:r>
    </w:p>
    <w:p w14:paraId="1C94C054">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《云南省人民政府关于印发&lt;云南省生产经营单位安全生产主体责任规定&gt;的通知》（云政规〔2022〕4号）；</w:t>
      </w:r>
    </w:p>
    <w:p w14:paraId="6A423346">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《云南省安全生产监督管理局关于进一步加强工贸行业有限空间作业安全生产工作的通知》（云安监管函〔2016〕85号，自2016年5月8日）；</w:t>
      </w:r>
    </w:p>
    <w:p w14:paraId="31F231B9">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《关于深入开展工贸行业有限空间作业生产安全事故隐患排查治理暨有限空间作业条件确认安全监管执法2018年-2020年专项行动工作方案》（云安监管〔2018〕7号，自2018年12月06日起施行）；</w:t>
      </w:r>
    </w:p>
    <w:p w14:paraId="7DE8CC2E">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《云南省应急管理厅关于印发云南省工贸行业企业安全风险源点定性定量判别参考标准指南的通知》（云应急〔2022〕8号）；</w:t>
      </w:r>
    </w:p>
    <w:p w14:paraId="6AEFC5F1">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《云南省应急管理厅关于印发云南省工贸企业安全生产主体责任重点事项清单的通知》（云应急〔2022〕9号）；</w:t>
      </w:r>
    </w:p>
    <w:p w14:paraId="35B38741">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《云南省安全生产委员会办公室关于进一步加强企业安全培训教育工作的通知》（云安办〔2022〕9号）；</w:t>
      </w:r>
    </w:p>
    <w:p w14:paraId="5BF0551A">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《云南省安全生产委员会办公室关于印发&lt;云南省工贸行业安全生产综合治理实施方案&gt;的通知》（云安办〔2020〕16号）；</w:t>
      </w:r>
    </w:p>
    <w:p w14:paraId="651C5E26">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《云南省安全生产委员会关于建立完善安全风险分级管控和隐患排查治理双重预防机制的指导意见》（云安〔2021〕3号）；</w:t>
      </w:r>
    </w:p>
    <w:p w14:paraId="08D3612D">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《云南省应急管理厅关于学习使用&lt;有限空间作业安全指导手册&gt;和4个专题系列折页的通知》（云应急函〔2020〕238号）；</w:t>
      </w:r>
    </w:p>
    <w:p w14:paraId="5E1BAB28">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《云南省应急管理厅云南银保监局关于规范推进安全生产责任保险工作的通知》（云应急〔2022〕48号）</w:t>
      </w:r>
      <w:r>
        <w:rPr>
          <w:rFonts w:hint="eastAsia" w:hAnsi="宋体" w:cs="宋体"/>
          <w:color w:val="000000" w:themeColor="text1"/>
          <w:sz w:val="28"/>
          <w:szCs w:val="28"/>
          <w:lang w:eastAsia="zh-CN"/>
          <w14:textFill>
            <w14:solidFill>
              <w14:schemeClr w14:val="tx1"/>
            </w14:solidFill>
          </w14:textFill>
        </w:rPr>
        <w:t>；</w:t>
      </w:r>
    </w:p>
    <w:p w14:paraId="6C339DC5">
      <w:pPr>
        <w:keepNext w:val="0"/>
        <w:keepLines w:val="0"/>
        <w:pageBreakBefore w:val="0"/>
        <w:widowControl w:val="0"/>
        <w:numPr>
          <w:ilvl w:val="0"/>
          <w:numId w:val="4"/>
        </w:numPr>
        <w:tabs>
          <w:tab w:val="left" w:pos="0"/>
          <w:tab w:val="left" w:pos="630"/>
          <w:tab w:val="left" w:pos="720"/>
          <w:tab w:val="left" w:pos="945"/>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《云南省生产安全事故应急办法》（云政令227号）。</w:t>
      </w:r>
    </w:p>
    <w:p w14:paraId="1875FD80">
      <w:pPr>
        <w:pStyle w:val="5"/>
        <w:rPr>
          <w:rFonts w:ascii="Times New Roman" w:hAnsi="Times New Roman"/>
          <w:color w:val="000000" w:themeColor="text1"/>
          <w14:textFill>
            <w14:solidFill>
              <w14:schemeClr w14:val="tx1"/>
            </w14:solidFill>
          </w14:textFill>
        </w:rPr>
      </w:pPr>
      <w:bookmarkStart w:id="48" w:name="_Toc335926129"/>
      <w:bookmarkStart w:id="49" w:name="_Toc31498"/>
      <w:bookmarkStart w:id="50" w:name="_Toc32362"/>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t>.5国家标准</w:t>
      </w:r>
      <w:bookmarkEnd w:id="47"/>
      <w:bookmarkEnd w:id="48"/>
      <w:bookmarkEnd w:id="49"/>
      <w:bookmarkEnd w:id="50"/>
    </w:p>
    <w:p w14:paraId="1A3D635F">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《水泥工厂设计规范》（GB50295-2016）；</w:t>
      </w:r>
    </w:p>
    <w:p w14:paraId="270E07A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《工业企业设计卫生标准》（GBZ1-2010）；</w:t>
      </w:r>
    </w:p>
    <w:p w14:paraId="779FDB1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《工业企业总平面设计规范》（GB50187-2012）；</w:t>
      </w:r>
    </w:p>
    <w:p w14:paraId="23F94607">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《生产设备安全卫生设计总则》（</w:t>
      </w:r>
      <w:r>
        <w:rPr>
          <w:rFonts w:hint="eastAsia"/>
          <w:color w:val="000000" w:themeColor="text1"/>
          <w:sz w:val="28"/>
          <w:szCs w:val="28"/>
          <w14:textFill>
            <w14:solidFill>
              <w14:schemeClr w14:val="tx1"/>
            </w14:solidFill>
          </w14:textFill>
        </w:rPr>
        <w:t>GB5083-2023</w:t>
      </w:r>
      <w:r>
        <w:rPr>
          <w:color w:val="000000" w:themeColor="text1"/>
          <w:sz w:val="28"/>
          <w:szCs w:val="28"/>
          <w14:textFill>
            <w14:solidFill>
              <w14:schemeClr w14:val="tx1"/>
            </w14:solidFill>
          </w14:textFill>
        </w:rPr>
        <w:t>）</w:t>
      </w:r>
    </w:p>
    <w:p w14:paraId="6425BD8F">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《工业企业厂内铁路、道路运输安全规程》（GB4387-2008）；</w:t>
      </w:r>
    </w:p>
    <w:p w14:paraId="01FE541E">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《工业企业噪声控制设计规范》（GB/T50087-2013）；</w:t>
      </w:r>
    </w:p>
    <w:p w14:paraId="6D507BE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《工业建筑防腐蚀设计标准》（GB/T 50046-2018）；</w:t>
      </w:r>
    </w:p>
    <w:p w14:paraId="0AEA0897">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《建筑照明设计标准》（GB/T50034-2024）</w:t>
      </w:r>
      <w:r>
        <w:rPr>
          <w:rFonts w:hint="eastAsia" w:hAnsi="宋体" w:cs="宋体"/>
          <w:color w:val="000000" w:themeColor="text1"/>
          <w:sz w:val="28"/>
          <w:szCs w:val="28"/>
          <w:lang w:eastAsia="zh-CN"/>
          <w14:textFill>
            <w14:solidFill>
              <w14:schemeClr w14:val="tx1"/>
            </w14:solidFill>
          </w14:textFill>
        </w:rPr>
        <w:t>；</w:t>
      </w:r>
    </w:p>
    <w:p w14:paraId="2F7D812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《厂矿道路设计规范》（GBJ 22-1987）；</w:t>
      </w:r>
    </w:p>
    <w:p w14:paraId="7DEC8F11">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《工业管道的基本识别色、识别符号和安全标识》（GB7231-2003）；</w:t>
      </w:r>
    </w:p>
    <w:p w14:paraId="7412301E">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《企业职工伤亡事故分类》（GB6441-1986）；</w:t>
      </w:r>
    </w:p>
    <w:p w14:paraId="13734A6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《生产过程危险和有害因素分类与代码》（GB/T13861-</w:t>
      </w:r>
      <w:r>
        <w:rPr>
          <w:rFonts w:hint="eastAsia" w:ascii="宋体" w:hAnsi="宋体" w:eastAsia="宋体" w:cs="宋体"/>
          <w:color w:val="000000" w:themeColor="text1"/>
          <w:sz w:val="28"/>
          <w:szCs w:val="28"/>
          <w:lang w:val="en-US" w:eastAsia="zh-CN"/>
          <w14:textFill>
            <w14:solidFill>
              <w14:schemeClr w14:val="tx1"/>
            </w14:solidFill>
          </w14:textFill>
        </w:rPr>
        <w:t>2022</w:t>
      </w:r>
      <w:r>
        <w:rPr>
          <w:rFonts w:hint="eastAsia" w:ascii="宋体" w:hAnsi="宋体" w:eastAsia="宋体" w:cs="宋体"/>
          <w:color w:val="000000" w:themeColor="text1"/>
          <w:sz w:val="28"/>
          <w:szCs w:val="28"/>
          <w14:textFill>
            <w14:solidFill>
              <w14:schemeClr w14:val="tx1"/>
            </w14:solidFill>
          </w14:textFill>
        </w:rPr>
        <w:t>）；</w:t>
      </w:r>
    </w:p>
    <w:p w14:paraId="6EE38EB7">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《建筑设计防火规范（2018年版）》（GB 50016-2014）</w:t>
      </w:r>
      <w:r>
        <w:rPr>
          <w:rFonts w:hint="eastAsia" w:ascii="宋体" w:hAnsi="宋体" w:eastAsia="宋体" w:cs="宋体"/>
          <w:color w:val="000000" w:themeColor="text1"/>
          <w:sz w:val="28"/>
          <w:szCs w:val="28"/>
          <w14:textFill>
            <w14:solidFill>
              <w14:schemeClr w14:val="tx1"/>
            </w14:solidFill>
          </w14:textFill>
        </w:rPr>
        <w:t>；</w:t>
      </w:r>
    </w:p>
    <w:p w14:paraId="43EC276F">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《建筑物防雷设计规范》（GB50057-2010）；</w:t>
      </w:r>
    </w:p>
    <w:p w14:paraId="0EDA3D94">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《建筑灭火器配置设计规范》（GB50140-2005）；</w:t>
      </w:r>
    </w:p>
    <w:p w14:paraId="6AF9C5E3">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《密闭空间作业职业危害防护规范》（GBZ/T205-2007）；</w:t>
      </w:r>
    </w:p>
    <w:p w14:paraId="629946D2">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《构筑物抗震设计规范》（GB50191-2012）；</w:t>
      </w:r>
    </w:p>
    <w:p w14:paraId="288CFB27">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《室外排水设计标准》（GB 50014-2021）；</w:t>
      </w:r>
    </w:p>
    <w:p w14:paraId="13F1E009">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《危险化学品重大危险源辨识》（GB18218-2018）；</w:t>
      </w:r>
    </w:p>
    <w:p w14:paraId="33EDBC17">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《安全色》（GB2893-2008）；</w:t>
      </w:r>
    </w:p>
    <w:p w14:paraId="70DB18B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《安全标志及其使用导则》（GB2894-2008）；</w:t>
      </w:r>
    </w:p>
    <w:p w14:paraId="4ACBE7C9">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《消防安全标志 第1部分：标志》（GB 13495.1-2015）</w:t>
      </w:r>
    </w:p>
    <w:p w14:paraId="68553695">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《消防安全标志设置要求》（GB15630-1995）；</w:t>
      </w:r>
    </w:p>
    <w:p w14:paraId="1A861AAC">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《用电安全导则》（GB/T 13869-2017）；</w:t>
      </w:r>
    </w:p>
    <w:p w14:paraId="592C7147">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《通用用电设备配电设计规范》（GB50055-2011）；</w:t>
      </w:r>
    </w:p>
    <w:p w14:paraId="37DCB6B2">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《供配电系统设计规范》（GB50052-2009）；</w:t>
      </w:r>
    </w:p>
    <w:p w14:paraId="2267AE06">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《低压配电设计规范》（GB50054-2011）；</w:t>
      </w:r>
    </w:p>
    <w:p w14:paraId="38900AE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《防止静电事故通用导则》（GB12158-2006）；</w:t>
      </w:r>
    </w:p>
    <w:p w14:paraId="50706261">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val="0"/>
        <w:spacing w:line="5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《建筑抗震设</w:t>
      </w:r>
      <w:r>
        <w:rPr>
          <w:rFonts w:hint="default" w:ascii="宋体" w:hAnsi="宋体" w:eastAsia="宋体" w:cs="宋体"/>
          <w:color w:val="000000" w:themeColor="text1"/>
          <w:sz w:val="28"/>
          <w:szCs w:val="28"/>
          <w14:textFill>
            <w14:solidFill>
              <w14:schemeClr w14:val="tx1"/>
            </w14:solidFill>
          </w14:textFill>
        </w:rPr>
        <w:t>计规范（20</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default" w:ascii="宋体" w:hAnsi="宋体" w:eastAsia="宋体" w:cs="宋体"/>
          <w:color w:val="000000" w:themeColor="text1"/>
          <w:sz w:val="28"/>
          <w:szCs w:val="28"/>
          <w14:textFill>
            <w14:solidFill>
              <w14:schemeClr w14:val="tx1"/>
            </w14:solidFill>
          </w14:textFill>
        </w:rPr>
        <w:t>年版）》（GB 50011-2010）</w:t>
      </w:r>
      <w:r>
        <w:rPr>
          <w:rFonts w:hint="default" w:ascii="Times New Roman" w:hAnsi="Times New Roman" w:eastAsia="宋体" w:cs="Times New Roman"/>
          <w:color w:val="000000" w:themeColor="text1"/>
          <w:sz w:val="28"/>
          <w:szCs w:val="28"/>
          <w14:textFill>
            <w14:solidFill>
              <w14:schemeClr w14:val="tx1"/>
            </w14:solidFill>
          </w14:textFill>
        </w:rPr>
        <w:t>；</w:t>
      </w:r>
    </w:p>
    <w:p w14:paraId="14B70530">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《机械安全防护装置 固定式和活动式防护装置的设计与制造一般要求》（GB/T 8196-2018）；</w:t>
      </w:r>
    </w:p>
    <w:p w14:paraId="0038718F">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《固定式钢梯及平台安全要求第1部分：钢直梯》（GB4053.1-2009）；</w:t>
      </w:r>
    </w:p>
    <w:p w14:paraId="3030E56C">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《固定式钢梯及平台安全要求第2部分：钢斜梯》（GB4053.2-2009）；</w:t>
      </w:r>
    </w:p>
    <w:p w14:paraId="3DC788E5">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《固定式钢梯及平台安全要求 第3部分：工业防护栏杆及钢平台》（GB 4053.3-2009）；</w:t>
      </w:r>
    </w:p>
    <w:p w14:paraId="68534A77">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《起重机械安全规程 第1部分：总则》（GB/T 6067.1-2010）；</w:t>
      </w:r>
    </w:p>
    <w:p w14:paraId="0942C0AA">
      <w:pPr>
        <w:keepNext w:val="0"/>
        <w:keepLines w:val="0"/>
        <w:pageBreakBefore w:val="0"/>
        <w:widowControl w:val="0"/>
        <w:numPr>
          <w:ilvl w:val="0"/>
          <w:numId w:val="5"/>
        </w:numPr>
        <w:tabs>
          <w:tab w:val="left" w:pos="0"/>
          <w:tab w:val="left" w:pos="567"/>
          <w:tab w:val="left" w:pos="630"/>
          <w:tab w:val="left" w:pos="7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《生产经营单位生产安全事故应急预案编制导则》（GB/T29639-2020）</w:t>
      </w:r>
      <w:r>
        <w:rPr>
          <w:rFonts w:hint="eastAsia" w:ascii="宋体" w:hAnsi="宋体" w:eastAsia="宋体" w:cs="宋体"/>
          <w:color w:val="000000" w:themeColor="text1"/>
          <w:sz w:val="28"/>
          <w:szCs w:val="28"/>
          <w:lang w:eastAsia="zh-CN"/>
          <w14:textFill>
            <w14:solidFill>
              <w14:schemeClr w14:val="tx1"/>
            </w14:solidFill>
          </w14:textFill>
        </w:rPr>
        <w:t>。</w:t>
      </w:r>
    </w:p>
    <w:p w14:paraId="2F6E7FDA">
      <w:pPr>
        <w:pStyle w:val="5"/>
        <w:rPr>
          <w:rFonts w:hint="eastAsia" w:ascii="Times New Roman" w:hAnsi="Times New Roman" w:cs="Times New Roman"/>
          <w:color w:val="000000" w:themeColor="text1"/>
          <w14:textFill>
            <w14:solidFill>
              <w14:schemeClr w14:val="tx1"/>
            </w14:solidFill>
          </w14:textFill>
        </w:rPr>
      </w:pPr>
      <w:bookmarkStart w:id="51" w:name="_Toc26320"/>
      <w:bookmarkStart w:id="52" w:name="_Toc23461"/>
      <w:r>
        <w:rPr>
          <w:rFonts w:hint="eastAsia"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.6行业标准</w:t>
      </w:r>
      <w:bookmarkEnd w:id="51"/>
      <w:bookmarkEnd w:id="52"/>
    </w:p>
    <w:p w14:paraId="761CD4A1">
      <w:pPr>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1"/>
          <w14:textFill>
            <w14:solidFill>
              <w14:schemeClr w14:val="tx1"/>
            </w14:solidFill>
          </w14:textFill>
        </w:rPr>
      </w:pPr>
      <w:r>
        <w:rPr>
          <w:rFonts w:hint="eastAsia" w:ascii="宋体" w:hAnsi="宋体" w:cs="宋体"/>
          <w:color w:val="000000" w:themeColor="text1"/>
          <w:sz w:val="28"/>
          <w:szCs w:val="21"/>
          <w14:textFill>
            <w14:solidFill>
              <w14:schemeClr w14:val="tx1"/>
            </w14:solidFill>
          </w14:textFill>
        </w:rPr>
        <w:t>《安全评价通则》（AQ8001-2007）；</w:t>
      </w:r>
    </w:p>
    <w:p w14:paraId="26A017C5">
      <w:pPr>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1"/>
          <w14:textFill>
            <w14:solidFill>
              <w14:schemeClr w14:val="tx1"/>
            </w14:solidFill>
          </w14:textFill>
        </w:rPr>
      </w:pPr>
      <w:r>
        <w:rPr>
          <w:rFonts w:hint="eastAsia" w:ascii="宋体" w:hAnsi="宋体" w:cs="宋体"/>
          <w:color w:val="000000" w:themeColor="text1"/>
          <w:sz w:val="28"/>
          <w:szCs w:val="21"/>
          <w14:textFill>
            <w14:solidFill>
              <w14:schemeClr w14:val="tx1"/>
            </w14:solidFill>
          </w14:textFill>
        </w:rPr>
        <w:t>《生产安全事故应急演练评估规范》（AQ/T 9009-2015）；</w:t>
      </w:r>
    </w:p>
    <w:p w14:paraId="5AF80DFB">
      <w:pPr>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1"/>
          <w14:textFill>
            <w14:solidFill>
              <w14:schemeClr w14:val="tx1"/>
            </w14:solidFill>
          </w14:textFill>
        </w:rPr>
      </w:pPr>
      <w:r>
        <w:rPr>
          <w:rFonts w:hint="eastAsia" w:ascii="宋体" w:hAnsi="宋体" w:cs="宋体"/>
          <w:color w:val="000000" w:themeColor="text1"/>
          <w:sz w:val="28"/>
          <w:szCs w:val="21"/>
          <w14:textFill>
            <w14:solidFill>
              <w14:schemeClr w14:val="tx1"/>
            </w14:solidFill>
          </w14:textFill>
        </w:rPr>
        <w:t>《生产安全事故应急演练基本规范》（AQ/T 9007-2019）；</w:t>
      </w:r>
    </w:p>
    <w:p w14:paraId="510B7BEE">
      <w:pPr>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1"/>
          <w14:textFill>
            <w14:solidFill>
              <w14:schemeClr w14:val="tx1"/>
            </w14:solidFill>
          </w14:textFill>
        </w:rPr>
      </w:pPr>
      <w:r>
        <w:rPr>
          <w:rFonts w:hint="eastAsia" w:ascii="宋体" w:hAnsi="宋体" w:cs="宋体"/>
          <w:color w:val="000000" w:themeColor="text1"/>
          <w:sz w:val="28"/>
          <w:szCs w:val="21"/>
          <w14:textFill>
            <w14:solidFill>
              <w14:schemeClr w14:val="tx1"/>
            </w14:solidFill>
          </w14:textFill>
        </w:rPr>
        <w:t>《生产区域设备检修作业安全规范》（HG 30017-2013）；</w:t>
      </w:r>
    </w:p>
    <w:p w14:paraId="40FEFC95">
      <w:pPr>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《特种设备使用管理规则》（TSG 08-2017）；</w:t>
      </w:r>
    </w:p>
    <w:p w14:paraId="552A0C15">
      <w:pPr>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《固定式压力容器安全技术监察规程》（TSG 21-2016）；</w:t>
      </w:r>
    </w:p>
    <w:p w14:paraId="66A92CD2">
      <w:pPr>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1"/>
          <w14:textFill>
            <w14:solidFill>
              <w14:schemeClr w14:val="tx1"/>
            </w14:solidFill>
          </w14:textFill>
        </w:rPr>
      </w:pPr>
      <w:r>
        <w:rPr>
          <w:rFonts w:hint="eastAsia" w:ascii="宋体" w:hAnsi="宋体" w:eastAsia="宋体" w:cs="宋体"/>
          <w:color w:val="000000" w:themeColor="text1"/>
          <w:sz w:val="28"/>
          <w:szCs w:val="21"/>
          <w14:textFill>
            <w14:solidFill>
              <w14:schemeClr w14:val="tx1"/>
            </w14:solidFill>
          </w14:textFill>
        </w:rPr>
        <w:t>《气瓶安全技术规程》（TSG 23-2021）；</w:t>
      </w:r>
    </w:p>
    <w:p w14:paraId="2249343C">
      <w:pPr>
        <w:keepNext w:val="0"/>
        <w:keepLines w:val="0"/>
        <w:pageBreakBefore w:val="0"/>
        <w:widowControl w:val="0"/>
        <w:numPr>
          <w:ilvl w:val="0"/>
          <w:numId w:val="6"/>
        </w:numPr>
        <w:tabs>
          <w:tab w:val="left" w:pos="84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1"/>
          <w14:textFill>
            <w14:solidFill>
              <w14:schemeClr w14:val="tx1"/>
            </w14:solidFill>
          </w14:textFill>
        </w:rPr>
      </w:pPr>
      <w:r>
        <w:rPr>
          <w:rFonts w:hint="eastAsia" w:ascii="宋体" w:hAnsi="宋体" w:eastAsia="宋体" w:cs="宋体"/>
          <w:color w:val="000000" w:themeColor="text1"/>
          <w:sz w:val="28"/>
          <w:szCs w:val="21"/>
          <w14:textFill>
            <w14:solidFill>
              <w14:schemeClr w14:val="tx1"/>
            </w14:solidFill>
          </w14:textFill>
        </w:rPr>
        <w:t>《袋式除尘器 安装技术要求与验收规范》（JB/T 8471-2020）</w:t>
      </w:r>
      <w:r>
        <w:rPr>
          <w:rFonts w:hint="eastAsia" w:ascii="宋体" w:hAnsi="宋体" w:eastAsia="宋体" w:cs="宋体"/>
          <w:color w:val="000000" w:themeColor="text1"/>
          <w:sz w:val="28"/>
          <w:szCs w:val="21"/>
          <w:lang w:eastAsia="zh-CN"/>
          <w14:textFill>
            <w14:solidFill>
              <w14:schemeClr w14:val="tx1"/>
            </w14:solidFill>
          </w14:textFill>
        </w:rPr>
        <w:t>。</w:t>
      </w:r>
    </w:p>
    <w:p w14:paraId="1F750E5B">
      <w:pPr>
        <w:pStyle w:val="5"/>
        <w:rPr>
          <w:rFonts w:hint="eastAsia" w:ascii="Times New Roman" w:hAnsi="Times New Roman" w:cs="Times New Roman"/>
          <w:color w:val="000000" w:themeColor="text1"/>
          <w14:textFill>
            <w14:solidFill>
              <w14:schemeClr w14:val="tx1"/>
            </w14:solidFill>
          </w14:textFill>
        </w:rPr>
      </w:pPr>
      <w:bookmarkStart w:id="53" w:name="_Toc314238191"/>
      <w:bookmarkStart w:id="54" w:name="_Toc313524384"/>
      <w:bookmarkStart w:id="55" w:name="_Toc341693559"/>
      <w:bookmarkStart w:id="56" w:name="_Toc314143731"/>
      <w:bookmarkStart w:id="57" w:name="_Toc28782"/>
      <w:bookmarkStart w:id="58" w:name="_Toc19277"/>
      <w:r>
        <w:rPr>
          <w:rFonts w:hint="eastAsia"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 xml:space="preserve">.7 </w:t>
      </w:r>
      <w:bookmarkEnd w:id="53"/>
      <w:bookmarkEnd w:id="54"/>
      <w:bookmarkEnd w:id="55"/>
      <w:bookmarkEnd w:id="56"/>
      <w:r>
        <w:rPr>
          <w:rFonts w:hint="eastAsia" w:ascii="Times New Roman" w:hAnsi="Times New Roman" w:cs="Times New Roman"/>
          <w:color w:val="000000" w:themeColor="text1"/>
          <w14:textFill>
            <w14:solidFill>
              <w14:schemeClr w14:val="tx1"/>
            </w14:solidFill>
          </w14:textFill>
        </w:rPr>
        <w:t>建设项目合法证明文件</w:t>
      </w:r>
      <w:bookmarkEnd w:id="57"/>
      <w:bookmarkEnd w:id="58"/>
    </w:p>
    <w:p w14:paraId="360EB3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1.营业执照（统一社会信用代码：9153232</w:t>
      </w:r>
      <w:r>
        <w:rPr>
          <w:rFonts w:hint="eastAsia" w:ascii="宋体" w:hAnsi="宋体" w:eastAsia="宋体" w:cs="宋体"/>
          <w:color w:val="000000" w:themeColor="text1"/>
          <w:sz w:val="28"/>
          <w:szCs w:val="28"/>
          <w:lang w:val="en-US" w:eastAsia="zh-CN"/>
          <w14:textFill>
            <w14:solidFill>
              <w14:schemeClr w14:val="tx1"/>
            </w14:solidFill>
          </w14:textFill>
        </w:rPr>
        <w:t>4MA6N307Y8A</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南华县</w:t>
      </w:r>
      <w:r>
        <w:rPr>
          <w:rFonts w:hint="eastAsia" w:ascii="宋体" w:hAnsi="宋体" w:eastAsia="宋体" w:cs="宋体"/>
          <w:color w:val="000000" w:themeColor="text1"/>
          <w:sz w:val="28"/>
          <w:szCs w:val="28"/>
          <w14:textFill>
            <w14:solidFill>
              <w14:schemeClr w14:val="tx1"/>
            </w14:solidFill>
          </w14:textFill>
        </w:rPr>
        <w:t>市场监督管理局）；</w:t>
      </w:r>
    </w:p>
    <w:p w14:paraId="63CA509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2.投资备案证（备案项目编码：</w:t>
      </w:r>
      <w:r>
        <w:rPr>
          <w:rFonts w:hint="eastAsia" w:ascii="宋体" w:hAnsi="宋体" w:eastAsia="宋体" w:cs="宋体"/>
          <w:color w:val="000000" w:themeColor="text1"/>
          <w:sz w:val="28"/>
          <w:szCs w:val="28"/>
          <w:lang w:val="en-US" w:eastAsia="zh-CN"/>
          <w14:textFill>
            <w14:solidFill>
              <w14:schemeClr w14:val="tx1"/>
            </w14:solidFill>
          </w14:textFill>
        </w:rPr>
        <w:t>185323243021008</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南华县</w:t>
      </w:r>
      <w:r>
        <w:rPr>
          <w:rFonts w:hint="eastAsia" w:ascii="宋体" w:hAnsi="宋体" w:eastAsia="宋体" w:cs="宋体"/>
          <w:color w:val="000000" w:themeColor="text1"/>
          <w:sz w:val="28"/>
          <w:szCs w:val="28"/>
          <w14:textFill>
            <w14:solidFill>
              <w14:schemeClr w14:val="tx1"/>
            </w14:solidFill>
          </w14:textFill>
        </w:rPr>
        <w:t>发展和改革局）</w:t>
      </w:r>
      <w:r>
        <w:rPr>
          <w:rFonts w:hint="eastAsia" w:hAnsi="宋体" w:cs="宋体"/>
          <w:color w:val="000000" w:themeColor="text1"/>
          <w:sz w:val="28"/>
          <w:szCs w:val="28"/>
          <w:lang w:eastAsia="zh-CN"/>
          <w14:textFill>
            <w14:solidFill>
              <w14:schemeClr w14:val="tx1"/>
            </w14:solidFill>
          </w14:textFill>
        </w:rPr>
        <w:t>。</w:t>
      </w:r>
    </w:p>
    <w:p w14:paraId="028DF252">
      <w:pPr>
        <w:pStyle w:val="5"/>
        <w:rPr>
          <w:rFonts w:hint="eastAsia" w:ascii="Times New Roman" w:hAnsi="Times New Roman" w:cs="Times New Roman"/>
          <w:color w:val="000000" w:themeColor="text1"/>
          <w14:textFill>
            <w14:solidFill>
              <w14:schemeClr w14:val="tx1"/>
            </w14:solidFill>
          </w14:textFill>
        </w:rPr>
      </w:pPr>
      <w:bookmarkStart w:id="59" w:name="_Toc903"/>
      <w:bookmarkStart w:id="60" w:name="_Toc16639"/>
      <w:r>
        <w:rPr>
          <w:rFonts w:hint="eastAsia"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.8</w:t>
      </w:r>
      <w:r>
        <w:rPr>
          <w:rFonts w:hint="eastAsia" w:ascii="Times New Roman" w:hAnsi="Times New Roman" w:cs="Times New Roman"/>
          <w:color w:val="000000" w:themeColor="text1"/>
          <w:lang w:val="en-US" w:eastAsia="zh-CN"/>
          <w14:textFill>
            <w14:solidFill>
              <w14:schemeClr w14:val="tx1"/>
            </w14:solidFill>
          </w14:textFill>
        </w:rPr>
        <w:t>其他相关参考</w:t>
      </w:r>
      <w:r>
        <w:rPr>
          <w:rFonts w:hint="eastAsia" w:ascii="Times New Roman" w:hAnsi="Times New Roman" w:cs="Times New Roman"/>
          <w:color w:val="000000" w:themeColor="text1"/>
          <w14:textFill>
            <w14:solidFill>
              <w14:schemeClr w14:val="tx1"/>
            </w14:solidFill>
          </w14:textFill>
        </w:rPr>
        <w:t>资料</w:t>
      </w:r>
      <w:bookmarkEnd w:id="59"/>
      <w:bookmarkEnd w:id="60"/>
    </w:p>
    <w:p w14:paraId="4F5950D6">
      <w:pPr>
        <w:keepNext w:val="0"/>
        <w:keepLines w:val="0"/>
        <w:pageBreakBefore w:val="0"/>
        <w:widowControl w:val="0"/>
        <w:numPr>
          <w:ilvl w:val="0"/>
          <w:numId w:val="7"/>
        </w:numPr>
        <w:kinsoku w:val="0"/>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pacing w:val="-10"/>
          <w:sz w:val="28"/>
          <w14:textFill>
            <w14:solidFill>
              <w14:schemeClr w14:val="tx1"/>
            </w14:solidFill>
          </w14:textFill>
        </w:rPr>
      </w:pPr>
      <w:bookmarkStart w:id="61" w:name="_Toc335926131"/>
      <w:bookmarkStart w:id="62" w:name="_Toc19395"/>
      <w:bookmarkStart w:id="63" w:name="_Toc313453426"/>
      <w:r>
        <w:rPr>
          <w:rFonts w:hint="eastAsia" w:ascii="宋体" w:hAnsi="宋体" w:eastAsia="宋体" w:cs="宋体"/>
          <w:color w:val="000000" w:themeColor="text1"/>
          <w:sz w:val="28"/>
          <w:szCs w:val="28"/>
          <w14:textFill>
            <w14:solidFill>
              <w14:schemeClr w14:val="tx1"/>
            </w14:solidFill>
          </w14:textFill>
        </w:rPr>
        <w:t>南华昆轻树脂瓦开发有限公司的</w:t>
      </w:r>
      <w:r>
        <w:rPr>
          <w:rFonts w:hint="eastAsia" w:ascii="宋体" w:hAnsi="宋体" w:eastAsia="宋体" w:cs="宋体"/>
          <w:color w:val="000000" w:themeColor="text1"/>
          <w:spacing w:val="-10"/>
          <w:sz w:val="28"/>
          <w14:textFill>
            <w14:solidFill>
              <w14:schemeClr w14:val="tx1"/>
            </w14:solidFill>
          </w14:textFill>
        </w:rPr>
        <w:t>安全评价委托书；</w:t>
      </w:r>
    </w:p>
    <w:p w14:paraId="5F5803C0">
      <w:pPr>
        <w:keepNext w:val="0"/>
        <w:keepLines w:val="0"/>
        <w:pageBreakBefore w:val="0"/>
        <w:widowControl w:val="0"/>
        <w:numPr>
          <w:ilvl w:val="0"/>
          <w:numId w:val="7"/>
        </w:numPr>
        <w:wordWrap/>
        <w:overflow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南华昆轻树脂瓦开发有限公司提供的技术和管理资料</w:t>
      </w:r>
      <w:r>
        <w:rPr>
          <w:rFonts w:hint="eastAsia" w:ascii="宋体" w:hAnsi="宋体" w:eastAsia="宋体" w:cs="宋体"/>
          <w:color w:val="000000" w:themeColor="text1"/>
          <w:sz w:val="28"/>
          <w:szCs w:val="28"/>
          <w:lang w:eastAsia="zh-CN"/>
          <w14:textFill>
            <w14:solidFill>
              <w14:schemeClr w14:val="tx1"/>
            </w14:solidFill>
          </w14:textFill>
        </w:rPr>
        <w:t>；</w:t>
      </w:r>
    </w:p>
    <w:p w14:paraId="324B087F">
      <w:pPr>
        <w:keepNext w:val="0"/>
        <w:keepLines w:val="0"/>
        <w:pageBreakBefore w:val="0"/>
        <w:widowControl w:val="0"/>
        <w:numPr>
          <w:ilvl w:val="0"/>
          <w:numId w:val="7"/>
        </w:numPr>
        <w:wordWrap/>
        <w:overflow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其它企业提供相关的资料</w:t>
      </w:r>
      <w:bookmarkStart w:id="64" w:name="_Toc138301573"/>
      <w:bookmarkStart w:id="65" w:name="_Toc137691696"/>
      <w:bookmarkStart w:id="66" w:name="_Toc138472017"/>
      <w:bookmarkStart w:id="67" w:name="_Toc107981096"/>
      <w:bookmarkStart w:id="68" w:name="_Toc230711671"/>
      <w:bookmarkStart w:id="69" w:name="_Toc255571907"/>
      <w:bookmarkStart w:id="70" w:name="_Toc235953615"/>
      <w:bookmarkStart w:id="71" w:name="_Toc255568549"/>
      <w:bookmarkStart w:id="72" w:name="_Toc149127031"/>
      <w:bookmarkStart w:id="73" w:name="_Toc230711560"/>
      <w:bookmarkStart w:id="74" w:name="_Toc149082110"/>
      <w:bookmarkStart w:id="75" w:name="_Toc230712133"/>
      <w:r>
        <w:rPr>
          <w:rFonts w:hint="eastAsia" w:ascii="宋体" w:hAnsi="宋体" w:eastAsia="宋体" w:cs="宋体"/>
          <w:color w:val="000000" w:themeColor="text1"/>
          <w:sz w:val="28"/>
          <w:szCs w:val="28"/>
          <w14:textFill>
            <w14:solidFill>
              <w14:schemeClr w14:val="tx1"/>
            </w14:solidFill>
          </w14:textFill>
        </w:rPr>
        <w:t>。</w:t>
      </w:r>
      <w:bookmarkEnd w:id="64"/>
      <w:bookmarkEnd w:id="65"/>
      <w:bookmarkEnd w:id="66"/>
      <w:bookmarkEnd w:id="67"/>
      <w:bookmarkEnd w:id="68"/>
      <w:bookmarkEnd w:id="69"/>
      <w:bookmarkEnd w:id="70"/>
      <w:bookmarkEnd w:id="71"/>
      <w:bookmarkEnd w:id="72"/>
      <w:bookmarkEnd w:id="73"/>
      <w:bookmarkEnd w:id="74"/>
      <w:bookmarkEnd w:id="75"/>
    </w:p>
    <w:bookmarkEnd w:id="61"/>
    <w:bookmarkEnd w:id="62"/>
    <w:bookmarkEnd w:id="63"/>
    <w:p w14:paraId="7461B017">
      <w:pPr>
        <w:pStyle w:val="4"/>
        <w:rPr>
          <w:rFonts w:hint="eastAsia" w:ascii="Times New Roman" w:hAnsi="Times New Roman" w:cs="Times New Roman"/>
          <w:color w:val="000000" w:themeColor="text1"/>
          <w14:textFill>
            <w14:solidFill>
              <w14:schemeClr w14:val="tx1"/>
            </w14:solidFill>
          </w14:textFill>
        </w:rPr>
      </w:pPr>
      <w:bookmarkStart w:id="76" w:name="_Toc313453427"/>
      <w:bookmarkStart w:id="77" w:name="_Toc19134"/>
      <w:bookmarkStart w:id="78" w:name="_Toc335926132"/>
      <w:bookmarkStart w:id="79" w:name="_Toc16855"/>
      <w:r>
        <w:rPr>
          <w:rFonts w:hint="eastAsia" w:ascii="Times New Roman" w:hAnsi="Times New Roman" w:cs="Times New Roman"/>
          <w:color w:val="000000" w:themeColor="text1"/>
          <w14:textFill>
            <w14:solidFill>
              <w14:schemeClr w14:val="tx1"/>
            </w14:solidFill>
          </w14:textFill>
        </w:rPr>
        <w:t>1.4评价原则</w:t>
      </w:r>
      <w:bookmarkEnd w:id="76"/>
      <w:bookmarkEnd w:id="77"/>
      <w:bookmarkEnd w:id="78"/>
      <w:bookmarkEnd w:id="79"/>
    </w:p>
    <w:p w14:paraId="31EE5D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bookmarkStart w:id="80" w:name="_Toc105675477"/>
      <w:bookmarkStart w:id="81" w:name="_Toc105675957"/>
      <w:bookmarkStart w:id="82" w:name="_Toc105674759"/>
      <w:bookmarkStart w:id="83" w:name="_Toc105730322"/>
      <w:bookmarkStart w:id="84" w:name="_Toc313453428"/>
      <w:bookmarkStart w:id="85" w:name="_Toc335926133"/>
      <w:bookmarkStart w:id="86" w:name="_Toc28236"/>
      <w:r>
        <w:rPr>
          <w:rFonts w:hint="eastAsia" w:ascii="宋体" w:hAnsi="宋体" w:eastAsia="宋体" w:cs="宋体"/>
          <w:color w:val="000000" w:themeColor="text1"/>
          <w:sz w:val="28"/>
          <w:szCs w:val="28"/>
          <w14:textFill>
            <w14:solidFill>
              <w14:schemeClr w14:val="tx1"/>
            </w14:solidFill>
          </w14:textFill>
        </w:rPr>
        <w:t>昭通市鼎安科技有限公司在对该项目进行安全现状评价工作中，始终坚持以下原则：</w:t>
      </w:r>
    </w:p>
    <w:p w14:paraId="412E801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1.严格执行国家现行有关法律法规、标准、规章和规范的要求，对该企业进行科学、客观、公正、独立的安全评价；</w:t>
      </w:r>
    </w:p>
    <w:p w14:paraId="10B9F0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2.采用可靠、适用的评价技术和评价方法对项目进行定性、定量评价，遵循针对性、技术可行性、经济合理性、可操作性的原则，提出消除或减弱危险、有害因素的技术和管理对策措施建议；</w:t>
      </w:r>
    </w:p>
    <w:p w14:paraId="49CEA2D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3.真实、准确地做出评价结论，并对在当时条件下作出的安全评价结果承担法律责任；</w:t>
      </w:r>
    </w:p>
    <w:p w14:paraId="344926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4.遵纪守法、恪守职业道德、诚实守信，对被评价对象的技术和商业秘密保密。</w:t>
      </w:r>
      <w:bookmarkEnd w:id="80"/>
      <w:bookmarkEnd w:id="81"/>
      <w:bookmarkEnd w:id="82"/>
      <w:bookmarkEnd w:id="83"/>
    </w:p>
    <w:p w14:paraId="29F7006C">
      <w:pPr>
        <w:pStyle w:val="4"/>
        <w:rPr>
          <w:rFonts w:hint="eastAsia" w:ascii="Times New Roman" w:hAnsi="Times New Roman" w:cs="Times New Roman"/>
          <w:color w:val="000000" w:themeColor="text1"/>
          <w14:textFill>
            <w14:solidFill>
              <w14:schemeClr w14:val="tx1"/>
            </w14:solidFill>
          </w14:textFill>
        </w:rPr>
      </w:pPr>
      <w:bookmarkStart w:id="87" w:name="_Toc18869"/>
      <w:r>
        <w:rPr>
          <w:rFonts w:hint="eastAsia" w:ascii="Times New Roman" w:hAnsi="Times New Roman" w:cs="Times New Roman"/>
          <w:color w:val="000000" w:themeColor="text1"/>
          <w14:textFill>
            <w14:solidFill>
              <w14:schemeClr w14:val="tx1"/>
            </w14:solidFill>
          </w14:textFill>
        </w:rPr>
        <w:t>1.5评价程序</w:t>
      </w:r>
      <w:bookmarkEnd w:id="84"/>
      <w:bookmarkEnd w:id="85"/>
      <w:bookmarkEnd w:id="86"/>
      <w:bookmarkEnd w:id="87"/>
    </w:p>
    <w:p w14:paraId="61C9FD06">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bookmarkStart w:id="88" w:name="_Toc313453429"/>
      <w:r>
        <w:rPr>
          <w:rFonts w:hint="eastAsia" w:ascii="宋体" w:hAnsi="宋体" w:eastAsia="宋体" w:cs="宋体"/>
          <w:color w:val="000000" w:themeColor="text1"/>
          <w:sz w:val="28"/>
          <w:szCs w:val="28"/>
          <w14:textFill>
            <w14:solidFill>
              <w14:schemeClr w14:val="tx1"/>
            </w14:solidFill>
          </w14:textFill>
        </w:rPr>
        <w:t>本项目安全现状评价工作程序如图1-1所示。评价工作分为三个阶段：</w:t>
      </w:r>
    </w:p>
    <w:p w14:paraId="4FB73983">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第一阶段为准备阶段，主要收集有关资料，进行初步的危险、危害因素识别，选择评价方法，编制评价大纲；</w:t>
      </w:r>
    </w:p>
    <w:p w14:paraId="46B8CA0B">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第二阶段为实施评价阶段，对工程安全情况进行类比调查，运用合适的评价方法进行定性及定量分析，提出安全对策措施；</w:t>
      </w:r>
    </w:p>
    <w:p w14:paraId="3DBE80F1">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第三阶段为安全评价报告的编制阶段，主要是汇总第二阶段所得到的各种资料、数据，综合分析提出结论与建议，完成本项目安全现状评价报告的编制。</w:t>
      </w:r>
    </w:p>
    <w:p w14:paraId="0B99D9B2">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安全评价的程序见下图所示：</w:t>
      </w:r>
    </w:p>
    <w:p w14:paraId="7DD167B7">
      <w:pPr>
        <w:spacing w:line="360" w:lineRule="auto"/>
        <w:jc w:val="center"/>
        <w:rPr>
          <w:rFonts w:ascii="Times New Roman"/>
          <w:color w:val="000000" w:themeColor="text1"/>
          <w14:textFill>
            <w14:solidFill>
              <w14:schemeClr w14:val="tx1"/>
            </w14:solidFill>
          </w14:textFill>
        </w:rPr>
      </w:pPr>
      <w:r>
        <w:rPr>
          <w:color w:val="000000" w:themeColor="text1"/>
          <w:kern w:val="0"/>
          <w:sz w:val="24"/>
          <w14:textFill>
            <w14:solidFill>
              <w14:schemeClr w14:val="tx1"/>
            </w14:solidFill>
          </w14:textFill>
        </w:rPr>
        <w:drawing>
          <wp:inline distT="0" distB="0" distL="0" distR="0">
            <wp:extent cx="1924685" cy="2816225"/>
            <wp:effectExtent l="0" t="0" r="10795" b="3175"/>
            <wp:docPr id="1027" name="图片 13" descr="C:\Users\Administrator\AppData\Roaming\Tencent\Users\492882258\QQ\WinTemp\RichOle\ZY{Q7BD2GY4HMIT3N`PYG98.png"/>
            <wp:cNvGraphicFramePr/>
            <a:graphic xmlns:a="http://schemas.openxmlformats.org/drawingml/2006/main">
              <a:graphicData uri="http://schemas.openxmlformats.org/drawingml/2006/picture">
                <pic:pic xmlns:pic="http://schemas.openxmlformats.org/drawingml/2006/picture">
                  <pic:nvPicPr>
                    <pic:cNvPr id="1027" name="图片 13" descr="C:\Users\Administrator\AppData\Roaming\Tencent\Users\492882258\QQ\WinTemp\RichOle\ZY{Q7BD2GY4HMIT3N`PYG98.png"/>
                    <pic:cNvPicPr/>
                  </pic:nvPicPr>
                  <pic:blipFill>
                    <a:blip r:embed="rId22" cstate="print"/>
                    <a:srcRect/>
                    <a:stretch>
                      <a:fillRect/>
                    </a:stretch>
                  </pic:blipFill>
                  <pic:spPr>
                    <a:xfrm>
                      <a:off x="0" y="0"/>
                      <a:ext cx="1924685" cy="2816225"/>
                    </a:xfrm>
                    <a:prstGeom prst="rect">
                      <a:avLst/>
                    </a:prstGeom>
                    <a:ln>
                      <a:noFill/>
                    </a:ln>
                  </pic:spPr>
                </pic:pic>
              </a:graphicData>
            </a:graphic>
          </wp:inline>
        </w:drawing>
      </w:r>
    </w:p>
    <w:p w14:paraId="55F85322">
      <w:pPr>
        <w:snapToGrid w:val="0"/>
        <w:spacing w:line="520" w:lineRule="exact"/>
        <w:jc w:val="center"/>
        <w:rPr>
          <w:rFonts w:ascii="Times New Roman"/>
          <w:b/>
          <w:bCs/>
          <w:color w:val="000000" w:themeColor="text1"/>
          <w14:textFill>
            <w14:solidFill>
              <w14:schemeClr w14:val="tx1"/>
            </w14:solidFill>
          </w14:textFill>
        </w:rPr>
      </w:pPr>
      <w:r>
        <w:rPr>
          <w:rFonts w:ascii="Times New Roman"/>
          <w:b/>
          <w:bCs/>
          <w:color w:val="000000" w:themeColor="text1"/>
          <w14:textFill>
            <w14:solidFill>
              <w14:schemeClr w14:val="tx1"/>
            </w14:solidFill>
          </w14:textFill>
        </w:rPr>
        <w:t>图1-1  安全现状评价程序图</w:t>
      </w:r>
    </w:p>
    <w:p w14:paraId="47FD4BE5">
      <w:pPr>
        <w:pStyle w:val="4"/>
        <w:rPr>
          <w:rFonts w:hint="eastAsia" w:ascii="Times New Roman" w:hAnsi="Times New Roman" w:cs="Times New Roman"/>
          <w:color w:val="000000" w:themeColor="text1"/>
          <w14:textFill>
            <w14:solidFill>
              <w14:schemeClr w14:val="tx1"/>
            </w14:solidFill>
          </w14:textFill>
        </w:rPr>
      </w:pPr>
      <w:bookmarkStart w:id="89" w:name="_Toc335926134"/>
      <w:bookmarkStart w:id="90" w:name="_Toc26128"/>
      <w:bookmarkStart w:id="91" w:name="_Toc16988"/>
      <w:r>
        <w:rPr>
          <w:rFonts w:hint="eastAsia" w:ascii="Times New Roman" w:hAnsi="Times New Roman" w:cs="Times New Roman"/>
          <w:color w:val="000000" w:themeColor="text1"/>
          <w14:textFill>
            <w14:solidFill>
              <w14:schemeClr w14:val="tx1"/>
            </w14:solidFill>
          </w14:textFill>
        </w:rPr>
        <w:t>1.6评价基准日</w:t>
      </w:r>
      <w:bookmarkEnd w:id="88"/>
      <w:bookmarkEnd w:id="89"/>
      <w:bookmarkEnd w:id="90"/>
      <w:bookmarkEnd w:id="91"/>
    </w:p>
    <w:p w14:paraId="04E1C5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评价人员于202</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8</w:t>
      </w:r>
      <w:r>
        <w:rPr>
          <w:rFonts w:hint="eastAsia" w:ascii="宋体" w:hAnsi="宋体" w:eastAsia="宋体" w:cs="宋体"/>
          <w:color w:val="000000" w:themeColor="text1"/>
          <w:sz w:val="28"/>
          <w14:textFill>
            <w14:solidFill>
              <w14:schemeClr w14:val="tx1"/>
            </w14:solidFill>
          </w14:textFill>
        </w:rPr>
        <w:t>月</w:t>
      </w:r>
      <w:r>
        <w:rPr>
          <w:rFonts w:hint="eastAsia" w:ascii="宋体" w:hAnsi="宋体" w:eastAsia="宋体" w:cs="宋体"/>
          <w:color w:val="000000" w:themeColor="text1"/>
          <w:sz w:val="28"/>
          <w:lang w:val="en-US" w:eastAsia="zh-CN"/>
          <w14:textFill>
            <w14:solidFill>
              <w14:schemeClr w14:val="tx1"/>
            </w14:solidFill>
          </w14:textFill>
        </w:rPr>
        <w:t>23</w:t>
      </w:r>
      <w:r>
        <w:rPr>
          <w:rFonts w:hint="eastAsia" w:ascii="宋体" w:hAnsi="宋体" w:eastAsia="宋体" w:cs="宋体"/>
          <w:color w:val="000000" w:themeColor="text1"/>
          <w:sz w:val="28"/>
          <w14:textFill>
            <w14:solidFill>
              <w14:schemeClr w14:val="tx1"/>
            </w14:solidFill>
          </w14:textFill>
        </w:rPr>
        <w:t>日对</w:t>
      </w:r>
      <w:r>
        <w:rPr>
          <w:rFonts w:hint="eastAsia" w:ascii="宋体" w:hAnsi="宋体" w:eastAsia="宋体" w:cs="宋体"/>
          <w:color w:val="000000" w:themeColor="text1"/>
          <w:sz w:val="28"/>
          <w:szCs w:val="28"/>
          <w14:textFill>
            <w14:solidFill>
              <w14:schemeClr w14:val="tx1"/>
            </w14:solidFill>
          </w14:textFill>
        </w:rPr>
        <w:t>南华昆轻树脂瓦开发有限公司</w:t>
      </w:r>
      <w:r>
        <w:rPr>
          <w:rFonts w:hint="eastAsia" w:ascii="宋体" w:hAnsi="宋体" w:eastAsia="宋体" w:cs="宋体"/>
          <w:color w:val="000000" w:themeColor="text1"/>
          <w:sz w:val="28"/>
          <w:szCs w:val="28"/>
          <w:lang w:val="en-US" w:eastAsia="zh-CN"/>
          <w14:textFill>
            <w14:solidFill>
              <w14:schemeClr w14:val="tx1"/>
            </w14:solidFill>
          </w14:textFill>
        </w:rPr>
        <w:t>新型PVC树脂瓦及水泥瓦生产线项目</w:t>
      </w:r>
      <w:r>
        <w:rPr>
          <w:rFonts w:hint="eastAsia" w:ascii="宋体" w:hAnsi="宋体" w:eastAsia="宋体" w:cs="宋体"/>
          <w:color w:val="000000" w:themeColor="text1"/>
          <w:sz w:val="28"/>
          <w14:textFill>
            <w14:solidFill>
              <w14:schemeClr w14:val="tx1"/>
            </w14:solidFill>
          </w14:textFill>
        </w:rPr>
        <w:t>进行了初次现场检查，于202</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10</w:t>
      </w:r>
      <w:r>
        <w:rPr>
          <w:rFonts w:hint="eastAsia" w:ascii="宋体" w:hAnsi="宋体" w:eastAsia="宋体" w:cs="宋体"/>
          <w:color w:val="000000" w:themeColor="text1"/>
          <w:sz w:val="28"/>
          <w14:textFill>
            <w14:solidFill>
              <w14:schemeClr w14:val="tx1"/>
            </w14:solidFill>
          </w14:textFill>
        </w:rPr>
        <w:t>月</w:t>
      </w:r>
      <w:r>
        <w:rPr>
          <w:rFonts w:hint="eastAsia" w:ascii="宋体" w:hAnsi="宋体" w:eastAsia="宋体" w:cs="宋体"/>
          <w:color w:val="000000" w:themeColor="text1"/>
          <w:sz w:val="28"/>
          <w:lang w:val="en-US" w:eastAsia="zh-CN"/>
          <w14:textFill>
            <w14:solidFill>
              <w14:schemeClr w14:val="tx1"/>
            </w14:solidFill>
          </w14:textFill>
        </w:rPr>
        <w:t>20</w:t>
      </w:r>
      <w:r>
        <w:rPr>
          <w:rFonts w:hint="eastAsia" w:ascii="宋体" w:hAnsi="宋体" w:eastAsia="宋体" w:cs="宋体"/>
          <w:color w:val="000000" w:themeColor="text1"/>
          <w:sz w:val="28"/>
          <w14:textFill>
            <w14:solidFill>
              <w14:schemeClr w14:val="tx1"/>
            </w14:solidFill>
          </w14:textFill>
        </w:rPr>
        <w:t>日对现场隐患进行复核，</w:t>
      </w:r>
      <w:r>
        <w:rPr>
          <w:rFonts w:hint="eastAsia" w:ascii="宋体" w:hAnsi="宋体" w:eastAsia="宋体" w:cs="宋体"/>
          <w:color w:val="000000" w:themeColor="text1"/>
          <w:sz w:val="28"/>
          <w:lang w:val="en-US" w:eastAsia="zh-CN"/>
          <w14:textFill>
            <w14:solidFill>
              <w14:schemeClr w14:val="tx1"/>
            </w14:solidFill>
          </w14:textFill>
        </w:rPr>
        <w:t>故该</w:t>
      </w:r>
      <w:r>
        <w:rPr>
          <w:rFonts w:hint="eastAsia" w:ascii="宋体" w:hAnsi="宋体" w:eastAsia="宋体" w:cs="宋体"/>
          <w:color w:val="000000" w:themeColor="text1"/>
          <w:sz w:val="28"/>
          <w14:textFill>
            <w14:solidFill>
              <w14:schemeClr w14:val="tx1"/>
            </w14:solidFill>
          </w14:textFill>
        </w:rPr>
        <w:t>项目评价基准日为202</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10</w:t>
      </w:r>
      <w:r>
        <w:rPr>
          <w:rFonts w:hint="eastAsia" w:ascii="宋体" w:hAnsi="宋体" w:eastAsia="宋体" w:cs="宋体"/>
          <w:color w:val="000000" w:themeColor="text1"/>
          <w:sz w:val="28"/>
          <w14:textFill>
            <w14:solidFill>
              <w14:schemeClr w14:val="tx1"/>
            </w14:solidFill>
          </w14:textFill>
        </w:rPr>
        <w:t>月</w:t>
      </w:r>
      <w:r>
        <w:rPr>
          <w:rFonts w:hint="eastAsia" w:ascii="宋体" w:hAnsi="宋体" w:eastAsia="宋体" w:cs="宋体"/>
          <w:color w:val="000000" w:themeColor="text1"/>
          <w:sz w:val="28"/>
          <w:lang w:val="en-US" w:eastAsia="zh-CN"/>
          <w14:textFill>
            <w14:solidFill>
              <w14:schemeClr w14:val="tx1"/>
            </w14:solidFill>
          </w14:textFill>
        </w:rPr>
        <w:t>20</w:t>
      </w:r>
      <w:r>
        <w:rPr>
          <w:rFonts w:hint="eastAsia" w:ascii="宋体" w:hAnsi="宋体" w:eastAsia="宋体" w:cs="宋体"/>
          <w:color w:val="000000" w:themeColor="text1"/>
          <w:sz w:val="28"/>
          <w14:textFill>
            <w14:solidFill>
              <w14:schemeClr w14:val="tx1"/>
            </w14:solidFill>
          </w14:textFill>
        </w:rPr>
        <w:t>日。</w:t>
      </w:r>
    </w:p>
    <w:p w14:paraId="2222865F">
      <w:pPr>
        <w:pStyle w:val="4"/>
        <w:rPr>
          <w:rFonts w:hint="eastAsia" w:ascii="Times New Roman" w:hAnsi="Times New Roman" w:cs="Times New Roman"/>
          <w:color w:val="000000" w:themeColor="text1"/>
          <w14:textFill>
            <w14:solidFill>
              <w14:schemeClr w14:val="tx1"/>
            </w14:solidFill>
          </w14:textFill>
        </w:rPr>
      </w:pPr>
      <w:bookmarkStart w:id="92" w:name="_Toc335926135"/>
      <w:bookmarkStart w:id="93" w:name="_Toc313453430"/>
      <w:bookmarkStart w:id="94" w:name="_Toc19366"/>
      <w:bookmarkStart w:id="95" w:name="_Toc22869"/>
      <w:r>
        <w:rPr>
          <w:rFonts w:hint="eastAsia" w:ascii="Times New Roman" w:hAnsi="Times New Roman" w:cs="Times New Roman"/>
          <w:color w:val="000000" w:themeColor="text1"/>
          <w14:textFill>
            <w14:solidFill>
              <w14:schemeClr w14:val="tx1"/>
            </w14:solidFill>
          </w14:textFill>
        </w:rPr>
        <w:t>1.7评价报告使用权声明</w:t>
      </w:r>
      <w:bookmarkEnd w:id="92"/>
      <w:bookmarkEnd w:id="93"/>
      <w:bookmarkEnd w:id="94"/>
      <w:bookmarkEnd w:id="95"/>
    </w:p>
    <w:p w14:paraId="671A32DB">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本评价报告是受</w:t>
      </w:r>
      <w:r>
        <w:rPr>
          <w:rFonts w:hint="eastAsia" w:ascii="宋体" w:hAnsi="宋体" w:eastAsia="宋体" w:cs="宋体"/>
          <w:color w:val="000000" w:themeColor="text1"/>
          <w:sz w:val="28"/>
          <w:szCs w:val="28"/>
          <w14:textFill>
            <w14:solidFill>
              <w14:schemeClr w14:val="tx1"/>
            </w14:solidFill>
          </w14:textFill>
        </w:rPr>
        <w:t>南华昆轻树脂瓦开发有限公司</w:t>
      </w:r>
      <w:r>
        <w:rPr>
          <w:rFonts w:ascii="Times New Roman"/>
          <w:color w:val="000000" w:themeColor="text1"/>
          <w:sz w:val="28"/>
          <w:szCs w:val="28"/>
          <w14:textFill>
            <w14:solidFill>
              <w14:schemeClr w14:val="tx1"/>
            </w14:solidFill>
          </w14:textFill>
        </w:rPr>
        <w:t>委托而编制的，专属委托方使用。</w:t>
      </w:r>
      <w:bookmarkStart w:id="96" w:name="_Toc121910194"/>
      <w:r>
        <w:rPr>
          <w:rFonts w:ascii="Times New Roman"/>
          <w:color w:val="000000" w:themeColor="text1"/>
          <w:sz w:val="28"/>
          <w:szCs w:val="28"/>
          <w14:textFill>
            <w14:solidFill>
              <w14:schemeClr w14:val="tx1"/>
            </w14:solidFill>
          </w14:textFill>
        </w:rPr>
        <w:t>除按规定上报各级</w:t>
      </w:r>
      <w:r>
        <w:rPr>
          <w:rFonts w:hint="eastAsia" w:ascii="Times New Roman"/>
          <w:color w:val="000000" w:themeColor="text1"/>
          <w:sz w:val="28"/>
          <w:szCs w:val="28"/>
          <w14:textFill>
            <w14:solidFill>
              <w14:schemeClr w14:val="tx1"/>
            </w14:solidFill>
          </w14:textFill>
        </w:rPr>
        <w:t>应急</w:t>
      </w:r>
      <w:r>
        <w:rPr>
          <w:rFonts w:ascii="Times New Roman"/>
          <w:color w:val="000000" w:themeColor="text1"/>
          <w:sz w:val="28"/>
          <w:szCs w:val="28"/>
          <w14:textFill>
            <w14:solidFill>
              <w14:schemeClr w14:val="tx1"/>
            </w14:solidFill>
          </w14:textFill>
        </w:rPr>
        <w:t>管理部门外，</w:t>
      </w:r>
      <w:r>
        <w:rPr>
          <w:rFonts w:hint="eastAsia" w:ascii="Times New Roman"/>
          <w:color w:val="000000" w:themeColor="text1"/>
          <w:sz w:val="28"/>
          <w:szCs w:val="28"/>
          <w14:textFill>
            <w14:solidFill>
              <w14:schemeClr w14:val="tx1"/>
            </w14:solidFill>
          </w14:textFill>
        </w:rPr>
        <w:t>昭通市鼎安科技有限公司</w:t>
      </w:r>
      <w:r>
        <w:rPr>
          <w:rFonts w:ascii="Times New Roman"/>
          <w:color w:val="000000" w:themeColor="text1"/>
          <w:sz w:val="28"/>
          <w:szCs w:val="28"/>
          <w14:textFill>
            <w14:solidFill>
              <w14:schemeClr w14:val="tx1"/>
            </w14:solidFill>
          </w14:textFill>
        </w:rPr>
        <w:t>不会将本评价报告内容向</w:t>
      </w:r>
      <w:r>
        <w:rPr>
          <w:rFonts w:hint="eastAsia" w:ascii="Times New Roman"/>
          <w:color w:val="000000" w:themeColor="text1"/>
          <w:sz w:val="28"/>
          <w:szCs w:val="28"/>
          <w14:textFill>
            <w14:solidFill>
              <w14:schemeClr w14:val="tx1"/>
            </w14:solidFill>
          </w14:textFill>
        </w:rPr>
        <w:t>其他</w:t>
      </w:r>
      <w:r>
        <w:rPr>
          <w:rFonts w:ascii="Times New Roman"/>
          <w:color w:val="000000" w:themeColor="text1"/>
          <w:sz w:val="28"/>
          <w:szCs w:val="28"/>
          <w14:textFill>
            <w14:solidFill>
              <w14:schemeClr w14:val="tx1"/>
            </w14:solidFill>
          </w14:textFill>
        </w:rPr>
        <w:t>任何单位和个人提供，也不会将本评价报告的全部或</w:t>
      </w:r>
      <w:r>
        <w:rPr>
          <w:rFonts w:hint="eastAsia" w:ascii="Times New Roman"/>
          <w:color w:val="000000" w:themeColor="text1"/>
          <w:sz w:val="28"/>
          <w:szCs w:val="28"/>
          <w14:textFill>
            <w14:solidFill>
              <w14:schemeClr w14:val="tx1"/>
            </w14:solidFill>
          </w14:textFill>
        </w:rPr>
        <w:t>部分</w:t>
      </w:r>
      <w:r>
        <w:rPr>
          <w:rFonts w:ascii="Times New Roman"/>
          <w:color w:val="000000" w:themeColor="text1"/>
          <w:sz w:val="28"/>
          <w:szCs w:val="28"/>
          <w14:textFill>
            <w14:solidFill>
              <w14:schemeClr w14:val="tx1"/>
            </w14:solidFill>
          </w14:textFill>
        </w:rPr>
        <w:t>内容在媒体上或</w:t>
      </w:r>
      <w:r>
        <w:rPr>
          <w:rFonts w:hint="eastAsia" w:ascii="Times New Roman"/>
          <w:color w:val="000000" w:themeColor="text1"/>
          <w:sz w:val="28"/>
          <w:szCs w:val="28"/>
          <w14:textFill>
            <w14:solidFill>
              <w14:schemeClr w14:val="tx1"/>
            </w14:solidFill>
          </w14:textFill>
        </w:rPr>
        <w:t>以其他</w:t>
      </w:r>
      <w:r>
        <w:rPr>
          <w:rFonts w:ascii="Times New Roman"/>
          <w:color w:val="000000" w:themeColor="text1"/>
          <w:sz w:val="28"/>
          <w:szCs w:val="28"/>
          <w14:textFill>
            <w14:solidFill>
              <w14:schemeClr w14:val="tx1"/>
            </w14:solidFill>
          </w14:textFill>
        </w:rPr>
        <w:t>形式公开发表（安全评价技术研究成果除外）。</w:t>
      </w:r>
      <w:bookmarkEnd w:id="96"/>
    </w:p>
    <w:p w14:paraId="02FA97C7">
      <w:pPr>
        <w:pStyle w:val="3"/>
        <w:spacing w:before="165" w:after="165"/>
        <w:rPr>
          <w:rFonts w:ascii="Times New Roman" w:hAnsi="Times New Roman"/>
          <w:color w:val="000000" w:themeColor="text1"/>
          <w14:textFill>
            <w14:solidFill>
              <w14:schemeClr w14:val="tx1"/>
            </w14:solidFill>
          </w14:textFill>
        </w:rPr>
        <w:sectPr>
          <w:footerReference r:id="rId7" w:type="default"/>
          <w:pgSz w:w="11906" w:h="16838"/>
          <w:pgMar w:top="1587" w:right="1701" w:bottom="1701" w:left="1701" w:header="851" w:footer="992" w:gutter="0"/>
          <w:pgNumType w:fmt="decimal" w:start="1"/>
          <w:cols w:space="720" w:num="1"/>
          <w:docGrid w:type="lines" w:linePitch="330" w:charSpace="0"/>
        </w:sectPr>
      </w:pPr>
    </w:p>
    <w:p w14:paraId="5FEF5457">
      <w:pPr>
        <w:pStyle w:val="3"/>
        <w:spacing w:before="165" w:after="165"/>
        <w:rPr>
          <w:rFonts w:ascii="Times New Roman" w:hAnsi="Times New Roman"/>
          <w:color w:val="000000" w:themeColor="text1"/>
          <w14:textFill>
            <w14:solidFill>
              <w14:schemeClr w14:val="tx1"/>
            </w14:solidFill>
          </w14:textFill>
        </w:rPr>
      </w:pPr>
      <w:bookmarkStart w:id="97" w:name="_Toc6063"/>
      <w:bookmarkStart w:id="98" w:name="_Toc209840617"/>
      <w:bookmarkStart w:id="99" w:name="_Toc335926136"/>
      <w:bookmarkStart w:id="100" w:name="_Toc172174191"/>
      <w:bookmarkStart w:id="101" w:name="_Toc313453431"/>
      <w:bookmarkStart w:id="102" w:name="_Toc15504"/>
      <w:r>
        <w:rPr>
          <w:rFonts w:ascii="Times New Roman" w:hAnsi="Times New Roman"/>
          <w:color w:val="000000" w:themeColor="text1"/>
          <w14:textFill>
            <w14:solidFill>
              <w14:schemeClr w14:val="tx1"/>
            </w14:solidFill>
          </w14:textFill>
        </w:rPr>
        <w:t xml:space="preserve">第2章 </w:t>
      </w:r>
      <w:r>
        <w:rPr>
          <w:rFonts w:hint="eastAsia" w:ascii="Times New Roman" w:hAnsi="Times New Roman"/>
          <w:color w:val="000000" w:themeColor="text1"/>
          <w14:textFill>
            <w14:solidFill>
              <w14:schemeClr w14:val="tx1"/>
            </w14:solidFill>
          </w14:textFill>
        </w:rPr>
        <w:t>企业及</w:t>
      </w:r>
      <w:r>
        <w:rPr>
          <w:rFonts w:ascii="Times New Roman" w:hAnsi="Times New Roman"/>
          <w:color w:val="000000" w:themeColor="text1"/>
          <w14:textFill>
            <w14:solidFill>
              <w14:schemeClr w14:val="tx1"/>
            </w14:solidFill>
          </w14:textFill>
        </w:rPr>
        <w:t>项目概况</w:t>
      </w:r>
      <w:bookmarkEnd w:id="97"/>
      <w:bookmarkEnd w:id="98"/>
      <w:bookmarkEnd w:id="99"/>
      <w:bookmarkEnd w:id="100"/>
      <w:bookmarkEnd w:id="101"/>
      <w:bookmarkEnd w:id="102"/>
    </w:p>
    <w:p w14:paraId="7CF8FE5D">
      <w:pPr>
        <w:pStyle w:val="4"/>
        <w:rPr>
          <w:rFonts w:hint="eastAsia" w:ascii="Times New Roman" w:hAnsi="Times New Roman" w:cs="Times New Roman"/>
          <w:color w:val="000000" w:themeColor="text1"/>
          <w:lang w:eastAsia="zh-CN"/>
          <w14:textFill>
            <w14:solidFill>
              <w14:schemeClr w14:val="tx1"/>
            </w14:solidFill>
          </w14:textFill>
        </w:rPr>
      </w:pPr>
      <w:bookmarkStart w:id="103" w:name="_Toc335926137"/>
      <w:bookmarkStart w:id="104" w:name="_Toc209840618"/>
      <w:bookmarkStart w:id="105" w:name="_Toc172174192"/>
      <w:bookmarkStart w:id="106" w:name="_Toc21222"/>
      <w:bookmarkStart w:id="107" w:name="_Toc313453432"/>
      <w:bookmarkStart w:id="108" w:name="_Toc22940"/>
      <w:r>
        <w:rPr>
          <w:rFonts w:hint="eastAsia" w:ascii="Times New Roman" w:hAnsi="Times New Roman" w:cs="Times New Roman"/>
          <w:color w:val="000000" w:themeColor="text1"/>
          <w14:textFill>
            <w14:solidFill>
              <w14:schemeClr w14:val="tx1"/>
            </w14:solidFill>
          </w14:textFill>
        </w:rPr>
        <w:t>2.1</w:t>
      </w:r>
      <w:bookmarkEnd w:id="103"/>
      <w:bookmarkEnd w:id="104"/>
      <w:bookmarkEnd w:id="105"/>
      <w:bookmarkEnd w:id="106"/>
      <w:bookmarkEnd w:id="107"/>
      <w:r>
        <w:rPr>
          <w:rFonts w:hint="eastAsia" w:ascii="Times New Roman" w:hAnsi="Times New Roman" w:cs="Times New Roman"/>
          <w:color w:val="000000" w:themeColor="text1"/>
          <w14:textFill>
            <w14:solidFill>
              <w14:schemeClr w14:val="tx1"/>
            </w14:solidFill>
          </w14:textFill>
        </w:rPr>
        <w:t>企业</w:t>
      </w:r>
      <w:r>
        <w:rPr>
          <w:rFonts w:hint="eastAsia" w:ascii="Times New Roman" w:hAnsi="Times New Roman" w:cs="Times New Roman"/>
          <w:color w:val="000000" w:themeColor="text1"/>
          <w:lang w:val="en-US" w:eastAsia="zh-CN"/>
          <w14:textFill>
            <w14:solidFill>
              <w14:schemeClr w14:val="tx1"/>
            </w14:solidFill>
          </w14:textFill>
        </w:rPr>
        <w:t>概况</w:t>
      </w:r>
      <w:bookmarkEnd w:id="108"/>
    </w:p>
    <w:p w14:paraId="742B9C30">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bookmarkStart w:id="109" w:name="_Toc16953"/>
      <w:bookmarkStart w:id="110" w:name="_Toc335926138"/>
      <w:bookmarkStart w:id="111" w:name="_Toc309682398"/>
      <w:bookmarkStart w:id="112" w:name="_Toc278151340"/>
      <w:bookmarkStart w:id="113" w:name="_Toc327017732"/>
      <w:bookmarkStart w:id="114" w:name="_Toc313453446"/>
      <w:r>
        <w:rPr>
          <w:rFonts w:hint="eastAsia" w:ascii="宋体" w:hAnsi="宋体" w:cs="宋体"/>
          <w:color w:val="000000" w:themeColor="text1"/>
          <w:sz w:val="28"/>
          <w:szCs w:val="28"/>
          <w14:textFill>
            <w14:solidFill>
              <w14:schemeClr w14:val="tx1"/>
            </w14:solidFill>
          </w14:textFill>
        </w:rPr>
        <w:t>名    称：南华昆轻树脂瓦开发有限公司</w:t>
      </w:r>
    </w:p>
    <w:p w14:paraId="3D551C6C">
      <w:pPr>
        <w:adjustRightInd w:val="0"/>
        <w:snapToGrid w:val="0"/>
        <w:spacing w:line="500" w:lineRule="exact"/>
        <w:ind w:firstLine="560" w:firstLineChars="200"/>
        <w:rPr>
          <w:rFonts w:hint="default"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统一社会信用代码：9153232</w:t>
      </w:r>
      <w:r>
        <w:rPr>
          <w:rFonts w:hint="eastAsia" w:ascii="宋体" w:hAnsi="宋体" w:cs="宋体"/>
          <w:color w:val="000000" w:themeColor="text1"/>
          <w:sz w:val="28"/>
          <w:szCs w:val="28"/>
          <w:lang w:val="en-US" w:eastAsia="zh-CN"/>
          <w14:textFill>
            <w14:solidFill>
              <w14:schemeClr w14:val="tx1"/>
            </w14:solidFill>
          </w14:textFill>
        </w:rPr>
        <w:t>4MA6N307Y8A</w:t>
      </w:r>
    </w:p>
    <w:p w14:paraId="1BDE5B72">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类    型：</w:t>
      </w:r>
      <w:r>
        <w:rPr>
          <w:rFonts w:hint="eastAsia" w:ascii="宋体" w:hAnsi="宋体" w:cs="宋体"/>
          <w:color w:val="000000" w:themeColor="text1"/>
          <w:sz w:val="28"/>
          <w:szCs w:val="28"/>
          <w:lang w:val="en-US" w:eastAsia="zh-CN"/>
          <w14:textFill>
            <w14:solidFill>
              <w14:schemeClr w14:val="tx1"/>
            </w14:solidFill>
          </w14:textFill>
        </w:rPr>
        <w:t>有限责任公司</w:t>
      </w:r>
      <w:r>
        <w:rPr>
          <w:rFonts w:hint="eastAsia" w:ascii="宋体" w:hAnsi="宋体" w:cs="宋体"/>
          <w:color w:val="000000" w:themeColor="text1"/>
          <w:sz w:val="28"/>
          <w:szCs w:val="28"/>
          <w14:textFill>
            <w14:solidFill>
              <w14:schemeClr w14:val="tx1"/>
            </w14:solidFill>
          </w14:textFill>
        </w:rPr>
        <w:t>（自然人投资或控股）</w:t>
      </w:r>
    </w:p>
    <w:p w14:paraId="3FF2A83A">
      <w:pPr>
        <w:adjustRightInd w:val="0"/>
        <w:snapToGrid w:val="0"/>
        <w:spacing w:line="500" w:lineRule="exact"/>
        <w:ind w:firstLine="560" w:firstLineChars="200"/>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法定代表人：王</w:t>
      </w:r>
      <w:r>
        <w:rPr>
          <w:rFonts w:hint="eastAsia" w:ascii="宋体" w:hAnsi="宋体" w:cs="宋体"/>
          <w:color w:val="000000" w:themeColor="text1"/>
          <w:sz w:val="28"/>
          <w:szCs w:val="28"/>
          <w:lang w:val="en-US" w:eastAsia="zh-CN"/>
          <w14:textFill>
            <w14:solidFill>
              <w14:schemeClr w14:val="tx1"/>
            </w14:solidFill>
          </w14:textFill>
        </w:rPr>
        <w:t>金明</w:t>
      </w:r>
    </w:p>
    <w:p w14:paraId="7AF0516D">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成立日期：</w:t>
      </w:r>
      <w:r>
        <w:rPr>
          <w:rFonts w:hint="eastAsia" w:ascii="宋体" w:hAnsi="宋体" w:cs="宋体"/>
          <w:color w:val="000000" w:themeColor="text1"/>
          <w:sz w:val="28"/>
          <w:szCs w:val="28"/>
          <w:lang w:val="en-US" w:eastAsia="zh-CN"/>
          <w14:textFill>
            <w14:solidFill>
              <w14:schemeClr w14:val="tx1"/>
            </w14:solidFill>
          </w14:textFill>
        </w:rPr>
        <w:t>2018</w:t>
      </w:r>
      <w:r>
        <w:rPr>
          <w:rFonts w:hint="eastAsia" w:ascii="宋体" w:hAnsi="宋体" w:cs="宋体"/>
          <w:color w:val="000000" w:themeColor="text1"/>
          <w:sz w:val="28"/>
          <w:szCs w:val="28"/>
          <w14:textFill>
            <w14:solidFill>
              <w14:schemeClr w14:val="tx1"/>
            </w14:solidFill>
          </w14:textFill>
        </w:rPr>
        <w:t>年03月2</w:t>
      </w:r>
      <w:r>
        <w:rPr>
          <w:rFonts w:hint="eastAsia" w:ascii="宋体" w:hAnsi="宋体" w:cs="宋体"/>
          <w:color w:val="000000" w:themeColor="text1"/>
          <w:sz w:val="28"/>
          <w:szCs w:val="28"/>
          <w:lang w:val="en-US" w:eastAsia="zh-CN"/>
          <w14:textFill>
            <w14:solidFill>
              <w14:schemeClr w14:val="tx1"/>
            </w14:solidFill>
          </w14:textFill>
        </w:rPr>
        <w:t>8</w:t>
      </w:r>
      <w:r>
        <w:rPr>
          <w:rFonts w:hint="eastAsia" w:ascii="宋体" w:hAnsi="宋体" w:cs="宋体"/>
          <w:color w:val="000000" w:themeColor="text1"/>
          <w:sz w:val="28"/>
          <w:szCs w:val="28"/>
          <w14:textFill>
            <w14:solidFill>
              <w14:schemeClr w14:val="tx1"/>
            </w14:solidFill>
          </w14:textFill>
        </w:rPr>
        <w:t>日</w:t>
      </w:r>
    </w:p>
    <w:p w14:paraId="6002D580">
      <w:pPr>
        <w:adjustRightInd w:val="0"/>
        <w:snapToGrid w:val="0"/>
        <w:spacing w:line="500" w:lineRule="exact"/>
        <w:ind w:firstLine="560" w:firstLineChars="200"/>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住    所：云南省</w:t>
      </w:r>
      <w:r>
        <w:rPr>
          <w:rFonts w:hint="eastAsia" w:ascii="宋体" w:hAnsi="宋体" w:cs="宋体"/>
          <w:color w:val="000000" w:themeColor="text1"/>
          <w:sz w:val="28"/>
          <w:szCs w:val="28"/>
          <w:lang w:val="en-US" w:eastAsia="zh-CN"/>
          <w14:textFill>
            <w14:solidFill>
              <w14:schemeClr w14:val="tx1"/>
            </w14:solidFill>
          </w14:textFill>
        </w:rPr>
        <w:t>楚雄彝族自治州南华县龙川镇老高坝工业园区</w:t>
      </w:r>
    </w:p>
    <w:p w14:paraId="27A36945">
      <w:pPr>
        <w:spacing w:line="500" w:lineRule="exact"/>
        <w:ind w:firstLine="560" w:firstLineChars="200"/>
        <w:rPr>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经营范围：</w:t>
      </w:r>
      <w:r>
        <w:rPr>
          <w:rFonts w:hint="eastAsia" w:ascii="宋体" w:hAnsi="宋体" w:cs="宋体"/>
          <w:color w:val="000000" w:themeColor="text1"/>
          <w:sz w:val="28"/>
          <w:szCs w:val="28"/>
          <w:lang w:val="en-US" w:eastAsia="zh-CN"/>
          <w14:textFill>
            <w14:solidFill>
              <w14:schemeClr w14:val="tx1"/>
            </w14:solidFill>
          </w14:textFill>
        </w:rPr>
        <w:t>树脂瓦、水泥瓦生产、销售；其他新型建材研发、销售</w:t>
      </w:r>
      <w:r>
        <w:rPr>
          <w:rFonts w:hint="eastAsia"/>
          <w:color w:val="000000" w:themeColor="text1"/>
          <w:sz w:val="28"/>
          <w:szCs w:val="28"/>
          <w14:textFill>
            <w14:solidFill>
              <w14:schemeClr w14:val="tx1"/>
            </w14:solidFill>
          </w14:textFill>
        </w:rPr>
        <w:t>（依法须经批准的项目，</w:t>
      </w:r>
      <w:r>
        <w:rPr>
          <w:rFonts w:hint="eastAsia"/>
          <w:color w:val="000000" w:themeColor="text1"/>
          <w:sz w:val="28"/>
          <w:szCs w:val="28"/>
          <w:lang w:val="en-US" w:eastAsia="zh-CN"/>
          <w14:textFill>
            <w14:solidFill>
              <w14:schemeClr w14:val="tx1"/>
            </w14:solidFill>
          </w14:textFill>
        </w:rPr>
        <w:t>经相关部门批准后方可</w:t>
      </w:r>
      <w:r>
        <w:rPr>
          <w:rFonts w:hint="eastAsia"/>
          <w:color w:val="000000" w:themeColor="text1"/>
          <w:sz w:val="28"/>
          <w:szCs w:val="28"/>
          <w14:textFill>
            <w14:solidFill>
              <w14:schemeClr w14:val="tx1"/>
            </w14:solidFill>
          </w14:textFill>
        </w:rPr>
        <w:t>开展经营活动）。</w:t>
      </w:r>
    </w:p>
    <w:p w14:paraId="1B02379E">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登记机关：</w:t>
      </w:r>
      <w:r>
        <w:rPr>
          <w:rFonts w:hint="eastAsia" w:ascii="宋体" w:hAnsi="宋体" w:cs="宋体"/>
          <w:color w:val="000000" w:themeColor="text1"/>
          <w:sz w:val="28"/>
          <w:szCs w:val="28"/>
          <w:lang w:val="en-US" w:eastAsia="zh-CN"/>
          <w14:textFill>
            <w14:solidFill>
              <w14:schemeClr w14:val="tx1"/>
            </w14:solidFill>
          </w14:textFill>
        </w:rPr>
        <w:t>南华县</w:t>
      </w:r>
      <w:r>
        <w:rPr>
          <w:rFonts w:hint="eastAsia" w:ascii="宋体" w:hAnsi="宋体" w:cs="宋体"/>
          <w:color w:val="000000" w:themeColor="text1"/>
          <w:sz w:val="28"/>
          <w:szCs w:val="28"/>
          <w14:textFill>
            <w14:solidFill>
              <w14:schemeClr w14:val="tx1"/>
            </w14:solidFill>
          </w14:textFill>
        </w:rPr>
        <w:t>市场监督管理局</w:t>
      </w:r>
      <w:bookmarkStart w:id="115" w:name="_Toc516749011"/>
    </w:p>
    <w:bookmarkEnd w:id="109"/>
    <w:bookmarkEnd w:id="110"/>
    <w:bookmarkEnd w:id="111"/>
    <w:bookmarkEnd w:id="112"/>
    <w:bookmarkEnd w:id="113"/>
    <w:bookmarkEnd w:id="115"/>
    <w:p w14:paraId="7C74BD7A">
      <w:pPr>
        <w:pStyle w:val="4"/>
        <w:rPr>
          <w:rFonts w:hint="eastAsia" w:ascii="Times New Roman" w:hAnsi="Times New Roman" w:cs="Times New Roman"/>
          <w:color w:val="000000" w:themeColor="text1"/>
          <w14:textFill>
            <w14:solidFill>
              <w14:schemeClr w14:val="tx1"/>
            </w14:solidFill>
          </w14:textFill>
        </w:rPr>
      </w:pPr>
      <w:bookmarkStart w:id="116" w:name="_Toc19325"/>
      <w:bookmarkStart w:id="117" w:name="_Toc12464"/>
      <w:r>
        <w:rPr>
          <w:rFonts w:hint="eastAsia" w:ascii="Times New Roman" w:hAnsi="Times New Roman" w:cs="Times New Roman"/>
          <w:color w:val="000000" w:themeColor="text1"/>
          <w14:textFill>
            <w14:solidFill>
              <w14:schemeClr w14:val="tx1"/>
            </w14:solidFill>
          </w14:textFill>
        </w:rPr>
        <w:t>2.2</w:t>
      </w:r>
      <w:bookmarkEnd w:id="116"/>
      <w:r>
        <w:rPr>
          <w:rFonts w:hint="eastAsia" w:ascii="Times New Roman" w:hAnsi="Times New Roman" w:cs="Times New Roman"/>
          <w:color w:val="000000" w:themeColor="text1"/>
          <w14:textFill>
            <w14:solidFill>
              <w14:schemeClr w14:val="tx1"/>
            </w14:solidFill>
          </w14:textFill>
        </w:rPr>
        <w:t>项目概况</w:t>
      </w:r>
      <w:bookmarkEnd w:id="117"/>
    </w:p>
    <w:bookmarkEnd w:id="114"/>
    <w:p w14:paraId="2622EA21">
      <w:pPr>
        <w:pStyle w:val="5"/>
        <w:rPr>
          <w:rFonts w:hint="eastAsia" w:ascii="Times New Roman" w:hAnsi="Times New Roman" w:cs="Times New Roman"/>
          <w:color w:val="000000" w:themeColor="text1"/>
          <w:lang w:eastAsia="zh-CN"/>
          <w14:textFill>
            <w14:solidFill>
              <w14:schemeClr w14:val="tx1"/>
            </w14:solidFill>
          </w14:textFill>
        </w:rPr>
      </w:pPr>
      <w:bookmarkStart w:id="118" w:name="_Toc22912"/>
      <w:r>
        <w:rPr>
          <w:rFonts w:hint="eastAsia" w:ascii="Times New Roman" w:hAnsi="Times New Roman" w:cs="Times New Roman"/>
          <w:color w:val="000000" w:themeColor="text1"/>
          <w14:textFill>
            <w14:solidFill>
              <w14:schemeClr w14:val="tx1"/>
            </w14:solidFill>
          </w14:textFill>
        </w:rPr>
        <w:t>2.2.1项目</w:t>
      </w:r>
      <w:r>
        <w:rPr>
          <w:rFonts w:hint="eastAsia" w:ascii="Times New Roman" w:hAnsi="Times New Roman" w:cs="Times New Roman"/>
          <w:color w:val="000000" w:themeColor="text1"/>
          <w:lang w:val="en-US" w:eastAsia="zh-CN"/>
          <w14:textFill>
            <w14:solidFill>
              <w14:schemeClr w14:val="tx1"/>
            </w14:solidFill>
          </w14:textFill>
        </w:rPr>
        <w:t>简介</w:t>
      </w:r>
      <w:bookmarkEnd w:id="118"/>
    </w:p>
    <w:p w14:paraId="69BA9F03">
      <w:pPr>
        <w:pStyle w:val="351"/>
        <w:keepNext w:val="0"/>
        <w:keepLines w:val="0"/>
        <w:pageBreakBefore w:val="0"/>
        <w:widowControl w:val="0"/>
        <w:kinsoku/>
        <w:wordWrap/>
        <w:overflowPunct/>
        <w:topLinePunct w:val="0"/>
        <w:autoSpaceDE/>
        <w:autoSpaceDN/>
        <w:bidi w:val="0"/>
        <w:adjustRightInd/>
        <w:snapToGrid/>
        <w:spacing w:after="0"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南华昆轻树脂瓦开发有限公司</w:t>
      </w:r>
      <w:r>
        <w:rPr>
          <w:rFonts w:hint="eastAsia" w:ascii="宋体" w:hAnsi="宋体" w:eastAsia="宋体" w:cs="宋体"/>
          <w:color w:val="000000" w:themeColor="text1"/>
          <w:sz w:val="28"/>
          <w:szCs w:val="28"/>
          <w:lang w:val="en-US" w:eastAsia="zh-CN" w:bidi="ar-SA"/>
          <w14:textFill>
            <w14:solidFill>
              <w14:schemeClr w14:val="tx1"/>
            </w14:solidFill>
          </w14:textFill>
        </w:rPr>
        <w:t>新型PVC树脂瓦及水泥瓦生产线</w:t>
      </w:r>
      <w:r>
        <w:rPr>
          <w:rFonts w:hint="eastAsia" w:cs="宋体"/>
          <w:color w:val="000000" w:themeColor="text1"/>
          <w:sz w:val="28"/>
          <w:szCs w:val="28"/>
          <w:lang w:val="en-US" w:eastAsia="zh-CN" w:bidi="ar-SA"/>
          <w14:textFill>
            <w14:solidFill>
              <w14:schemeClr w14:val="tx1"/>
            </w14:solidFill>
          </w14:textFill>
        </w:rPr>
        <w:t>项目</w:t>
      </w:r>
      <w:r>
        <w:rPr>
          <w:rFonts w:hint="eastAsia" w:ascii="宋体" w:hAnsi="宋体" w:eastAsia="宋体" w:cs="宋体"/>
          <w:color w:val="000000" w:themeColor="text1"/>
          <w:sz w:val="28"/>
          <w:szCs w:val="28"/>
          <w:lang w:eastAsia="zh-CN"/>
          <w14:textFill>
            <w14:solidFill>
              <w14:schemeClr w14:val="tx1"/>
            </w14:solidFill>
          </w14:textFill>
        </w:rPr>
        <w:t>位于南华县龙川镇老高坝工业园区内，</w:t>
      </w:r>
      <w:r>
        <w:rPr>
          <w:rFonts w:hint="eastAsia" w:ascii="宋体" w:hAnsi="宋体" w:eastAsia="宋体" w:cs="宋体"/>
          <w:color w:val="000000" w:themeColor="text1"/>
          <w:sz w:val="28"/>
          <w:szCs w:val="28"/>
          <w:lang w:val="en-US" w:eastAsia="zh-CN"/>
          <w14:textFill>
            <w14:solidFill>
              <w14:schemeClr w14:val="tx1"/>
            </w14:solidFill>
          </w14:textFill>
        </w:rPr>
        <w:t>公司于</w:t>
      </w:r>
      <w:r>
        <w:rPr>
          <w:rFonts w:hint="eastAsia" w:ascii="宋体" w:hAnsi="宋体" w:eastAsia="宋体" w:cs="宋体"/>
          <w:color w:val="000000" w:themeColor="text1"/>
          <w:sz w:val="28"/>
          <w:szCs w:val="28"/>
          <w:lang w:eastAsia="zh-CN"/>
          <w14:textFill>
            <w14:solidFill>
              <w14:schemeClr w14:val="tx1"/>
            </w14:solidFill>
          </w14:textFill>
        </w:rPr>
        <w:t>2018年3月</w:t>
      </w:r>
      <w:r>
        <w:rPr>
          <w:rFonts w:hint="eastAsia" w:ascii="宋体" w:hAnsi="宋体" w:eastAsia="宋体" w:cs="宋体"/>
          <w:color w:val="000000" w:themeColor="text1"/>
          <w:sz w:val="28"/>
          <w:szCs w:val="28"/>
          <w:lang w:val="en-US" w:eastAsia="zh-CN"/>
          <w14:textFill>
            <w14:solidFill>
              <w14:schemeClr w14:val="tx1"/>
            </w14:solidFill>
          </w14:textFill>
        </w:rPr>
        <w:t>注册</w:t>
      </w:r>
      <w:r>
        <w:rPr>
          <w:rFonts w:hint="eastAsia" w:ascii="宋体" w:hAnsi="宋体" w:eastAsia="宋体" w:cs="宋体"/>
          <w:color w:val="000000" w:themeColor="text1"/>
          <w:sz w:val="28"/>
          <w:szCs w:val="28"/>
          <w:lang w:eastAsia="zh-CN"/>
          <w14:textFill>
            <w14:solidFill>
              <w14:schemeClr w14:val="tx1"/>
            </w14:solidFill>
          </w14:textFill>
        </w:rPr>
        <w:t>成立，</w:t>
      </w:r>
      <w:r>
        <w:rPr>
          <w:rFonts w:hint="eastAsia" w:ascii="宋体" w:hAnsi="宋体" w:eastAsia="宋体" w:cs="宋体"/>
          <w:color w:val="000000" w:themeColor="text1"/>
          <w:sz w:val="28"/>
          <w:szCs w:val="28"/>
          <w:lang w:val="en-US" w:eastAsia="zh-CN"/>
          <w14:textFill>
            <w14:solidFill>
              <w14:schemeClr w14:val="tx1"/>
            </w14:solidFill>
          </w14:textFill>
        </w:rPr>
        <w:t>公司租用南华腾龙物流有限公司场地</w:t>
      </w:r>
      <w:r>
        <w:rPr>
          <w:rFonts w:hint="eastAsia" w:ascii="宋体" w:hAnsi="宋体" w:eastAsia="宋体" w:cs="宋体"/>
          <w:color w:val="000000" w:themeColor="text1"/>
          <w:sz w:val="28"/>
          <w14:textFill>
            <w14:solidFill>
              <w14:schemeClr w14:val="tx1"/>
            </w14:solidFill>
          </w14:textFill>
        </w:rPr>
        <w:t>作为生产车间</w:t>
      </w:r>
      <w:r>
        <w:rPr>
          <w:rFonts w:hint="eastAsia" w:ascii="宋体" w:hAnsi="宋体" w:eastAsia="宋体" w:cs="宋体"/>
          <w:color w:val="000000" w:themeColor="text1"/>
          <w:sz w:val="28"/>
          <w:lang w:val="en-US" w:eastAsia="zh-CN"/>
          <w14:textFill>
            <w14:solidFill>
              <w14:schemeClr w14:val="tx1"/>
            </w14:solidFill>
          </w14:textFill>
        </w:rPr>
        <w:t>及</w:t>
      </w:r>
      <w:r>
        <w:rPr>
          <w:rFonts w:hint="eastAsia" w:ascii="宋体" w:hAnsi="宋体" w:eastAsia="宋体" w:cs="宋体"/>
          <w:color w:val="000000" w:themeColor="text1"/>
          <w:sz w:val="28"/>
          <w14:textFill>
            <w14:solidFill>
              <w14:schemeClr w14:val="tx1"/>
            </w14:solidFill>
          </w14:textFill>
        </w:rPr>
        <w:t>仓库</w:t>
      </w:r>
      <w:r>
        <w:rPr>
          <w:rFonts w:hint="eastAsia" w:ascii="宋体" w:hAnsi="宋体" w:eastAsia="宋体" w:cs="宋体"/>
          <w:color w:val="000000" w:themeColor="text1"/>
          <w:sz w:val="28"/>
          <w:lang w:val="en-US" w:eastAsia="zh-CN"/>
          <w14:textFill>
            <w14:solidFill>
              <w14:schemeClr w14:val="tx1"/>
            </w14:solidFill>
          </w14:textFill>
        </w:rPr>
        <w:t>等</w:t>
      </w:r>
      <w:r>
        <w:rPr>
          <w:rFonts w:hint="eastAsia" w:ascii="宋体" w:hAnsi="宋体" w:eastAsia="宋体" w:cs="宋体"/>
          <w:color w:val="000000" w:themeColor="text1"/>
          <w:sz w:val="28"/>
          <w14:textFill>
            <w14:solidFill>
              <w14:schemeClr w14:val="tx1"/>
            </w14:solidFill>
          </w14:textFill>
        </w:rPr>
        <w:t>，主要生产</w:t>
      </w:r>
      <w:r>
        <w:rPr>
          <w:rFonts w:hint="eastAsia" w:cs="宋体"/>
          <w:color w:val="000000" w:themeColor="text1"/>
          <w:sz w:val="28"/>
          <w:lang w:val="en-US" w:eastAsia="zh-CN"/>
          <w14:textFill>
            <w14:solidFill>
              <w14:schemeClr w14:val="tx1"/>
            </w14:solidFill>
          </w14:textFill>
        </w:rPr>
        <w:t>及</w:t>
      </w:r>
      <w:r>
        <w:rPr>
          <w:rFonts w:hint="eastAsia" w:ascii="宋体" w:hAnsi="宋体" w:eastAsia="宋体" w:cs="宋体"/>
          <w:color w:val="000000" w:themeColor="text1"/>
          <w:sz w:val="28"/>
          <w:lang w:val="en-US" w:eastAsia="zh-CN"/>
          <w14:textFill>
            <w14:solidFill>
              <w14:schemeClr w14:val="tx1"/>
            </w14:solidFill>
          </w14:textFill>
        </w:rPr>
        <w:t>销售</w:t>
      </w:r>
      <w:r>
        <w:rPr>
          <w:rFonts w:hint="eastAsia" w:ascii="宋体" w:hAnsi="宋体" w:eastAsia="宋体" w:cs="宋体"/>
          <w:color w:val="000000" w:themeColor="text1"/>
          <w:sz w:val="28"/>
          <w:szCs w:val="28"/>
          <w:lang w:eastAsia="zh-CN"/>
          <w14:textFill>
            <w14:solidFill>
              <w14:schemeClr w14:val="tx1"/>
            </w14:solidFill>
          </w14:textFill>
        </w:rPr>
        <w:t>水泥瓦</w:t>
      </w:r>
      <w:r>
        <w:rPr>
          <w:rFonts w:hint="eastAsia" w:ascii="宋体" w:hAnsi="宋体" w:eastAsia="宋体" w:cs="宋体"/>
          <w:color w:val="000000" w:themeColor="text1"/>
          <w:sz w:val="28"/>
          <w14:textFill>
            <w14:solidFill>
              <w14:schemeClr w14:val="tx1"/>
            </w14:solidFill>
          </w14:textFill>
        </w:rPr>
        <w:t>。本项目从业人员共计</w:t>
      </w:r>
      <w:r>
        <w:rPr>
          <w:rFonts w:hint="eastAsia" w:ascii="宋体" w:hAnsi="宋体" w:eastAsia="宋体" w:cs="宋体"/>
          <w:color w:val="000000" w:themeColor="text1"/>
          <w:sz w:val="28"/>
          <w:lang w:val="en-US" w:eastAsia="zh-CN"/>
          <w14:textFill>
            <w14:solidFill>
              <w14:schemeClr w14:val="tx1"/>
            </w14:solidFill>
          </w14:textFill>
        </w:rPr>
        <w:t>15</w:t>
      </w:r>
      <w:r>
        <w:rPr>
          <w:rFonts w:hint="eastAsia" w:ascii="宋体" w:hAnsi="宋体" w:eastAsia="宋体" w:cs="宋体"/>
          <w:color w:val="000000" w:themeColor="text1"/>
          <w:sz w:val="28"/>
          <w14:textFill>
            <w14:solidFill>
              <w14:schemeClr w14:val="tx1"/>
            </w14:solidFill>
          </w14:textFill>
        </w:rPr>
        <w:t>人，其中管理人员</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人，技术、岗位人员共计1</w:t>
      </w:r>
      <w:r>
        <w:rPr>
          <w:rFonts w:hint="eastAsia" w:ascii="宋体" w:hAnsi="宋体" w:eastAsia="宋体" w:cs="宋体"/>
          <w:color w:val="000000" w:themeColor="text1"/>
          <w:sz w:val="28"/>
          <w:lang w:val="en-US" w:eastAsia="zh-CN"/>
          <w14:textFill>
            <w14:solidFill>
              <w14:schemeClr w14:val="tx1"/>
            </w14:solidFill>
          </w14:textFill>
        </w:rPr>
        <w:t>1</w:t>
      </w:r>
      <w:r>
        <w:rPr>
          <w:rFonts w:hint="eastAsia" w:ascii="宋体" w:hAnsi="宋体" w:eastAsia="宋体" w:cs="宋体"/>
          <w:color w:val="000000" w:themeColor="text1"/>
          <w:sz w:val="28"/>
          <w14:textFill>
            <w14:solidFill>
              <w14:schemeClr w14:val="tx1"/>
            </w14:solidFill>
          </w14:textFill>
        </w:rPr>
        <w:t>人。</w:t>
      </w:r>
    </w:p>
    <w:p w14:paraId="116F2CC6">
      <w:pPr>
        <w:pStyle w:val="5"/>
        <w:rPr>
          <w:rFonts w:hint="eastAsia" w:ascii="Times New Roman" w:hAnsi="Times New Roman" w:cs="Times New Roman"/>
          <w:color w:val="000000" w:themeColor="text1"/>
          <w14:textFill>
            <w14:solidFill>
              <w14:schemeClr w14:val="tx1"/>
            </w14:solidFill>
          </w14:textFill>
        </w:rPr>
      </w:pPr>
      <w:bookmarkStart w:id="119" w:name="_Toc21644"/>
      <w:bookmarkStart w:id="120" w:name="_Toc335926139"/>
      <w:bookmarkStart w:id="121" w:name="_Toc9112"/>
      <w:bookmarkStart w:id="122" w:name="_Toc27354"/>
      <w:r>
        <w:rPr>
          <w:rFonts w:hint="eastAsia" w:ascii="Times New Roman" w:hAnsi="Times New Roman" w:cs="Times New Roman"/>
          <w:color w:val="000000" w:themeColor="text1"/>
          <w14:textFill>
            <w14:solidFill>
              <w14:schemeClr w14:val="tx1"/>
            </w14:solidFill>
          </w14:textFill>
        </w:rPr>
        <w:t>2.2.</w:t>
      </w:r>
      <w:r>
        <w:rPr>
          <w:rFonts w:hint="eastAsia" w:ascii="Times New Roman" w:hAnsi="Times New Roman" w:cs="Times New Roman"/>
          <w:color w:val="000000" w:themeColor="text1"/>
          <w:lang w:val="en-US" w:eastAsia="zh-CN"/>
          <w14:textFill>
            <w14:solidFill>
              <w14:schemeClr w14:val="tx1"/>
            </w14:solidFill>
          </w14:textFill>
        </w:rPr>
        <w:t>2</w:t>
      </w:r>
      <w:r>
        <w:rPr>
          <w:rFonts w:hint="eastAsia" w:ascii="Times New Roman" w:hAnsi="Times New Roman" w:cs="Times New Roman"/>
          <w:color w:val="000000" w:themeColor="text1"/>
          <w14:textFill>
            <w14:solidFill>
              <w14:schemeClr w14:val="tx1"/>
            </w14:solidFill>
          </w14:textFill>
        </w:rPr>
        <w:t>项目地理位置</w:t>
      </w:r>
      <w:bookmarkEnd w:id="119"/>
      <w:bookmarkEnd w:id="120"/>
      <w:bookmarkEnd w:id="121"/>
      <w:bookmarkEnd w:id="122"/>
    </w:p>
    <w:p w14:paraId="1990463C">
      <w:pPr>
        <w:keepNext w:val="0"/>
        <w:keepLines w:val="0"/>
        <w:pageBreakBefore w:val="0"/>
        <w:widowControl w:val="0"/>
        <w:kinsoku/>
        <w:wordWrap/>
        <w:overflowPunct/>
        <w:topLinePunct w:val="0"/>
        <w:autoSpaceDE/>
        <w:autoSpaceDN/>
        <w:bidi w:val="0"/>
        <w:adjustRightInd w:val="0"/>
        <w:snapToGrid w:val="0"/>
        <w:spacing w:line="494" w:lineRule="exact"/>
        <w:ind w:left="0" w:leftChars="0" w:right="0" w:rightChars="0" w:firstLine="560" w:firstLineChars="200"/>
        <w:textAlignment w:val="auto"/>
        <w:rPr>
          <w:rFonts w:hint="eastAsia" w:hAnsi="宋体" w:cs="宋体"/>
          <w:color w:val="000000" w:themeColor="text1"/>
          <w:sz w:val="28"/>
          <w:szCs w:val="28"/>
          <w:lang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南华县地处滇中高原西部，楚雄州西南部，位于东经100°43′～101°21′，北纬24°43′～25°22′之间。东接楚雄市、牟定县，西连景东县、西靠祥云县、弥渡县，北邻姚安县。县境东西最大横距64.6公里,南北最大纵距71.7公里，总面积2343平方公里，山区面积96%。县城龙川镇海拔1857米，距州府楚雄33公里，(南永公路、320国道、楚大高速路、广大铁路穿境而过)距省会昆明198公里</w:t>
      </w:r>
      <w:r>
        <w:rPr>
          <w:rFonts w:hint="eastAsia" w:hAnsi="宋体" w:cs="宋体"/>
          <w:color w:val="000000" w:themeColor="text1"/>
          <w:sz w:val="28"/>
          <w:szCs w:val="28"/>
          <w:lang w:eastAsia="zh-CN"/>
          <w14:textFill>
            <w14:solidFill>
              <w14:schemeClr w14:val="tx1"/>
            </w14:solidFill>
          </w14:textFill>
        </w:rPr>
        <w:t>。</w:t>
      </w:r>
    </w:p>
    <w:p w14:paraId="0A673DF9">
      <w:pPr>
        <w:keepNext w:val="0"/>
        <w:keepLines w:val="0"/>
        <w:pageBreakBefore w:val="0"/>
        <w:widowControl w:val="0"/>
        <w:kinsoku/>
        <w:wordWrap/>
        <w:overflowPunct/>
        <w:topLinePunct w:val="0"/>
        <w:autoSpaceDE/>
        <w:autoSpaceDN/>
        <w:bidi w:val="0"/>
        <w:adjustRightInd w:val="0"/>
        <w:snapToGrid w:val="0"/>
        <w:spacing w:line="494" w:lineRule="exact"/>
        <w:ind w:left="0" w:leftChars="0" w:right="0" w:rightChars="0" w:firstLine="560" w:firstLineChars="200"/>
        <w:textAlignment w:val="auto"/>
        <w:rPr>
          <w:rFonts w:hint="default" w:ascii="宋体" w:hAnsi="宋体" w:eastAsia="宋体" w:cs="宋体"/>
          <w:color w:val="000000" w:themeColor="text1"/>
          <w:sz w:val="28"/>
          <w:szCs w:val="28"/>
          <w:lang w:val="en-US"/>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南华昆轻树脂瓦开发有限公司位于南华县龙川镇老高坝工业园区内，经纬度为东经101°16′12′′，北纬25°10′6′′</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交通十分</w:t>
      </w:r>
      <w:r>
        <w:rPr>
          <w:rFonts w:hint="eastAsia" w:ascii="宋体" w:hAnsi="宋体" w:eastAsia="宋体" w:cs="宋体"/>
          <w:color w:val="000000" w:themeColor="text1"/>
          <w:sz w:val="28"/>
          <w:szCs w:val="28"/>
          <w:lang w:eastAsia="zh-CN"/>
          <w14:textFill>
            <w14:solidFill>
              <w14:schemeClr w14:val="tx1"/>
            </w14:solidFill>
          </w14:textFill>
        </w:rPr>
        <w:t>便利</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b w:val="0"/>
          <w:bCs/>
          <w:color w:val="000000" w:themeColor="text1"/>
          <w:sz w:val="28"/>
          <w:szCs w:val="28"/>
          <w:lang w:eastAsia="zh-CN"/>
          <w14:textFill>
            <w14:solidFill>
              <w14:schemeClr w14:val="tx1"/>
            </w14:solidFill>
          </w14:textFill>
        </w:rPr>
        <w:t>地理位置图</w:t>
      </w:r>
      <w:r>
        <w:rPr>
          <w:rFonts w:hint="eastAsia" w:ascii="宋体" w:hAnsi="宋体" w:eastAsia="宋体" w:cs="宋体"/>
          <w:b w:val="0"/>
          <w:bCs/>
          <w:color w:val="000000" w:themeColor="text1"/>
          <w:sz w:val="28"/>
          <w:szCs w:val="28"/>
          <w:lang w:val="en-US" w:eastAsia="zh-CN"/>
          <w14:textFill>
            <w14:solidFill>
              <w14:schemeClr w14:val="tx1"/>
            </w14:solidFill>
          </w14:textFill>
        </w:rPr>
        <w:t>见图</w:t>
      </w:r>
      <w:r>
        <w:rPr>
          <w:rFonts w:hint="eastAsia" w:hAnsi="宋体" w:cs="宋体"/>
          <w:b w:val="0"/>
          <w:bCs/>
          <w:color w:val="000000" w:themeColor="text1"/>
          <w:sz w:val="28"/>
          <w:szCs w:val="28"/>
          <w:lang w:val="en-US" w:eastAsia="zh-CN"/>
          <w14:textFill>
            <w14:solidFill>
              <w14:schemeClr w14:val="tx1"/>
            </w14:solidFill>
          </w14:textFill>
        </w:rPr>
        <w:t>2</w:t>
      </w:r>
      <w:r>
        <w:rPr>
          <w:rFonts w:hint="eastAsia" w:ascii="宋体" w:hAnsi="宋体" w:eastAsia="宋体" w:cs="宋体"/>
          <w:b w:val="0"/>
          <w:bCs/>
          <w:color w:val="000000" w:themeColor="text1"/>
          <w:sz w:val="28"/>
          <w:szCs w:val="28"/>
          <w:lang w:val="en-US" w:eastAsia="zh-CN"/>
          <w14:textFill>
            <w14:solidFill>
              <w14:schemeClr w14:val="tx1"/>
            </w14:solidFill>
          </w14:textFill>
        </w:rPr>
        <w:t>-</w:t>
      </w:r>
      <w:r>
        <w:rPr>
          <w:rFonts w:hint="eastAsia" w:hAnsi="宋体" w:cs="宋体"/>
          <w:b w:val="0"/>
          <w:bCs/>
          <w:color w:val="000000" w:themeColor="text1"/>
          <w:sz w:val="28"/>
          <w:szCs w:val="28"/>
          <w:lang w:val="en-US" w:eastAsia="zh-CN"/>
          <w14:textFill>
            <w14:solidFill>
              <w14:schemeClr w14:val="tx1"/>
            </w14:solidFill>
          </w14:textFill>
        </w:rPr>
        <w:t>1</w:t>
      </w:r>
      <w:r>
        <w:rPr>
          <w:rFonts w:hint="eastAsia" w:ascii="宋体" w:hAnsi="宋体" w:eastAsia="宋体" w:cs="宋体"/>
          <w:b w:val="0"/>
          <w:bCs/>
          <w:color w:val="000000" w:themeColor="text1"/>
          <w:sz w:val="28"/>
          <w:szCs w:val="28"/>
          <w:lang w:val="en-US" w:eastAsia="zh-CN"/>
          <w14:textFill>
            <w14:solidFill>
              <w14:schemeClr w14:val="tx1"/>
            </w14:solidFill>
          </w14:textFill>
        </w:rPr>
        <w:t>。</w:t>
      </w:r>
    </w:p>
    <w:p w14:paraId="06912593">
      <w:pPr>
        <w:pStyle w:val="48"/>
        <w:widowControl/>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979670" cy="6937375"/>
            <wp:effectExtent l="0" t="0" r="381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3"/>
                    <a:stretch>
                      <a:fillRect/>
                    </a:stretch>
                  </pic:blipFill>
                  <pic:spPr>
                    <a:xfrm>
                      <a:off x="0" y="0"/>
                      <a:ext cx="4979670" cy="6937375"/>
                    </a:xfrm>
                    <a:prstGeom prst="rect">
                      <a:avLst/>
                    </a:prstGeom>
                    <a:noFill/>
                    <a:ln>
                      <a:noFill/>
                    </a:ln>
                  </pic:spPr>
                </pic:pic>
              </a:graphicData>
            </a:graphic>
          </wp:inline>
        </w:drawing>
      </w:r>
    </w:p>
    <w:p w14:paraId="5C32DBC9">
      <w:pPr>
        <w:pStyle w:val="48"/>
        <w:widowControl/>
        <w:spacing w:line="360" w:lineRule="auto"/>
        <w:jc w:val="center"/>
        <w:rPr>
          <w:rFonts w:hint="eastAsia"/>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 xml:space="preserve">图2-1  </w:t>
      </w:r>
      <w:r>
        <w:rPr>
          <w:rFonts w:hint="eastAsia" w:ascii="宋体" w:hAnsi="宋体" w:eastAsia="宋体" w:cs="宋体"/>
          <w:b w:val="0"/>
          <w:bCs/>
          <w:color w:val="000000" w:themeColor="text1"/>
          <w:sz w:val="28"/>
          <w:szCs w:val="28"/>
          <w:lang w:eastAsia="zh-CN"/>
          <w14:textFill>
            <w14:solidFill>
              <w14:schemeClr w14:val="tx1"/>
            </w14:solidFill>
          </w14:textFill>
        </w:rPr>
        <w:t>地理位置图</w:t>
      </w:r>
    </w:p>
    <w:p w14:paraId="20613AEB">
      <w:pPr>
        <w:pStyle w:val="5"/>
        <w:rPr>
          <w:rFonts w:hint="eastAsia" w:ascii="Times New Roman" w:hAnsi="Times New Roman" w:cs="Times New Roman"/>
          <w:color w:val="000000" w:themeColor="text1"/>
          <w14:textFill>
            <w14:solidFill>
              <w14:schemeClr w14:val="tx1"/>
            </w14:solidFill>
          </w14:textFill>
        </w:rPr>
      </w:pPr>
      <w:bookmarkStart w:id="123" w:name="_Toc313453448"/>
      <w:bookmarkStart w:id="124" w:name="_Toc335926141"/>
      <w:bookmarkStart w:id="125" w:name="_Toc31741"/>
      <w:bookmarkStart w:id="126" w:name="_Toc4510"/>
      <w:bookmarkStart w:id="127" w:name="_Toc172174199"/>
      <w:r>
        <w:rPr>
          <w:rFonts w:hint="eastAsia" w:ascii="Times New Roman" w:hAnsi="Times New Roman" w:cs="Times New Roman"/>
          <w:color w:val="000000" w:themeColor="text1"/>
          <w14:textFill>
            <w14:solidFill>
              <w14:schemeClr w14:val="tx1"/>
            </w14:solidFill>
          </w14:textFill>
        </w:rPr>
        <w:t>2.2.</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项目周边情况</w:t>
      </w:r>
      <w:bookmarkEnd w:id="123"/>
      <w:bookmarkEnd w:id="124"/>
      <w:bookmarkEnd w:id="125"/>
      <w:bookmarkEnd w:id="126"/>
    </w:p>
    <w:p w14:paraId="60586097">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南华昆轻树脂瓦开发有限公司位于南华县龙川镇老高坝工业园区内，</w:t>
      </w:r>
      <w:r>
        <w:rPr>
          <w:rFonts w:hint="eastAsia" w:ascii="宋体" w:hAnsi="宋体" w:eastAsia="宋体" w:cs="宋体"/>
          <w:color w:val="000000" w:themeColor="text1"/>
          <w:sz w:val="28"/>
          <w:szCs w:val="28"/>
          <w:lang w:val="en-US" w:eastAsia="zh-CN"/>
          <w14:textFill>
            <w14:solidFill>
              <w14:schemeClr w14:val="tx1"/>
            </w14:solidFill>
          </w14:textFill>
        </w:rPr>
        <w:t>东面为南华瑞泰保温材料有限公司（该企业已倒闭）；项目南面约10m处为南华县贝赢再生资源有限责任公司（目前属停产状态）、约100m外为茂森再生科技有限公司（该企业为锌锭加工）；项目西面为南华腾越混凝土有限公司和玻璃厂（目前为闲置状态）；北面为荒地及树林。该公司周边没有自然保护区和需要特别保护的野生动、植物资源，</w:t>
      </w:r>
      <w:r>
        <w:rPr>
          <w:rFonts w:hint="eastAsia" w:ascii="宋体" w:hAnsi="宋体" w:eastAsia="宋体" w:cs="宋体"/>
          <w:color w:val="000000" w:themeColor="text1"/>
          <w:sz w:val="28"/>
          <w:szCs w:val="28"/>
          <w:lang w:eastAsia="zh-CN"/>
          <w14:textFill>
            <w14:solidFill>
              <w14:schemeClr w14:val="tx1"/>
            </w14:solidFill>
          </w14:textFill>
        </w:rPr>
        <w:t>植被不发育，无名胜古迹，无重要建构筑物，无铁路等</w:t>
      </w:r>
      <w:r>
        <w:rPr>
          <w:rFonts w:hint="eastAsia" w:ascii="宋体" w:hAnsi="宋体" w:eastAsia="宋体" w:cs="宋体"/>
          <w:color w:val="000000" w:themeColor="text1"/>
          <w:sz w:val="28"/>
          <w:szCs w:val="28"/>
          <w:lang w:val="en-US" w:eastAsia="zh-CN"/>
          <w14:textFill>
            <w14:solidFill>
              <w14:schemeClr w14:val="tx1"/>
            </w14:solidFill>
          </w14:textFill>
        </w:rPr>
        <w:t>。</w:t>
      </w:r>
    </w:p>
    <w:p w14:paraId="3D23760A">
      <w:pPr>
        <w:spacing w:line="360" w:lineRule="auto"/>
        <w:ind w:firstLine="480" w:firstLineChars="200"/>
        <w:rPr>
          <w:rFonts w:hint="eastAsia" w:hAnsi="宋体" w:cs="宋体"/>
          <w:color w:val="000000" w:themeColor="text1"/>
          <w:sz w:val="28"/>
          <w:szCs w:val="28"/>
          <w14:textFill>
            <w14:solidFill>
              <w14:schemeClr w14:val="tx1"/>
            </w14:solidFill>
          </w14:textFill>
        </w:rPr>
      </w:pPr>
      <w:r>
        <w:rPr>
          <w:color w:val="000000" w:themeColor="text1"/>
          <w:position w:val="-157"/>
          <w14:textFill>
            <w14:solidFill>
              <w14:schemeClr w14:val="tx1"/>
            </w14:solidFill>
          </w14:textFill>
        </w:rPr>
        <w:drawing>
          <wp:inline distT="0" distB="0" distL="114300" distR="114300">
            <wp:extent cx="5700395" cy="3324225"/>
            <wp:effectExtent l="0" t="0" r="14605" b="13335"/>
            <wp:docPr id="6" name="图片 3"/>
            <wp:cNvGraphicFramePr/>
            <a:graphic xmlns:a="http://schemas.openxmlformats.org/drawingml/2006/main">
              <a:graphicData uri="http://schemas.openxmlformats.org/drawingml/2006/picture">
                <pic:pic xmlns:pic="http://schemas.openxmlformats.org/drawingml/2006/picture">
                  <pic:nvPicPr>
                    <pic:cNvPr id="6" name="图片 3"/>
                    <pic:cNvPicPr/>
                  </pic:nvPicPr>
                  <pic:blipFill>
                    <a:blip r:embed="rId24"/>
                    <a:stretch>
                      <a:fillRect/>
                    </a:stretch>
                  </pic:blipFill>
                  <pic:spPr>
                    <a:xfrm>
                      <a:off x="0" y="0"/>
                      <a:ext cx="5700395" cy="3324225"/>
                    </a:xfrm>
                    <a:prstGeom prst="rect">
                      <a:avLst/>
                    </a:prstGeom>
                    <a:noFill/>
                    <a:ln>
                      <a:noFill/>
                    </a:ln>
                  </pic:spPr>
                </pic:pic>
              </a:graphicData>
            </a:graphic>
          </wp:inline>
        </w:drawing>
      </w:r>
    </w:p>
    <w:p w14:paraId="06FAF664">
      <w:pPr>
        <w:pStyle w:val="350"/>
        <w:jc w:val="center"/>
        <w:rPr>
          <w:rFonts w:hint="eastAsia" w:hAnsi="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图2-2 项目周边环境卫星图</w:t>
      </w:r>
    </w:p>
    <w:p w14:paraId="5C026809">
      <w:pPr>
        <w:pStyle w:val="5"/>
        <w:rPr>
          <w:rFonts w:hint="eastAsia" w:ascii="Times New Roman" w:hAnsi="Times New Roman" w:cs="Times New Roman"/>
          <w:color w:val="000000" w:themeColor="text1"/>
          <w14:textFill>
            <w14:solidFill>
              <w14:schemeClr w14:val="tx1"/>
            </w14:solidFill>
          </w14:textFill>
        </w:rPr>
      </w:pPr>
      <w:bookmarkStart w:id="128" w:name="_Toc335926142"/>
      <w:bookmarkStart w:id="129" w:name="_Toc29473"/>
      <w:bookmarkStart w:id="130" w:name="_Toc313453449"/>
      <w:bookmarkStart w:id="131" w:name="_Toc15670"/>
      <w:bookmarkStart w:id="132" w:name="_Toc21065"/>
      <w:r>
        <w:rPr>
          <w:rFonts w:hint="eastAsia" w:ascii="Times New Roman" w:hAnsi="Times New Roman" w:cs="Times New Roman"/>
          <w:color w:val="000000" w:themeColor="text1"/>
          <w14:textFill>
            <w14:solidFill>
              <w14:schemeClr w14:val="tx1"/>
            </w14:solidFill>
          </w14:textFill>
        </w:rPr>
        <w:t>2.2.</w:t>
      </w:r>
      <w:r>
        <w:rPr>
          <w:rFonts w:hint="eastAsia" w:ascii="Times New Roman" w:hAnsi="Times New Roman"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14:textFill>
            <w14:solidFill>
              <w14:schemeClr w14:val="tx1"/>
            </w14:solidFill>
          </w14:textFill>
        </w:rPr>
        <w:t>气象条件</w:t>
      </w:r>
      <w:bookmarkEnd w:id="127"/>
      <w:bookmarkEnd w:id="128"/>
      <w:bookmarkEnd w:id="129"/>
      <w:bookmarkEnd w:id="130"/>
      <w:bookmarkEnd w:id="131"/>
      <w:bookmarkEnd w:id="132"/>
    </w:p>
    <w:p w14:paraId="59327B9C">
      <w:pPr>
        <w:pStyle w:val="351"/>
        <w:keepNext w:val="0"/>
        <w:keepLines w:val="0"/>
        <w:pageBreakBefore w:val="0"/>
        <w:widowControl w:val="0"/>
        <w:kinsoku/>
        <w:wordWrap/>
        <w:overflowPunct/>
        <w:topLinePunct w:val="0"/>
        <w:autoSpaceDE/>
        <w:autoSpaceDN/>
        <w:bidi w:val="0"/>
        <w:adjustRightInd/>
        <w:snapToGrid/>
        <w:spacing w:after="0" w:line="500" w:lineRule="exact"/>
        <w:ind w:firstLine="544"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bookmarkStart w:id="133" w:name="_Toc313453450"/>
      <w:bookmarkStart w:id="134" w:name="_Toc335926143"/>
      <w:r>
        <w:rPr>
          <w:rFonts w:hint="eastAsia" w:ascii="宋体" w:hAnsi="宋体" w:eastAsia="宋体" w:cs="宋体"/>
          <w:color w:val="000000" w:themeColor="text1"/>
          <w:spacing w:val="-4"/>
          <w:sz w:val="28"/>
          <w:szCs w:val="28"/>
          <w:lang w:val="en-US" w:eastAsia="zh-CN"/>
          <w14:textFill>
            <w14:solidFill>
              <w14:schemeClr w14:val="tx1"/>
            </w14:solidFill>
          </w14:textFill>
        </w:rPr>
        <w:t>南华县属亚热带山地季风气候，年平均气温15.9℃，月平均气温最高为22.5℃，出现在6月；月平均气温最低7.6℃，出现在1月份。年平均降雨量为837.5毫米，5～10月为雨季，降水量占全年的89.8%，这一季节的相对湿度也较大。年平均风速2.1m/s；全年主导风向为西南偏西风，最小频率风为东北风，夏季主导风为东南风，最小频率风为东北风</w:t>
      </w:r>
      <w:r>
        <w:rPr>
          <w:rFonts w:hint="eastAsia" w:ascii="宋体" w:hAnsi="宋体" w:eastAsia="宋体" w:cs="宋体"/>
          <w:color w:val="000000" w:themeColor="text1"/>
          <w:sz w:val="28"/>
          <w:szCs w:val="28"/>
          <w:lang w:eastAsia="zh-CN"/>
          <w14:textFill>
            <w14:solidFill>
              <w14:schemeClr w14:val="tx1"/>
            </w14:solidFill>
          </w14:textFill>
        </w:rPr>
        <w:t>。</w:t>
      </w:r>
    </w:p>
    <w:p w14:paraId="32BA93F7">
      <w:pPr>
        <w:pStyle w:val="5"/>
        <w:rPr>
          <w:rFonts w:hint="eastAsia" w:ascii="Times New Roman" w:hAnsi="Times New Roman" w:cs="Times New Roman"/>
          <w:color w:val="000000" w:themeColor="text1"/>
          <w14:textFill>
            <w14:solidFill>
              <w14:schemeClr w14:val="tx1"/>
            </w14:solidFill>
          </w14:textFill>
        </w:rPr>
      </w:pPr>
      <w:bookmarkStart w:id="135" w:name="_Toc10943"/>
      <w:bookmarkStart w:id="136" w:name="_Toc29539"/>
      <w:bookmarkStart w:id="137" w:name="_Toc24850"/>
      <w:r>
        <w:rPr>
          <w:rFonts w:hint="eastAsia" w:ascii="Times New Roman" w:hAnsi="Times New Roman" w:cs="Times New Roman"/>
          <w:color w:val="000000" w:themeColor="text1"/>
          <w14:textFill>
            <w14:solidFill>
              <w14:schemeClr w14:val="tx1"/>
            </w14:solidFill>
          </w14:textFill>
        </w:rPr>
        <w:t>2.2.</w:t>
      </w:r>
      <w:r>
        <w:rPr>
          <w:rFonts w:hint="eastAsia" w:ascii="Times New Roman" w:hAnsi="Times New Roman"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14:textFill>
            <w14:solidFill>
              <w14:schemeClr w14:val="tx1"/>
            </w14:solidFill>
          </w14:textFill>
        </w:rPr>
        <w:t>地质条件</w:t>
      </w:r>
      <w:bookmarkEnd w:id="133"/>
      <w:bookmarkEnd w:id="134"/>
      <w:bookmarkEnd w:id="135"/>
      <w:bookmarkEnd w:id="136"/>
      <w:bookmarkEnd w:id="137"/>
    </w:p>
    <w:p w14:paraId="57CC9BE3">
      <w:pPr>
        <w:pStyle w:val="9"/>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hAnsi="宋体" w:cs="宋体"/>
          <w:color w:val="000000" w:themeColor="text1"/>
          <w:sz w:val="28"/>
          <w:szCs w:val="28"/>
          <w:shd w:val="clear" w:color="auto" w:fill="FFFFFF"/>
          <w:lang w:val="en-US" w:eastAsia="zh-CN"/>
          <w14:textFill>
            <w14:solidFill>
              <w14:schemeClr w14:val="tx1"/>
            </w14:solidFill>
          </w14:textFill>
        </w:rPr>
      </w:pPr>
      <w:r>
        <w:rPr>
          <w:rFonts w:hint="eastAsia" w:hAnsi="宋体" w:cs="宋体"/>
          <w:color w:val="000000" w:themeColor="text1"/>
          <w:sz w:val="28"/>
          <w:szCs w:val="28"/>
          <w:shd w:val="clear" w:color="auto" w:fill="FFFFFF"/>
          <w:lang w:val="en-US" w:eastAsia="zh-CN"/>
          <w14:textFill>
            <w14:solidFill>
              <w14:schemeClr w14:val="tx1"/>
            </w14:solidFill>
          </w14:textFill>
        </w:rPr>
        <w:t>1.地形、地貌</w:t>
      </w:r>
    </w:p>
    <w:p w14:paraId="20570504">
      <w:pPr>
        <w:keepNext w:val="0"/>
        <w:keepLines w:val="0"/>
        <w:pageBreakBefore w:val="0"/>
        <w:widowControl w:val="0"/>
        <w:kinsoku/>
        <w:wordWrap/>
        <w:overflowPunct/>
        <w:topLinePunct w:val="0"/>
        <w:autoSpaceDE/>
        <w:autoSpaceDN/>
        <w:bidi w:val="0"/>
        <w:adjustRightInd/>
        <w:snapToGrid/>
        <w:spacing w:line="500" w:lineRule="exact"/>
        <w:ind w:firstLine="544" w:firstLineChars="200"/>
        <w:textAlignment w:val="auto"/>
        <w:rPr>
          <w:rFonts w:hint="eastAsia" w:ascii="宋体" w:hAnsi="宋体" w:eastAsia="宋体" w:cs="宋体"/>
          <w:color w:val="000000" w:themeColor="text1"/>
          <w:spacing w:val="-4"/>
          <w:sz w:val="28"/>
          <w:szCs w:val="28"/>
          <w:lang w:val="en-US" w:eastAsia="zh-CN" w:bidi="zh-TW"/>
          <w14:textFill>
            <w14:solidFill>
              <w14:schemeClr w14:val="tx1"/>
            </w14:solidFill>
          </w14:textFill>
        </w:rPr>
      </w:pPr>
      <w:r>
        <w:rPr>
          <w:rFonts w:hint="default" w:ascii="宋体" w:hAnsi="宋体" w:eastAsia="宋体" w:cs="宋体"/>
          <w:color w:val="000000" w:themeColor="text1"/>
          <w:spacing w:val="-4"/>
          <w:sz w:val="28"/>
          <w:szCs w:val="28"/>
          <w:lang w:val="en-US" w:eastAsia="zh-CN" w:bidi="zh-TW"/>
          <w14:textFill>
            <w14:solidFill>
              <w14:schemeClr w14:val="tx1"/>
            </w14:solidFill>
          </w14:textFill>
        </w:rPr>
        <w:t>南华县地处滇中高原西部和云南“山”字构造的脊柱部分。地势西北高，东南低，西南群山纵横，东北丘陵起伏，中部和东部起伏和缓，地形复杂，山河相间陈列，呈北西至北北西向。地质构造繁杂，以北北西向哀牢山和一街构造带为主；而马龙河褶皱区和南华扭动褶皱区居次；其中洱海——红河断裂带</w:t>
      </w:r>
      <w:r>
        <w:rPr>
          <w:rFonts w:hint="eastAsia" w:ascii="宋体" w:hAnsi="宋体" w:eastAsia="宋体" w:cs="宋体"/>
          <w:color w:val="000000" w:themeColor="text1"/>
          <w:spacing w:val="-4"/>
          <w:sz w:val="28"/>
          <w:szCs w:val="28"/>
          <w:lang w:val="en-US" w:eastAsia="zh-CN" w:bidi="zh-TW"/>
          <w14:textFill>
            <w14:solidFill>
              <w14:schemeClr w14:val="tx1"/>
            </w14:solidFill>
          </w14:textFill>
        </w:rPr>
        <w:t>居大。境内地层分布和沉积特征：以洱海—红河断裂为界，在它东西两侧显示不同的地层区。其东为“滇中区”，以中生界地层最多，广布本区大半。</w:t>
      </w:r>
    </w:p>
    <w:p w14:paraId="05726211">
      <w:pPr>
        <w:pStyle w:val="52"/>
        <w:keepNext w:val="0"/>
        <w:keepLines w:val="0"/>
        <w:pageBreakBefore w:val="0"/>
        <w:widowControl w:val="0"/>
        <w:kinsoku/>
        <w:wordWrap/>
        <w:overflowPunct/>
        <w:topLinePunct w:val="0"/>
        <w:autoSpaceDE/>
        <w:autoSpaceDN/>
        <w:bidi w:val="0"/>
        <w:adjustRightInd/>
        <w:snapToGrid/>
        <w:spacing w:line="500" w:lineRule="exact"/>
        <w:ind w:left="0" w:leftChars="0" w:firstLine="544" w:firstLineChars="200"/>
        <w:textAlignment w:val="auto"/>
        <w:rPr>
          <w:rFonts w:hint="eastAsia" w:ascii="宋体" w:hAnsi="宋体" w:eastAsia="宋体" w:cs="宋体"/>
          <w:color w:val="000000" w:themeColor="text1"/>
          <w:spacing w:val="-4"/>
          <w:sz w:val="28"/>
          <w:szCs w:val="28"/>
          <w:lang w:val="en-US" w:eastAsia="zh-CN" w:bidi="zh-TW"/>
          <w14:textFill>
            <w14:solidFill>
              <w14:schemeClr w14:val="tx1"/>
            </w14:solidFill>
          </w14:textFill>
        </w:rPr>
      </w:pPr>
      <w:r>
        <w:rPr>
          <w:rFonts w:hint="eastAsia" w:ascii="宋体" w:hAnsi="宋体" w:eastAsia="宋体" w:cs="宋体"/>
          <w:color w:val="000000" w:themeColor="text1"/>
          <w:spacing w:val="-4"/>
          <w:sz w:val="28"/>
          <w:szCs w:val="28"/>
          <w:lang w:val="en-US" w:eastAsia="zh-CN" w:bidi="zh-TW"/>
          <w14:textFill>
            <w14:solidFill>
              <w14:schemeClr w14:val="tx1"/>
            </w14:solidFill>
          </w14:textFill>
        </w:rPr>
        <w:t>经现场调查及查阅相关资料，项目地地质条件较好，无不良物理</w:t>
      </w:r>
    </w:p>
    <w:p w14:paraId="572541B1">
      <w:pPr>
        <w:pStyle w:val="5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color w:val="000000" w:themeColor="text1"/>
          <w:spacing w:val="-4"/>
          <w:sz w:val="28"/>
          <w:szCs w:val="28"/>
          <w:lang w:val="en-US" w:eastAsia="zh-CN" w:bidi="zh-TW"/>
          <w14:textFill>
            <w14:solidFill>
              <w14:schemeClr w14:val="tx1"/>
            </w14:solidFill>
          </w14:textFill>
        </w:rPr>
      </w:pPr>
      <w:r>
        <w:rPr>
          <w:rFonts w:hint="eastAsia" w:ascii="宋体" w:hAnsi="宋体" w:eastAsia="宋体" w:cs="宋体"/>
          <w:color w:val="000000" w:themeColor="text1"/>
          <w:spacing w:val="-4"/>
          <w:sz w:val="28"/>
          <w:szCs w:val="28"/>
          <w:lang w:val="en-US" w:eastAsia="zh-CN" w:bidi="zh-TW"/>
          <w14:textFill>
            <w14:solidFill>
              <w14:schemeClr w14:val="tx1"/>
            </w14:solidFill>
          </w14:textFill>
        </w:rPr>
        <w:t>地质现象存在，地基强度相对较高，未发不良地质现象。</w:t>
      </w:r>
    </w:p>
    <w:p w14:paraId="2EA5186A">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2.水文</w:t>
      </w:r>
    </w:p>
    <w:p w14:paraId="2FDD220F">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南华县境内水系分属金沙江水系和红河水系，县内地面河流纵横，汇集于四条河流，分别为兔街河、礼社江、马龙河、龙川江。其中前 3 条为红河水系，年平均地表径流量14761万 m</w:t>
      </w:r>
      <w:r>
        <w:rPr>
          <w:rFonts w:hint="eastAsia" w:ascii="宋体" w:hAnsi="宋体" w:eastAsia="宋体" w:cs="宋体"/>
          <w:color w:val="000000" w:themeColor="text1"/>
          <w:kern w:val="0"/>
          <w:sz w:val="28"/>
          <w:szCs w:val="28"/>
          <w:vertAlign w:val="superscript"/>
          <w:lang w:val="en-US" w:eastAsia="zh-CN" w:bidi="ar"/>
          <w14:textFill>
            <w14:solidFill>
              <w14:schemeClr w14:val="tx1"/>
            </w14:solidFill>
          </w14:textFill>
        </w:rPr>
        <w:t>3</w:t>
      </w:r>
      <w:r>
        <w:rPr>
          <w:rFonts w:hint="eastAsia" w:ascii="宋体" w:hAnsi="宋体" w:eastAsia="宋体" w:cs="宋体"/>
          <w:color w:val="000000" w:themeColor="text1"/>
          <w:kern w:val="0"/>
          <w:sz w:val="28"/>
          <w:szCs w:val="28"/>
          <w:lang w:val="en-US" w:eastAsia="zh-CN" w:bidi="ar"/>
          <w14:textFill>
            <w14:solidFill>
              <w14:schemeClr w14:val="tx1"/>
            </w14:solidFill>
          </w14:textFill>
        </w:rPr>
        <w:t>；龙川江属金沙江水系，年平均地表径流量 14848 万 m</w:t>
      </w:r>
      <w:r>
        <w:rPr>
          <w:rFonts w:hint="eastAsia" w:ascii="宋体" w:hAnsi="宋体" w:eastAsia="宋体" w:cs="宋体"/>
          <w:color w:val="000000" w:themeColor="text1"/>
          <w:kern w:val="0"/>
          <w:sz w:val="28"/>
          <w:szCs w:val="28"/>
          <w:vertAlign w:val="superscript"/>
          <w:lang w:val="en-US" w:eastAsia="zh-CN" w:bidi="ar"/>
          <w14:textFill>
            <w14:solidFill>
              <w14:schemeClr w14:val="tx1"/>
            </w14:solidFill>
          </w14:textFill>
        </w:rPr>
        <w:t>3</w:t>
      </w:r>
      <w:r>
        <w:rPr>
          <w:rFonts w:hint="eastAsia" w:ascii="宋体" w:hAnsi="宋体" w:eastAsia="宋体" w:cs="宋体"/>
          <w:color w:val="000000" w:themeColor="text1"/>
          <w:kern w:val="0"/>
          <w:sz w:val="28"/>
          <w:szCs w:val="28"/>
          <w:lang w:val="en-US" w:eastAsia="zh-CN" w:bidi="ar"/>
          <w14:textFill>
            <w14:solidFill>
              <w14:schemeClr w14:val="tx1"/>
            </w14:solidFill>
          </w14:textFill>
        </w:rPr>
        <w:t>；地表水总利用率为 10.5%。项目区附近的主要地表水体为大屯小河，大屯小河自西向东流入龙川江，属龙川江支流，龙川江属金沙江水系，龙川江古称“苴水”，发源于南华县天子庙坡东侧及五街乡，经南华、楚雄、黑井、元谋坝子至江边汇入金沙江，全长 254km。龙川江是金沙江水系在南华境内的主要河流，坝区流域面积 579.7km</w:t>
      </w:r>
      <w:r>
        <w:rPr>
          <w:rFonts w:hint="eastAsia" w:ascii="宋体" w:hAnsi="宋体" w:eastAsia="宋体" w:cs="宋体"/>
          <w:color w:val="000000" w:themeColor="text1"/>
          <w:kern w:val="0"/>
          <w:sz w:val="28"/>
          <w:szCs w:val="28"/>
          <w:vertAlign w:val="superscript"/>
          <w:lang w:val="en-US" w:eastAsia="zh-CN" w:bidi="ar"/>
          <w14:textFill>
            <w14:solidFill>
              <w14:schemeClr w14:val="tx1"/>
            </w14:solidFill>
          </w14:textFill>
        </w:rPr>
        <w:t>2</w:t>
      </w:r>
      <w:r>
        <w:rPr>
          <w:rFonts w:hint="eastAsia" w:ascii="宋体" w:hAnsi="宋体" w:eastAsia="宋体" w:cs="宋体"/>
          <w:color w:val="000000" w:themeColor="text1"/>
          <w:kern w:val="0"/>
          <w:sz w:val="28"/>
          <w:szCs w:val="28"/>
          <w:lang w:val="en-US" w:eastAsia="zh-CN" w:bidi="ar"/>
          <w14:textFill>
            <w14:solidFill>
              <w14:schemeClr w14:val="tx1"/>
            </w14:solidFill>
          </w14:textFill>
        </w:rPr>
        <w:t>，在县境内河道全长 56.2km。</w:t>
      </w:r>
    </w:p>
    <w:p w14:paraId="57B69EB7">
      <w:pPr>
        <w:pStyle w:val="9"/>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3.抗震</w:t>
      </w:r>
    </w:p>
    <w:p w14:paraId="578327DC">
      <w:pPr>
        <w:keepNext w:val="0"/>
        <w:keepLines w:val="0"/>
        <w:pageBreakBefore w:val="0"/>
        <w:widowControl w:val="0"/>
        <w:kinsoku/>
        <w:wordWrap/>
        <w:overflowPunct/>
        <w:topLinePunct w:val="0"/>
        <w:autoSpaceDE/>
        <w:autoSpaceDN/>
        <w:bidi w:val="0"/>
        <w:adjustRightInd/>
        <w:snapToGrid/>
        <w:spacing w:line="500" w:lineRule="exact"/>
        <w:ind w:firstLine="524" w:firstLineChars="200"/>
        <w:textAlignment w:val="auto"/>
        <w:rPr>
          <w:rFonts w:hint="eastAsia" w:ascii="宋体" w:hAnsi="宋体" w:eastAsia="宋体" w:cs="宋体"/>
          <w:snapToGrid/>
          <w:color w:val="000000" w:themeColor="text1"/>
          <w:sz w:val="28"/>
          <w:szCs w:val="28"/>
          <w:lang w:val="en-US" w:eastAsia="zh-CN" w:bidi="ar-SA"/>
          <w14:textFill>
            <w14:solidFill>
              <w14:schemeClr w14:val="tx1"/>
            </w14:solidFill>
          </w14:textFill>
        </w:rPr>
      </w:pPr>
      <w:r>
        <w:rPr>
          <w:rFonts w:hint="eastAsia" w:ascii="宋体" w:hAnsi="宋体" w:eastAsia="宋体" w:cs="宋体"/>
          <w:color w:val="000000" w:themeColor="text1"/>
          <w:spacing w:val="-9"/>
          <w:sz w:val="28"/>
          <w:szCs w:val="28"/>
          <w14:textFill>
            <w14:solidFill>
              <w14:schemeClr w14:val="tx1"/>
            </w14:solidFill>
          </w14:textFill>
        </w:rPr>
        <w:t>据</w:t>
      </w:r>
      <w:r>
        <w:rPr>
          <w:rFonts w:hint="eastAsia" w:ascii="宋体" w:hAnsi="宋体" w:eastAsia="宋体" w:cs="宋体"/>
          <w:color w:val="000000" w:themeColor="text1"/>
          <w:spacing w:val="-5"/>
          <w:sz w:val="28"/>
          <w:szCs w:val="28"/>
          <w14:textFill>
            <w14:solidFill>
              <w14:schemeClr w14:val="tx1"/>
            </w14:solidFill>
          </w14:textFill>
        </w:rPr>
        <w:t>《中国地震参数区划图》  (GB 18306-2015) 、《建筑抗震设计规范</w:t>
      </w:r>
      <w:r>
        <w:rPr>
          <w:rFonts w:hint="default" w:ascii="宋体" w:hAnsi="宋体" w:eastAsia="宋体" w:cs="宋体"/>
          <w:color w:val="0000FF"/>
          <w:sz w:val="28"/>
          <w:szCs w:val="28"/>
        </w:rPr>
        <w:t>（20</w:t>
      </w:r>
      <w:r>
        <w:rPr>
          <w:rFonts w:hint="eastAsia" w:ascii="宋体" w:hAnsi="宋体" w:eastAsia="宋体" w:cs="宋体"/>
          <w:color w:val="0000FF"/>
          <w:sz w:val="28"/>
          <w:szCs w:val="28"/>
          <w:lang w:val="en-US" w:eastAsia="zh-CN"/>
        </w:rPr>
        <w:t>24</w:t>
      </w:r>
      <w:r>
        <w:rPr>
          <w:rFonts w:hint="default" w:ascii="宋体" w:hAnsi="宋体" w:eastAsia="宋体" w:cs="宋体"/>
          <w:color w:val="0000FF"/>
          <w:sz w:val="28"/>
          <w:szCs w:val="28"/>
        </w:rPr>
        <w:t>年版）</w:t>
      </w:r>
      <w:r>
        <w:rPr>
          <w:rFonts w:hint="eastAsia" w:ascii="宋体" w:hAnsi="宋体" w:eastAsia="宋体" w:cs="宋体"/>
          <w:color w:val="000000" w:themeColor="text1"/>
          <w:spacing w:val="-5"/>
          <w:sz w:val="28"/>
          <w:szCs w:val="28"/>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ab/>
      </w:r>
      <w:r>
        <w:rPr>
          <w:rFonts w:hint="eastAsia" w:ascii="宋体" w:hAnsi="宋体" w:eastAsia="宋体" w:cs="宋体"/>
          <w:color w:val="000000" w:themeColor="text1"/>
          <w:spacing w:val="-6"/>
          <w:sz w:val="28"/>
          <w:szCs w:val="28"/>
          <w14:textFill>
            <w14:solidFill>
              <w14:schemeClr w14:val="tx1"/>
            </w14:solidFill>
          </w14:textFill>
        </w:rPr>
        <w:t>(</w:t>
      </w:r>
      <w:r>
        <w:rPr>
          <w:rFonts w:hint="eastAsia" w:ascii="宋体" w:hAnsi="宋体" w:eastAsia="宋体" w:cs="宋体"/>
          <w:color w:val="000000" w:themeColor="text1"/>
          <w:spacing w:val="-3"/>
          <w:sz w:val="28"/>
          <w:szCs w:val="28"/>
          <w14:textFill>
            <w14:solidFill>
              <w14:schemeClr w14:val="tx1"/>
            </w14:solidFill>
          </w14:textFill>
        </w:rPr>
        <w:t>GB</w:t>
      </w:r>
      <w:r>
        <w:rPr>
          <w:rFonts w:hint="eastAsia" w:ascii="宋体" w:hAnsi="宋体" w:eastAsia="宋体" w:cs="宋体"/>
          <w:color w:val="000000" w:themeColor="text1"/>
          <w:spacing w:val="-6"/>
          <w:sz w:val="28"/>
          <w:szCs w:val="28"/>
          <w14:textFill>
            <w14:solidFill>
              <w14:schemeClr w14:val="tx1"/>
            </w14:solidFill>
          </w14:textFill>
        </w:rPr>
        <w:t>50011-2010</w:t>
      </w:r>
      <w:r>
        <w:rPr>
          <w:rFonts w:hint="eastAsia" w:ascii="宋体" w:hAnsi="宋体" w:eastAsia="宋体" w:cs="宋体"/>
          <w:color w:val="000000" w:themeColor="text1"/>
          <w:spacing w:val="-4"/>
          <w:sz w:val="28"/>
          <w:szCs w:val="28"/>
          <w14:textFill>
            <w14:solidFill>
              <w14:schemeClr w14:val="tx1"/>
            </w14:solidFill>
          </w14:textFill>
        </w:rPr>
        <w:t xml:space="preserve"> </w:t>
      </w:r>
      <w:r>
        <w:rPr>
          <w:rFonts w:hint="eastAsia" w:ascii="宋体" w:hAnsi="宋体" w:eastAsia="宋体" w:cs="宋体"/>
          <w:color w:val="000000" w:themeColor="text1"/>
          <w:spacing w:val="-3"/>
          <w:sz w:val="28"/>
          <w:szCs w:val="28"/>
          <w14:textFill>
            <w14:solidFill>
              <w14:schemeClr w14:val="tx1"/>
            </w14:solidFill>
          </w14:textFill>
        </w:rPr>
        <w:t>) 。</w:t>
      </w:r>
      <w:r>
        <w:rPr>
          <w:rFonts w:hint="eastAsia" w:ascii="宋体" w:hAnsi="宋体" w:eastAsia="宋体" w:cs="宋体"/>
          <w:snapToGrid/>
          <w:color w:val="000000" w:themeColor="text1"/>
          <w:sz w:val="28"/>
          <w:szCs w:val="28"/>
          <w:lang w:val="en-US" w:eastAsia="zh-CN" w:bidi="ar-SA"/>
          <w14:textFill>
            <w14:solidFill>
              <w14:schemeClr w14:val="tx1"/>
            </w14:solidFill>
          </w14:textFill>
        </w:rPr>
        <w:t>工程场地所处的南华县龙川镇，该区域Ⅱ类场地抗震设防烈度为7度，设计基本地震加速度值为0.15g，第二组，基本地震动加速度反应谱特征周期值为0.45s。</w:t>
      </w:r>
    </w:p>
    <w:p w14:paraId="43A8450B">
      <w:pPr>
        <w:pStyle w:val="4"/>
        <w:rPr>
          <w:rFonts w:hint="eastAsia" w:ascii="Times New Roman" w:hAnsi="Times New Roman" w:cs="Times New Roman"/>
          <w:color w:val="000000" w:themeColor="text1"/>
          <w14:textFill>
            <w14:solidFill>
              <w14:schemeClr w14:val="tx1"/>
            </w14:solidFill>
          </w14:textFill>
        </w:rPr>
      </w:pPr>
      <w:bookmarkStart w:id="138" w:name="_Toc309682404"/>
      <w:bookmarkStart w:id="139" w:name="_Toc278151346"/>
      <w:bookmarkStart w:id="140" w:name="_Toc2184"/>
      <w:bookmarkStart w:id="141" w:name="_Toc327017738"/>
      <w:bookmarkStart w:id="142" w:name="_Toc335926144"/>
      <w:bookmarkStart w:id="143" w:name="_Toc13136"/>
      <w:r>
        <w:rPr>
          <w:rFonts w:hint="eastAsia" w:ascii="Times New Roman" w:hAnsi="Times New Roman" w:cs="Times New Roman"/>
          <w:color w:val="000000" w:themeColor="text1"/>
          <w14:textFill>
            <w14:solidFill>
              <w14:schemeClr w14:val="tx1"/>
            </w14:solidFill>
          </w14:textFill>
        </w:rPr>
        <w:t>2.3总图布置</w:t>
      </w:r>
      <w:bookmarkEnd w:id="138"/>
      <w:bookmarkEnd w:id="139"/>
      <w:bookmarkEnd w:id="140"/>
      <w:bookmarkEnd w:id="141"/>
      <w:bookmarkEnd w:id="142"/>
      <w:bookmarkEnd w:id="143"/>
    </w:p>
    <w:p w14:paraId="4ACD554F">
      <w:pPr>
        <w:pStyle w:val="5"/>
        <w:rPr>
          <w:rFonts w:hint="eastAsia" w:ascii="Times New Roman" w:hAnsi="Times New Roman" w:cs="Times New Roman"/>
          <w:color w:val="000000" w:themeColor="text1"/>
          <w14:textFill>
            <w14:solidFill>
              <w14:schemeClr w14:val="tx1"/>
            </w14:solidFill>
          </w14:textFill>
        </w:rPr>
      </w:pPr>
      <w:bookmarkStart w:id="144" w:name="_Toc278151347"/>
      <w:bookmarkStart w:id="145" w:name="_Toc327017739"/>
      <w:bookmarkStart w:id="146" w:name="_Toc26751"/>
      <w:bookmarkStart w:id="147" w:name="_Toc335926145"/>
      <w:bookmarkStart w:id="148" w:name="_Toc309682405"/>
      <w:bookmarkStart w:id="149" w:name="_Toc18825"/>
      <w:bookmarkStart w:id="150" w:name="_Toc11767"/>
      <w:r>
        <w:rPr>
          <w:rFonts w:hint="eastAsia" w:ascii="Times New Roman" w:hAnsi="Times New Roman" w:cs="Times New Roman"/>
          <w:color w:val="000000" w:themeColor="text1"/>
          <w14:textFill>
            <w14:solidFill>
              <w14:schemeClr w14:val="tx1"/>
            </w14:solidFill>
          </w14:textFill>
        </w:rPr>
        <w:t>2.3.1总平面布置</w:t>
      </w:r>
      <w:bookmarkEnd w:id="144"/>
      <w:bookmarkEnd w:id="145"/>
      <w:bookmarkEnd w:id="146"/>
      <w:bookmarkEnd w:id="147"/>
      <w:bookmarkEnd w:id="148"/>
      <w:bookmarkEnd w:id="149"/>
      <w:bookmarkEnd w:id="150"/>
    </w:p>
    <w:p w14:paraId="75F4AA4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napToGrid/>
          <w:color w:val="000000" w:themeColor="text1"/>
          <w:sz w:val="28"/>
          <w:szCs w:val="28"/>
          <w:lang w:val="en-US" w:eastAsia="zh-CN" w:bidi="ar-SA"/>
          <w14:textFill>
            <w14:solidFill>
              <w14:schemeClr w14:val="tx1"/>
            </w14:solidFill>
          </w14:textFill>
        </w:rPr>
      </w:pPr>
      <w:r>
        <w:rPr>
          <w:rFonts w:hint="eastAsia" w:ascii="宋体" w:hAnsi="宋体" w:eastAsia="宋体" w:cs="宋体"/>
          <w:snapToGrid/>
          <w:color w:val="000000" w:themeColor="text1"/>
          <w:sz w:val="28"/>
          <w:szCs w:val="28"/>
          <w:lang w:val="en-US" w:eastAsia="zh-CN" w:bidi="ar-SA"/>
          <w14:textFill>
            <w14:solidFill>
              <w14:schemeClr w14:val="tx1"/>
            </w14:solidFill>
          </w14:textFill>
        </w:rPr>
        <w:t>该公司总体布局分为生产区和非生产区，生产区主要包括生产车间、成品堆放区和烟囱管制造区；非生产区为办公生活区（主要包括办公室、宿舍、食堂、浴室厕所等）。生产车间由南向北布置，分别为磨粉区、配料混料区、网箱成型区、切割脱模区、成品堆放区；成品堆放区紧邻生产车间西侧；办公区设置在生产区北侧，宿舍设置在生产区西北侧（进厂大门右侧）。</w:t>
      </w:r>
      <w:r>
        <w:rPr>
          <w:rFonts w:hint="eastAsia" w:ascii="宋体" w:hAnsi="宋体" w:cs="宋体"/>
          <w:color w:val="000000" w:themeColor="text1"/>
          <w:sz w:val="28"/>
          <w:szCs w:val="28"/>
          <w14:textFill>
            <w14:solidFill>
              <w14:schemeClr w14:val="tx1"/>
            </w14:solidFill>
          </w14:textFill>
        </w:rPr>
        <w:t>项目生产车间平面布置如下图所示</w:t>
      </w:r>
      <w:r>
        <w:rPr>
          <w:rFonts w:hint="eastAsia" w:ascii="宋体" w:hAnsi="宋体" w:cs="宋体"/>
          <w:color w:val="000000" w:themeColor="text1"/>
          <w:sz w:val="28"/>
          <w:szCs w:val="28"/>
          <w:lang w:eastAsia="zh-CN"/>
          <w14:textFill>
            <w14:solidFill>
              <w14:schemeClr w14:val="tx1"/>
            </w14:solidFill>
          </w14:textFill>
        </w:rPr>
        <w:t>。</w:t>
      </w:r>
    </w:p>
    <w:p w14:paraId="24C993F5">
      <w:pPr>
        <w:pStyle w:val="351"/>
        <w:spacing w:after="0" w:line="360" w:lineRule="auto"/>
        <w:ind w:left="0" w:leftChars="0" w:firstLine="0" w:firstLineChars="0"/>
        <w:jc w:val="both"/>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351780" cy="3065145"/>
            <wp:effectExtent l="0" t="0" r="1270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5"/>
                    <a:srcRect r="928"/>
                    <a:stretch>
                      <a:fillRect/>
                    </a:stretch>
                  </pic:blipFill>
                  <pic:spPr>
                    <a:xfrm>
                      <a:off x="0" y="0"/>
                      <a:ext cx="5351780" cy="3065145"/>
                    </a:xfrm>
                    <a:prstGeom prst="rect">
                      <a:avLst/>
                    </a:prstGeom>
                    <a:noFill/>
                    <a:ln>
                      <a:noFill/>
                    </a:ln>
                  </pic:spPr>
                </pic:pic>
              </a:graphicData>
            </a:graphic>
          </wp:inline>
        </w:drawing>
      </w:r>
    </w:p>
    <w:p w14:paraId="5CE87317">
      <w:pPr>
        <w:pStyle w:val="350"/>
        <w:jc w:val="center"/>
        <w:rPr>
          <w:rFonts w:hint="eastAsia"/>
          <w:color w:val="000000" w:themeColor="text1"/>
          <w14:textFill>
            <w14:solidFill>
              <w14:schemeClr w14:val="tx1"/>
            </w14:solidFill>
          </w14:textFill>
        </w:rPr>
      </w:pPr>
      <w:r>
        <w:rPr>
          <w:rFonts w:hint="eastAsia" w:ascii="宋体" w:hAnsi="宋体" w:eastAsia="宋体" w:cs="宋体"/>
          <w:color w:val="000000" w:themeColor="text1"/>
          <w:sz w:val="28"/>
          <w:szCs w:val="28"/>
          <w:lang w:val="en-US" w:eastAsia="zh-CN" w:bidi="ar-SA"/>
          <w14:textFill>
            <w14:solidFill>
              <w14:schemeClr w14:val="tx1"/>
            </w14:solidFill>
          </w14:textFill>
        </w:rPr>
        <w:t>图2-3 项目平面布置示意图</w:t>
      </w:r>
    </w:p>
    <w:p w14:paraId="3D7CE4D1">
      <w:pPr>
        <w:pStyle w:val="5"/>
        <w:rPr>
          <w:rFonts w:hint="default" w:ascii="Times New Roman" w:hAnsi="Times New Roman" w:cs="Times New Roman"/>
          <w:color w:val="000000" w:themeColor="text1"/>
          <w:lang w:val="en-US" w:eastAsia="zh-CN"/>
          <w14:textFill>
            <w14:solidFill>
              <w14:schemeClr w14:val="tx1"/>
            </w14:solidFill>
          </w14:textFill>
        </w:rPr>
      </w:pPr>
      <w:bookmarkStart w:id="151" w:name="_Toc19100"/>
      <w:bookmarkStart w:id="152" w:name="_Toc25282"/>
      <w:bookmarkStart w:id="153" w:name="_Toc25161"/>
      <w:r>
        <w:rPr>
          <w:rFonts w:hint="eastAsia" w:ascii="Times New Roman" w:hAnsi="Times New Roman" w:cs="Times New Roman"/>
          <w:color w:val="000000" w:themeColor="text1"/>
          <w14:textFill>
            <w14:solidFill>
              <w14:schemeClr w14:val="tx1"/>
            </w14:solidFill>
          </w14:textFill>
        </w:rPr>
        <w:t>2.3.2</w:t>
      </w:r>
      <w:bookmarkEnd w:id="151"/>
      <w:bookmarkEnd w:id="152"/>
      <w:r>
        <w:rPr>
          <w:rFonts w:hint="eastAsia" w:ascii="Times New Roman" w:hAnsi="Times New Roman" w:cs="Times New Roman"/>
          <w:color w:val="000000" w:themeColor="text1"/>
          <w:lang w:val="en-US" w:eastAsia="zh-CN"/>
          <w14:textFill>
            <w14:solidFill>
              <w14:schemeClr w14:val="tx1"/>
            </w14:solidFill>
          </w14:textFill>
        </w:rPr>
        <w:t>厂区道路及出入口</w:t>
      </w:r>
      <w:bookmarkEnd w:id="153"/>
    </w:p>
    <w:p w14:paraId="106CAD66">
      <w:pPr>
        <w:pStyle w:val="9"/>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厂内道路路面结构为水泥路面，宽度大于6米，厂区道路满足运输、消防、检修时的行车需要。</w:t>
      </w:r>
    </w:p>
    <w:p w14:paraId="5DDE6E01">
      <w:pPr>
        <w:pStyle w:val="9"/>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000000" w:themeColor="text1"/>
          <w:sz w:val="28"/>
          <w:szCs w:val="28"/>
          <w:lang w:eastAsia="zh-CN"/>
          <w14:textFill>
            <w14:solidFill>
              <w14:schemeClr w14:val="tx1"/>
            </w14:solidFill>
          </w14:textFill>
        </w:rPr>
      </w:pPr>
      <w:r>
        <w:rPr>
          <w:rFonts w:hint="eastAsia"/>
          <w:color w:val="000000" w:themeColor="text1"/>
          <w:sz w:val="28"/>
          <w:szCs w:val="28"/>
          <w14:textFill>
            <w14:solidFill>
              <w14:schemeClr w14:val="tx1"/>
            </w14:solidFill>
          </w14:textFill>
        </w:rPr>
        <w:t>项目生产车间</w:t>
      </w:r>
      <w:r>
        <w:rPr>
          <w:rFonts w:hint="eastAsia"/>
          <w:color w:val="000000" w:themeColor="text1"/>
          <w:sz w:val="28"/>
          <w:szCs w:val="28"/>
          <w:lang w:val="en-US" w:eastAsia="zh-CN"/>
          <w14:textFill>
            <w14:solidFill>
              <w14:schemeClr w14:val="tx1"/>
            </w14:solidFill>
          </w14:textFill>
        </w:rPr>
        <w:t>北</w:t>
      </w:r>
      <w:r>
        <w:rPr>
          <w:rFonts w:hint="eastAsia"/>
          <w:color w:val="000000" w:themeColor="text1"/>
          <w:sz w:val="28"/>
          <w:szCs w:val="28"/>
          <w14:textFill>
            <w14:solidFill>
              <w14:schemeClr w14:val="tx1"/>
            </w14:solidFill>
          </w14:textFill>
        </w:rPr>
        <w:t>侧</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西侧、南侧</w:t>
      </w:r>
      <w:r>
        <w:rPr>
          <w:rFonts w:hint="eastAsia"/>
          <w:color w:val="000000" w:themeColor="text1"/>
          <w:sz w:val="28"/>
          <w:szCs w:val="28"/>
          <w14:textFill>
            <w14:solidFill>
              <w14:schemeClr w14:val="tx1"/>
            </w14:solidFill>
          </w14:textFill>
        </w:rPr>
        <w:t>设置</w:t>
      </w:r>
      <w:r>
        <w:rPr>
          <w:rFonts w:hint="eastAsia"/>
          <w:color w:val="000000" w:themeColor="text1"/>
          <w:sz w:val="28"/>
          <w:szCs w:val="28"/>
          <w:lang w:val="en-US" w:eastAsia="zh-CN"/>
          <w14:textFill>
            <w14:solidFill>
              <w14:schemeClr w14:val="tx1"/>
            </w14:solidFill>
          </w14:textFill>
        </w:rPr>
        <w:t>3</w:t>
      </w:r>
      <w:r>
        <w:rPr>
          <w:rFonts w:hint="eastAsia"/>
          <w:color w:val="000000" w:themeColor="text1"/>
          <w:sz w:val="28"/>
          <w:szCs w:val="28"/>
          <w14:textFill>
            <w14:solidFill>
              <w14:schemeClr w14:val="tx1"/>
            </w14:solidFill>
          </w14:textFill>
        </w:rPr>
        <w:t>个安全出口，同时也用于原料及产品运输车辆的出入，留有人员作业通道及车辆作业通道</w:t>
      </w:r>
      <w:r>
        <w:rPr>
          <w:rFonts w:hint="eastAsia"/>
          <w:color w:val="000000" w:themeColor="text1"/>
          <w:sz w:val="28"/>
          <w:szCs w:val="28"/>
          <w:lang w:eastAsia="zh-CN"/>
          <w14:textFill>
            <w14:solidFill>
              <w14:schemeClr w14:val="tx1"/>
            </w14:solidFill>
          </w14:textFill>
        </w:rPr>
        <w:t>。</w:t>
      </w:r>
    </w:p>
    <w:p w14:paraId="5BB4D83E">
      <w:pPr>
        <w:pStyle w:val="5"/>
        <w:rPr>
          <w:rFonts w:hint="eastAsia" w:ascii="Times New Roman" w:hAnsi="Times New Roman" w:cs="Times New Roman"/>
          <w:color w:val="000000" w:themeColor="text1"/>
          <w14:textFill>
            <w14:solidFill>
              <w14:schemeClr w14:val="tx1"/>
            </w14:solidFill>
          </w14:textFill>
        </w:rPr>
      </w:pPr>
      <w:bookmarkStart w:id="154" w:name="_Toc13878"/>
      <w:bookmarkStart w:id="155" w:name="_Toc61474377"/>
      <w:bookmarkStart w:id="156" w:name="_Toc1675"/>
      <w:bookmarkStart w:id="157" w:name="_Toc14033"/>
      <w:bookmarkStart w:id="158" w:name="_Toc30001354"/>
      <w:bookmarkStart w:id="159" w:name="_Toc16065"/>
      <w:bookmarkStart w:id="160" w:name="_Toc12081"/>
      <w:r>
        <w:rPr>
          <w:rFonts w:hint="eastAsia" w:ascii="Times New Roman" w:hAnsi="Times New Roman" w:cs="Times New Roman"/>
          <w:color w:val="000000" w:themeColor="text1"/>
          <w14:textFill>
            <w14:solidFill>
              <w14:schemeClr w14:val="tx1"/>
            </w14:solidFill>
          </w14:textFill>
        </w:rPr>
        <w:t>2.3.3运输方式</w:t>
      </w:r>
      <w:bookmarkEnd w:id="154"/>
      <w:bookmarkEnd w:id="155"/>
      <w:bookmarkEnd w:id="156"/>
      <w:bookmarkEnd w:id="157"/>
      <w:bookmarkEnd w:id="158"/>
      <w:bookmarkEnd w:id="159"/>
      <w:bookmarkEnd w:id="160"/>
    </w:p>
    <w:p w14:paraId="330C6032">
      <w:pPr>
        <w:pStyle w:val="353"/>
        <w:adjustRightInd w:val="0"/>
        <w:spacing w:line="500" w:lineRule="exact"/>
        <w:ind w:firstLine="560"/>
        <w:jc w:val="both"/>
        <w:rPr>
          <w:rFonts w:cs="宋体"/>
          <w:color w:val="000000" w:themeColor="text1"/>
          <w:kern w:val="2"/>
          <w:sz w:val="28"/>
          <w14:textFill>
            <w14:solidFill>
              <w14:schemeClr w14:val="tx1"/>
            </w14:solidFill>
          </w14:textFill>
        </w:rPr>
      </w:pPr>
      <w:r>
        <w:rPr>
          <w:rFonts w:hint="eastAsia" w:cs="宋体"/>
          <w:color w:val="000000" w:themeColor="text1"/>
          <w:kern w:val="2"/>
          <w:sz w:val="28"/>
          <w14:textFill>
            <w14:solidFill>
              <w14:schemeClr w14:val="tx1"/>
            </w14:solidFill>
          </w14:textFill>
        </w:rPr>
        <w:t>1.厂内运输</w:t>
      </w:r>
      <w:r>
        <w:rPr>
          <w:rFonts w:hint="eastAsia" w:cs="宋体"/>
          <w:color w:val="000000" w:themeColor="text1"/>
          <w:kern w:val="2"/>
          <w:sz w:val="28"/>
          <w:lang w:eastAsia="zh-CN"/>
          <w14:textFill>
            <w14:solidFill>
              <w14:schemeClr w14:val="tx1"/>
            </w14:solidFill>
          </w14:textFill>
        </w:rPr>
        <w:t>（</w:t>
      </w:r>
      <w:r>
        <w:rPr>
          <w:rFonts w:hint="eastAsia" w:cs="宋体"/>
          <w:color w:val="000000" w:themeColor="text1"/>
          <w:kern w:val="2"/>
          <w:sz w:val="28"/>
          <w:lang w:val="en-US" w:eastAsia="zh-CN"/>
          <w14:textFill>
            <w14:solidFill>
              <w14:schemeClr w14:val="tx1"/>
            </w14:solidFill>
          </w14:textFill>
        </w:rPr>
        <w:t>倒运</w:t>
      </w:r>
      <w:r>
        <w:rPr>
          <w:rFonts w:hint="eastAsia" w:cs="宋体"/>
          <w:color w:val="000000" w:themeColor="text1"/>
          <w:kern w:val="2"/>
          <w:sz w:val="28"/>
          <w:lang w:eastAsia="zh-CN"/>
          <w14:textFill>
            <w14:solidFill>
              <w14:schemeClr w14:val="tx1"/>
            </w14:solidFill>
          </w14:textFill>
        </w:rPr>
        <w:t>）</w:t>
      </w:r>
      <w:r>
        <w:rPr>
          <w:rFonts w:hint="eastAsia" w:cs="宋体"/>
          <w:color w:val="000000" w:themeColor="text1"/>
          <w:kern w:val="2"/>
          <w:sz w:val="28"/>
          <w14:textFill>
            <w14:solidFill>
              <w14:schemeClr w14:val="tx1"/>
            </w14:solidFill>
          </w14:textFill>
        </w:rPr>
        <w:t>：厂内运输设备主要为：汽车、叉车等。</w:t>
      </w:r>
    </w:p>
    <w:p w14:paraId="583EE9A9">
      <w:pPr>
        <w:pStyle w:val="353"/>
        <w:adjustRightInd w:val="0"/>
        <w:spacing w:line="500" w:lineRule="exact"/>
        <w:ind w:firstLine="560"/>
        <w:jc w:val="both"/>
        <w:rPr>
          <w:rFonts w:hint="eastAsia" w:cs="宋体"/>
          <w:color w:val="000000" w:themeColor="text1"/>
          <w:kern w:val="2"/>
          <w:sz w:val="28"/>
          <w14:textFill>
            <w14:solidFill>
              <w14:schemeClr w14:val="tx1"/>
            </w14:solidFill>
          </w14:textFill>
        </w:rPr>
      </w:pPr>
      <w:r>
        <w:rPr>
          <w:rFonts w:hint="eastAsia" w:cs="宋体"/>
          <w:color w:val="000000" w:themeColor="text1"/>
          <w:kern w:val="2"/>
          <w:sz w:val="28"/>
          <w14:textFill>
            <w14:solidFill>
              <w14:schemeClr w14:val="tx1"/>
            </w14:solidFill>
          </w14:textFill>
        </w:rPr>
        <w:t>2.厂外运输：厂外运输主要以汽车公路运输为主。</w:t>
      </w:r>
    </w:p>
    <w:p w14:paraId="4D1D5655">
      <w:pPr>
        <w:pStyle w:val="4"/>
        <w:rPr>
          <w:rFonts w:hint="eastAsia" w:ascii="Times New Roman" w:hAnsi="Times New Roman" w:cs="Times New Roman"/>
          <w:color w:val="000000" w:themeColor="text1"/>
          <w14:textFill>
            <w14:solidFill>
              <w14:schemeClr w14:val="tx1"/>
            </w14:solidFill>
          </w14:textFill>
        </w:rPr>
      </w:pPr>
      <w:bookmarkStart w:id="161" w:name="_Toc16104"/>
      <w:bookmarkStart w:id="162" w:name="_Toc30001355"/>
      <w:bookmarkStart w:id="163" w:name="_Toc61474378"/>
      <w:bookmarkStart w:id="164" w:name="_Toc18126"/>
      <w:r>
        <w:rPr>
          <w:rFonts w:hint="eastAsia" w:ascii="Times New Roman" w:hAnsi="Times New Roman" w:cs="Times New Roman"/>
          <w:color w:val="000000" w:themeColor="text1"/>
          <w14:textFill>
            <w14:solidFill>
              <w14:schemeClr w14:val="tx1"/>
            </w14:solidFill>
          </w14:textFill>
        </w:rPr>
        <w:t>2.4主要原辅材料和产品</w:t>
      </w:r>
      <w:bookmarkEnd w:id="161"/>
      <w:bookmarkEnd w:id="162"/>
      <w:bookmarkEnd w:id="163"/>
      <w:bookmarkEnd w:id="164"/>
    </w:p>
    <w:p w14:paraId="4554CD76">
      <w:pPr>
        <w:adjustRightInd w:val="0"/>
        <w:snapToGrid w:val="0"/>
        <w:spacing w:line="500" w:lineRule="exact"/>
        <w:ind w:firstLine="560" w:firstLineChars="200"/>
        <w:rPr>
          <w:rFonts w:hint="eastAsia" w:ascii="宋体" w:hAnsi="宋体" w:eastAsia="宋体" w:cs="宋体"/>
          <w:color w:val="000000" w:themeColor="text1"/>
          <w:kern w:val="2"/>
          <w:sz w:val="28"/>
          <w:szCs w:val="20"/>
          <w:lang w:val="en-US" w:eastAsia="zh-CN" w:bidi="ar-SA"/>
          <w14:textFill>
            <w14:solidFill>
              <w14:schemeClr w14:val="tx1"/>
            </w14:solidFill>
          </w14:textFill>
        </w:rPr>
      </w:pPr>
      <w:r>
        <w:rPr>
          <w:rFonts w:hint="eastAsia" w:ascii="宋体" w:hAnsi="宋体" w:eastAsia="宋体" w:cs="宋体"/>
          <w:color w:val="000000" w:themeColor="text1"/>
          <w:kern w:val="2"/>
          <w:sz w:val="28"/>
          <w:szCs w:val="20"/>
          <w:lang w:val="en-US" w:eastAsia="zh-CN" w:bidi="ar-SA"/>
          <w14:textFill>
            <w14:solidFill>
              <w14:schemeClr w14:val="tx1"/>
            </w14:solidFill>
          </w14:textFill>
        </w:rPr>
        <w:t>1.原辅材料</w:t>
      </w:r>
    </w:p>
    <w:p w14:paraId="625D519C">
      <w:pPr>
        <w:adjustRightInd w:val="0"/>
        <w:snapToGrid w:val="0"/>
        <w:spacing w:line="500" w:lineRule="exact"/>
        <w:ind w:firstLine="560" w:firstLineChars="200"/>
        <w:rPr>
          <w:rFonts w:hint="eastAsia" w:ascii="宋体" w:hAnsi="宋体" w:eastAsia="宋体" w:cs="宋体"/>
          <w:color w:val="000000" w:themeColor="text1"/>
          <w:kern w:val="2"/>
          <w:sz w:val="28"/>
          <w:szCs w:val="20"/>
          <w:lang w:val="en-US" w:eastAsia="zh-CN" w:bidi="ar-SA"/>
          <w14:textFill>
            <w14:solidFill>
              <w14:schemeClr w14:val="tx1"/>
            </w14:solidFill>
          </w14:textFill>
        </w:rPr>
      </w:pPr>
      <w:r>
        <w:rPr>
          <w:rFonts w:hint="eastAsia" w:ascii="宋体" w:hAnsi="宋体" w:eastAsia="宋体" w:cs="宋体"/>
          <w:color w:val="000000" w:themeColor="text1"/>
          <w:kern w:val="2"/>
          <w:sz w:val="28"/>
          <w:szCs w:val="20"/>
          <w:lang w:val="en-US" w:eastAsia="zh-CN" w:bidi="ar-SA"/>
          <w14:textFill>
            <w14:solidFill>
              <w14:schemeClr w14:val="tx1"/>
            </w14:solidFill>
          </w14:textFill>
        </w:rPr>
        <w:t>南华昆轻树脂瓦开发有限公司使用的主要原辅材料为：水泥、石粉、矿物纤维、玻璃纤维、纸、黑碳粉等。具体年消耗情况见下表。</w:t>
      </w:r>
    </w:p>
    <w:p w14:paraId="5949DC15">
      <w:pPr>
        <w:adjustRightInd w:val="0"/>
        <w:snapToGrid w:val="0"/>
        <w:spacing w:line="500" w:lineRule="exact"/>
        <w:ind w:firstLine="480" w:firstLineChars="20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表2-2 生产原、辅材料消耗储存情况表</w:t>
      </w:r>
    </w:p>
    <w:tbl>
      <w:tblPr>
        <w:tblStyle w:val="5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673"/>
        <w:gridCol w:w="1823"/>
        <w:gridCol w:w="2599"/>
        <w:gridCol w:w="1528"/>
      </w:tblGrid>
      <w:tr w14:paraId="201D3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9" w:type="pct"/>
            <w:shd w:val="clear" w:color="auto" w:fill="auto"/>
            <w:vAlign w:val="center"/>
          </w:tcPr>
          <w:p w14:paraId="1D25057F">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序号</w:t>
            </w:r>
          </w:p>
        </w:tc>
        <w:tc>
          <w:tcPr>
            <w:tcW w:w="959" w:type="pct"/>
            <w:shd w:val="clear" w:color="auto" w:fill="auto"/>
            <w:vAlign w:val="center"/>
          </w:tcPr>
          <w:p w14:paraId="5EDD1187">
            <w:pPr>
              <w:widowControl/>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名称</w:t>
            </w:r>
          </w:p>
        </w:tc>
        <w:tc>
          <w:tcPr>
            <w:tcW w:w="1045" w:type="pct"/>
            <w:shd w:val="clear" w:color="auto" w:fill="auto"/>
            <w:vAlign w:val="center"/>
          </w:tcPr>
          <w:p w14:paraId="66EDEF2C">
            <w:pPr>
              <w:widowControl/>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年消耗量</w:t>
            </w:r>
          </w:p>
        </w:tc>
        <w:tc>
          <w:tcPr>
            <w:tcW w:w="1490" w:type="pct"/>
            <w:shd w:val="clear" w:color="auto" w:fill="auto"/>
            <w:vAlign w:val="center"/>
          </w:tcPr>
          <w:p w14:paraId="00E5DE2F">
            <w:pPr>
              <w:widowControl/>
              <w:jc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来源</w:t>
            </w:r>
          </w:p>
        </w:tc>
        <w:tc>
          <w:tcPr>
            <w:tcW w:w="876" w:type="pct"/>
            <w:shd w:val="clear" w:color="auto" w:fill="auto"/>
            <w:vAlign w:val="center"/>
          </w:tcPr>
          <w:p w14:paraId="05BC2471">
            <w:pPr>
              <w:widowControl/>
              <w:jc w:val="center"/>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备注</w:t>
            </w:r>
          </w:p>
        </w:tc>
      </w:tr>
      <w:tr w14:paraId="496F7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9" w:type="pct"/>
            <w:shd w:val="clear" w:color="auto" w:fill="auto"/>
            <w:vAlign w:val="center"/>
          </w:tcPr>
          <w:p w14:paraId="4FAA36E0">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1</w:t>
            </w:r>
          </w:p>
        </w:tc>
        <w:tc>
          <w:tcPr>
            <w:tcW w:w="959" w:type="pct"/>
            <w:shd w:val="clear" w:color="auto" w:fill="auto"/>
            <w:vAlign w:val="center"/>
          </w:tcPr>
          <w:p w14:paraId="29C11C02">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水泥</w:t>
            </w:r>
          </w:p>
        </w:tc>
        <w:tc>
          <w:tcPr>
            <w:tcW w:w="1045" w:type="pct"/>
            <w:shd w:val="clear" w:color="auto" w:fill="auto"/>
            <w:vAlign w:val="center"/>
          </w:tcPr>
          <w:p w14:paraId="2FB63282">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9132t/a</w:t>
            </w:r>
          </w:p>
        </w:tc>
        <w:tc>
          <w:tcPr>
            <w:tcW w:w="1490" w:type="pct"/>
            <w:shd w:val="clear" w:color="auto" w:fill="auto"/>
            <w:vAlign w:val="center"/>
          </w:tcPr>
          <w:p w14:paraId="40825C10">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祥云建云水泥有限公司</w:t>
            </w:r>
          </w:p>
        </w:tc>
        <w:tc>
          <w:tcPr>
            <w:tcW w:w="876" w:type="pct"/>
            <w:shd w:val="clear" w:color="auto" w:fill="auto"/>
            <w:vAlign w:val="center"/>
          </w:tcPr>
          <w:p w14:paraId="39A28F52">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p>
        </w:tc>
      </w:tr>
      <w:tr w14:paraId="443A2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9" w:type="pct"/>
            <w:shd w:val="clear" w:color="auto" w:fill="auto"/>
            <w:vAlign w:val="center"/>
          </w:tcPr>
          <w:p w14:paraId="3C6D75DF">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2</w:t>
            </w:r>
          </w:p>
        </w:tc>
        <w:tc>
          <w:tcPr>
            <w:tcW w:w="959" w:type="pct"/>
            <w:shd w:val="clear" w:color="auto" w:fill="auto"/>
            <w:vAlign w:val="center"/>
          </w:tcPr>
          <w:p w14:paraId="4A9913C8">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石粉</w:t>
            </w:r>
          </w:p>
        </w:tc>
        <w:tc>
          <w:tcPr>
            <w:tcW w:w="1045" w:type="pct"/>
            <w:shd w:val="clear" w:color="auto" w:fill="auto"/>
            <w:vAlign w:val="center"/>
          </w:tcPr>
          <w:p w14:paraId="132824CE">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5479t/a</w:t>
            </w:r>
          </w:p>
        </w:tc>
        <w:tc>
          <w:tcPr>
            <w:tcW w:w="1490" w:type="pct"/>
            <w:shd w:val="clear" w:color="auto" w:fill="auto"/>
            <w:vAlign w:val="center"/>
          </w:tcPr>
          <w:p w14:paraId="6689CBD6">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禄丰鲁家村采石有限公司</w:t>
            </w:r>
          </w:p>
        </w:tc>
        <w:tc>
          <w:tcPr>
            <w:tcW w:w="876" w:type="pct"/>
            <w:shd w:val="clear" w:color="auto" w:fill="auto"/>
            <w:vAlign w:val="center"/>
          </w:tcPr>
          <w:p w14:paraId="463FB08E">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p>
        </w:tc>
      </w:tr>
      <w:tr w14:paraId="7EF03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9" w:type="pct"/>
            <w:shd w:val="clear" w:color="auto" w:fill="auto"/>
            <w:vAlign w:val="center"/>
          </w:tcPr>
          <w:p w14:paraId="3932EC29">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3</w:t>
            </w:r>
          </w:p>
        </w:tc>
        <w:tc>
          <w:tcPr>
            <w:tcW w:w="959" w:type="pct"/>
            <w:shd w:val="clear" w:color="auto" w:fill="auto"/>
            <w:vAlign w:val="center"/>
          </w:tcPr>
          <w:p w14:paraId="1839CF71">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矿物纤维</w:t>
            </w:r>
          </w:p>
        </w:tc>
        <w:tc>
          <w:tcPr>
            <w:tcW w:w="1045" w:type="pct"/>
            <w:shd w:val="clear" w:color="auto" w:fill="auto"/>
            <w:vAlign w:val="center"/>
          </w:tcPr>
          <w:p w14:paraId="326EC22B">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273.6t/a</w:t>
            </w:r>
          </w:p>
        </w:tc>
        <w:tc>
          <w:tcPr>
            <w:tcW w:w="1490" w:type="pct"/>
            <w:shd w:val="clear" w:color="auto" w:fill="auto"/>
            <w:vAlign w:val="center"/>
          </w:tcPr>
          <w:p w14:paraId="613C3EB9">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茫崖汇通商贸有限公司</w:t>
            </w:r>
          </w:p>
        </w:tc>
        <w:tc>
          <w:tcPr>
            <w:tcW w:w="876" w:type="pct"/>
            <w:shd w:val="clear" w:color="auto" w:fill="auto"/>
            <w:vAlign w:val="center"/>
          </w:tcPr>
          <w:p w14:paraId="0748707B">
            <w:pPr>
              <w:widowControl/>
              <w:jc w:val="center"/>
              <w:rPr>
                <w:rFonts w:hint="eastAsia" w:ascii="宋体" w:hAnsi="宋体" w:eastAsia="宋体" w:cs="宋体"/>
                <w:color w:val="000000" w:themeColor="text1"/>
                <w:kern w:val="0"/>
                <w:sz w:val="21"/>
                <w:szCs w:val="21"/>
                <w14:textFill>
                  <w14:solidFill>
                    <w14:schemeClr w14:val="tx1"/>
                  </w14:solidFill>
                </w14:textFill>
              </w:rPr>
            </w:pPr>
          </w:p>
        </w:tc>
      </w:tr>
      <w:tr w14:paraId="5B230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9" w:type="pct"/>
            <w:shd w:val="clear" w:color="auto" w:fill="auto"/>
            <w:vAlign w:val="center"/>
          </w:tcPr>
          <w:p w14:paraId="722A2362">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4</w:t>
            </w:r>
          </w:p>
        </w:tc>
        <w:tc>
          <w:tcPr>
            <w:tcW w:w="959" w:type="pct"/>
            <w:shd w:val="clear" w:color="auto" w:fill="auto"/>
            <w:vAlign w:val="center"/>
          </w:tcPr>
          <w:p w14:paraId="255212C2">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纸</w:t>
            </w:r>
          </w:p>
        </w:tc>
        <w:tc>
          <w:tcPr>
            <w:tcW w:w="1045" w:type="pct"/>
            <w:shd w:val="clear" w:color="auto" w:fill="auto"/>
            <w:vAlign w:val="center"/>
          </w:tcPr>
          <w:p w14:paraId="51D9FCF7">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91.2t/a</w:t>
            </w:r>
          </w:p>
        </w:tc>
        <w:tc>
          <w:tcPr>
            <w:tcW w:w="1490" w:type="pct"/>
            <w:shd w:val="clear" w:color="auto" w:fill="auto"/>
            <w:vAlign w:val="center"/>
          </w:tcPr>
          <w:p w14:paraId="6EE4E3EC">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上海霖粒实业有限公司</w:t>
            </w:r>
          </w:p>
        </w:tc>
        <w:tc>
          <w:tcPr>
            <w:tcW w:w="876" w:type="pct"/>
            <w:shd w:val="clear" w:color="auto" w:fill="auto"/>
            <w:vAlign w:val="center"/>
          </w:tcPr>
          <w:p w14:paraId="7371D61D">
            <w:pPr>
              <w:widowControl/>
              <w:jc w:val="center"/>
              <w:rPr>
                <w:rFonts w:hint="eastAsia" w:ascii="宋体" w:hAnsi="宋体" w:eastAsia="宋体" w:cs="宋体"/>
                <w:color w:val="000000" w:themeColor="text1"/>
                <w:kern w:val="0"/>
                <w:sz w:val="21"/>
                <w:szCs w:val="21"/>
                <w14:textFill>
                  <w14:solidFill>
                    <w14:schemeClr w14:val="tx1"/>
                  </w14:solidFill>
                </w14:textFill>
              </w:rPr>
            </w:pPr>
          </w:p>
        </w:tc>
      </w:tr>
      <w:tr w14:paraId="5C15C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9" w:type="pct"/>
            <w:shd w:val="clear" w:color="auto" w:fill="auto"/>
            <w:vAlign w:val="center"/>
          </w:tcPr>
          <w:p w14:paraId="1CA0BB10">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5</w:t>
            </w:r>
          </w:p>
        </w:tc>
        <w:tc>
          <w:tcPr>
            <w:tcW w:w="959" w:type="pct"/>
            <w:shd w:val="clear" w:color="auto" w:fill="auto"/>
            <w:vAlign w:val="center"/>
          </w:tcPr>
          <w:p w14:paraId="6C06C230">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玻璃纤维</w:t>
            </w:r>
          </w:p>
        </w:tc>
        <w:tc>
          <w:tcPr>
            <w:tcW w:w="1045" w:type="pct"/>
            <w:shd w:val="clear" w:color="auto" w:fill="auto"/>
            <w:vAlign w:val="center"/>
          </w:tcPr>
          <w:p w14:paraId="722A6D97">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140t/a</w:t>
            </w:r>
          </w:p>
        </w:tc>
        <w:tc>
          <w:tcPr>
            <w:tcW w:w="1490" w:type="pct"/>
            <w:shd w:val="clear" w:color="auto" w:fill="auto"/>
            <w:vAlign w:val="center"/>
          </w:tcPr>
          <w:p w14:paraId="1130A84F">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天长市恒川新材料商贸有限公司</w:t>
            </w:r>
          </w:p>
        </w:tc>
        <w:tc>
          <w:tcPr>
            <w:tcW w:w="876" w:type="pct"/>
            <w:shd w:val="clear" w:color="auto" w:fill="auto"/>
            <w:vAlign w:val="center"/>
          </w:tcPr>
          <w:p w14:paraId="08402A58">
            <w:pPr>
              <w:widowControl/>
              <w:jc w:val="center"/>
              <w:rPr>
                <w:rFonts w:hint="eastAsia" w:ascii="宋体" w:hAnsi="宋体" w:eastAsia="宋体" w:cs="宋体"/>
                <w:color w:val="000000" w:themeColor="text1"/>
                <w:kern w:val="0"/>
                <w:sz w:val="21"/>
                <w:szCs w:val="21"/>
                <w:lang w:val="en-US" w:eastAsia="zh-CN"/>
                <w14:textFill>
                  <w14:solidFill>
                    <w14:schemeClr w14:val="tx1"/>
                  </w14:solidFill>
                </w14:textFill>
              </w:rPr>
            </w:pPr>
          </w:p>
        </w:tc>
      </w:tr>
      <w:tr w14:paraId="67A53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29" w:type="pct"/>
            <w:shd w:val="clear" w:color="auto" w:fill="auto"/>
            <w:vAlign w:val="center"/>
          </w:tcPr>
          <w:p w14:paraId="18651C45">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6</w:t>
            </w:r>
          </w:p>
        </w:tc>
        <w:tc>
          <w:tcPr>
            <w:tcW w:w="959" w:type="pct"/>
            <w:shd w:val="clear" w:color="auto" w:fill="auto"/>
            <w:vAlign w:val="center"/>
          </w:tcPr>
          <w:p w14:paraId="3FB0D8AD">
            <w:pPr>
              <w:widowControl/>
              <w:jc w:val="center"/>
              <w:rPr>
                <w:rFonts w:hint="default" w:ascii="宋体" w:hAnsi="宋体" w:eastAsia="宋体" w:cs="宋体"/>
                <w:b w:val="0"/>
                <w:color w:val="000000" w:themeColor="text1"/>
                <w:sz w:val="21"/>
                <w:szCs w:val="21"/>
                <w:lang w:val="en-US" w:eastAsia="zh-CN"/>
                <w14:textFill>
                  <w14:solidFill>
                    <w14:schemeClr w14:val="tx1"/>
                  </w14:solidFill>
                </w14:textFill>
              </w:rPr>
            </w:pPr>
            <w:r>
              <w:rPr>
                <w:rFonts w:hint="eastAsia" w:ascii="宋体" w:hAnsi="宋体" w:eastAsia="宋体" w:cs="宋体"/>
                <w:b w:val="0"/>
                <w:color w:val="000000" w:themeColor="text1"/>
                <w:sz w:val="21"/>
                <w:szCs w:val="21"/>
                <w:lang w:val="en-US" w:eastAsia="zh-CN"/>
                <w14:textFill>
                  <w14:solidFill>
                    <w14:schemeClr w14:val="tx1"/>
                  </w14:solidFill>
                </w14:textFill>
              </w:rPr>
              <w:t>黑</w:t>
            </w:r>
            <w:r>
              <w:rPr>
                <w:rFonts w:hint="eastAsia" w:hAnsi="宋体" w:cs="宋体"/>
                <w:b w:val="0"/>
                <w:color w:val="000000" w:themeColor="text1"/>
                <w:sz w:val="21"/>
                <w:szCs w:val="21"/>
                <w:lang w:val="en-US" w:eastAsia="zh-CN"/>
                <w14:textFill>
                  <w14:solidFill>
                    <w14:schemeClr w14:val="tx1"/>
                  </w14:solidFill>
                </w14:textFill>
              </w:rPr>
              <w:t>粉</w:t>
            </w:r>
          </w:p>
        </w:tc>
        <w:tc>
          <w:tcPr>
            <w:tcW w:w="1045" w:type="pct"/>
            <w:shd w:val="clear" w:color="auto" w:fill="auto"/>
            <w:vAlign w:val="center"/>
          </w:tcPr>
          <w:p w14:paraId="65FE78CE">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p>
        </w:tc>
        <w:tc>
          <w:tcPr>
            <w:tcW w:w="1490" w:type="pct"/>
            <w:shd w:val="clear" w:color="auto" w:fill="auto"/>
            <w:vAlign w:val="center"/>
          </w:tcPr>
          <w:p w14:paraId="4A2347CB">
            <w:pPr>
              <w:widowControl/>
              <w:jc w:val="center"/>
              <w:rPr>
                <w:rFonts w:hint="eastAsia" w:ascii="宋体" w:hAnsi="宋体" w:eastAsia="宋体" w:cs="宋体"/>
                <w:b w:val="0"/>
                <w:color w:val="000000" w:themeColor="text1"/>
                <w:sz w:val="21"/>
                <w:szCs w:val="21"/>
                <w:lang w:val="en-US" w:eastAsia="zh-CN"/>
                <w14:textFill>
                  <w14:solidFill>
                    <w14:schemeClr w14:val="tx1"/>
                  </w14:solidFill>
                </w14:textFill>
              </w:rPr>
            </w:pPr>
          </w:p>
        </w:tc>
        <w:tc>
          <w:tcPr>
            <w:tcW w:w="876" w:type="pct"/>
            <w:shd w:val="clear" w:color="auto" w:fill="auto"/>
            <w:vAlign w:val="center"/>
          </w:tcPr>
          <w:p w14:paraId="1E219861">
            <w:pPr>
              <w:widowControl/>
              <w:jc w:val="center"/>
              <w:rPr>
                <w:rFonts w:hint="eastAsia" w:ascii="宋体" w:hAnsi="宋体" w:eastAsia="宋体" w:cs="宋体"/>
                <w:color w:val="000000" w:themeColor="text1"/>
                <w:kern w:val="0"/>
                <w:sz w:val="21"/>
                <w:szCs w:val="21"/>
                <w:lang w:val="en-US" w:eastAsia="zh-CN"/>
                <w14:textFill>
                  <w14:solidFill>
                    <w14:schemeClr w14:val="tx1"/>
                  </w14:solidFill>
                </w14:textFill>
              </w:rPr>
            </w:pPr>
          </w:p>
        </w:tc>
      </w:tr>
    </w:tbl>
    <w:p w14:paraId="676A661A">
      <w:pPr>
        <w:pStyle w:val="353"/>
        <w:keepNext w:val="0"/>
        <w:keepLines w:val="0"/>
        <w:pageBreakBefore w:val="0"/>
        <w:kinsoku/>
        <w:wordWrap/>
        <w:overflowPunct/>
        <w:topLinePunct w:val="0"/>
        <w:autoSpaceDE/>
        <w:autoSpaceDN/>
        <w:bidi w:val="0"/>
        <w:adjustRightInd/>
        <w:snapToGrid/>
        <w:spacing w:line="500" w:lineRule="exact"/>
        <w:ind w:firstLine="560" w:firstLineChars="200"/>
        <w:jc w:val="both"/>
        <w:textAlignment w:val="auto"/>
        <w:rPr>
          <w:rFonts w:hint="default" w:ascii="宋体" w:hAnsi="宋体" w:eastAsia="宋体" w:cs="宋体"/>
          <w:color w:val="000000" w:themeColor="text1"/>
          <w:kern w:val="0"/>
          <w:sz w:val="28"/>
          <w:szCs w:val="28"/>
          <w:lang w:val="en-US" w:eastAsia="zh-CN" w:bidi="zh-TW"/>
          <w14:textFill>
            <w14:solidFill>
              <w14:schemeClr w14:val="tx1"/>
            </w14:solidFill>
          </w14:textFill>
        </w:rPr>
      </w:pPr>
      <w:r>
        <w:rPr>
          <w:rFonts w:hint="eastAsia" w:ascii="宋体" w:hAnsi="宋体" w:eastAsia="宋体" w:cs="宋体"/>
          <w:color w:val="000000" w:themeColor="text1"/>
          <w:kern w:val="0"/>
          <w:sz w:val="28"/>
          <w:szCs w:val="28"/>
          <w:lang w:val="en-US" w:eastAsia="zh-CN" w:bidi="zh-TW"/>
          <w14:textFill>
            <w14:solidFill>
              <w14:schemeClr w14:val="tx1"/>
            </w14:solidFill>
          </w14:textFill>
        </w:rPr>
        <w:t>2.生产规模及产品</w:t>
      </w:r>
    </w:p>
    <w:p w14:paraId="030FCB5C">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cs="宋体"/>
          <w:color w:val="000000" w:themeColor="text1"/>
          <w:kern w:val="2"/>
          <w:sz w:val="28"/>
          <w:lang w:eastAsia="zh-CN"/>
          <w14:textFill>
            <w14:solidFill>
              <w14:schemeClr w14:val="tx1"/>
            </w14:solidFill>
          </w14:textFill>
        </w:rPr>
      </w:pPr>
      <w:r>
        <w:rPr>
          <w:rFonts w:hint="eastAsia" w:ascii="宋体" w:hAnsi="宋体" w:eastAsia="宋体" w:cs="宋体"/>
          <w:color w:val="000000" w:themeColor="text1"/>
          <w:kern w:val="0"/>
          <w:sz w:val="28"/>
          <w:szCs w:val="28"/>
          <w:lang w:val="zh-TW" w:eastAsia="zh-CN" w:bidi="zh-TW"/>
          <w14:textFill>
            <w14:solidFill>
              <w14:schemeClr w14:val="tx1"/>
            </w14:solidFill>
          </w14:textFill>
        </w:rPr>
        <w:t>产品主要为</w:t>
      </w:r>
      <w:r>
        <w:rPr>
          <w:rFonts w:hint="eastAsia" w:ascii="宋体" w:hAnsi="宋体" w:eastAsia="宋体" w:cs="宋体"/>
          <w:color w:val="000000" w:themeColor="text1"/>
          <w:kern w:val="0"/>
          <w:sz w:val="28"/>
          <w:szCs w:val="28"/>
          <w:lang w:val="en-US" w:eastAsia="zh-CN" w:bidi="zh-TW"/>
          <w14:textFill>
            <w14:solidFill>
              <w14:schemeClr w14:val="tx1"/>
            </w14:solidFill>
          </w14:textFill>
        </w:rPr>
        <w:t>水</w:t>
      </w:r>
      <w:r>
        <w:rPr>
          <w:rFonts w:hint="eastAsia" w:ascii="宋体" w:hAnsi="宋体" w:eastAsia="宋体" w:cs="宋体"/>
          <w:color w:val="000000" w:themeColor="text1"/>
          <w:sz w:val="28"/>
          <w:szCs w:val="28"/>
          <w:lang w:val="en-US" w:eastAsia="zh-CN"/>
          <w14:textFill>
            <w14:solidFill>
              <w14:schemeClr w14:val="tx1"/>
            </w14:solidFill>
          </w14:textFill>
        </w:rPr>
        <w:t>泥瓦，年产水泥瓦</w:t>
      </w:r>
      <w:r>
        <w:rPr>
          <w:rFonts w:hint="eastAsia" w:hAnsi="宋体" w:cs="宋体"/>
          <w:color w:val="000000" w:themeColor="text1"/>
          <w:sz w:val="28"/>
          <w:szCs w:val="28"/>
          <w:lang w:val="en-US" w:eastAsia="zh-CN"/>
          <w14:textFill>
            <w14:solidFill>
              <w14:schemeClr w14:val="tx1"/>
            </w14:solidFill>
          </w14:textFill>
        </w:rPr>
        <w:t>30-80</w:t>
      </w:r>
      <w:r>
        <w:rPr>
          <w:rFonts w:hint="eastAsia" w:ascii="宋体" w:hAnsi="宋体" w:eastAsia="宋体" w:cs="宋体"/>
          <w:color w:val="000000" w:themeColor="text1"/>
          <w:sz w:val="28"/>
          <w:szCs w:val="28"/>
          <w:lang w:val="en-US" w:eastAsia="zh-CN"/>
          <w14:textFill>
            <w14:solidFill>
              <w14:schemeClr w14:val="tx1"/>
            </w14:solidFill>
          </w14:textFill>
        </w:rPr>
        <w:t>万</w:t>
      </w:r>
      <w:r>
        <w:rPr>
          <w:rFonts w:hint="eastAsia" w:hAnsi="宋体" w:cs="宋体"/>
          <w:color w:val="000000" w:themeColor="text1"/>
          <w:sz w:val="28"/>
          <w:szCs w:val="28"/>
          <w:lang w:val="en-US" w:eastAsia="zh-CN"/>
          <w14:textFill>
            <w14:solidFill>
              <w14:schemeClr w14:val="tx1"/>
            </w14:solidFill>
          </w14:textFill>
        </w:rPr>
        <w:t>片</w:t>
      </w:r>
      <w:r>
        <w:rPr>
          <w:rFonts w:hint="eastAsia" w:ascii="宋体" w:hAnsi="宋体" w:eastAsia="宋体" w:cs="宋体"/>
          <w:color w:val="000000" w:themeColor="text1"/>
          <w:sz w:val="28"/>
          <w:szCs w:val="28"/>
          <w:lang w:val="en-US" w:eastAsia="zh-CN"/>
          <w14:textFill>
            <w14:solidFill>
              <w14:schemeClr w14:val="tx1"/>
            </w14:solidFill>
          </w14:textFill>
        </w:rPr>
        <w:t>。</w:t>
      </w:r>
    </w:p>
    <w:p w14:paraId="31733E8E">
      <w:pPr>
        <w:pStyle w:val="4"/>
        <w:rPr>
          <w:rFonts w:hint="eastAsia" w:ascii="Times New Roman" w:hAnsi="Times New Roman" w:cs="Times New Roman"/>
          <w:color w:val="000000" w:themeColor="text1"/>
          <w14:textFill>
            <w14:solidFill>
              <w14:schemeClr w14:val="tx1"/>
            </w14:solidFill>
          </w14:textFill>
        </w:rPr>
      </w:pPr>
      <w:bookmarkStart w:id="165" w:name="_Toc278151349"/>
      <w:bookmarkStart w:id="166" w:name="_Toc335926148"/>
      <w:bookmarkStart w:id="167" w:name="_Toc29783"/>
      <w:bookmarkStart w:id="168" w:name="_Toc309682407"/>
      <w:bookmarkStart w:id="169" w:name="_Toc327017742"/>
      <w:bookmarkStart w:id="170" w:name="_Toc4391"/>
      <w:bookmarkStart w:id="171" w:name="_Toc313453459"/>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14:textFill>
            <w14:solidFill>
              <w14:schemeClr w14:val="tx1"/>
            </w14:solidFill>
          </w14:textFill>
        </w:rPr>
        <w:t>生产</w:t>
      </w:r>
      <w:bookmarkEnd w:id="165"/>
      <w:bookmarkEnd w:id="166"/>
      <w:bookmarkEnd w:id="167"/>
      <w:bookmarkEnd w:id="168"/>
      <w:bookmarkEnd w:id="169"/>
      <w:r>
        <w:rPr>
          <w:rFonts w:hint="eastAsia" w:ascii="Times New Roman" w:hAnsi="Times New Roman" w:cs="Times New Roman"/>
          <w:color w:val="000000" w:themeColor="text1"/>
          <w14:textFill>
            <w14:solidFill>
              <w14:schemeClr w14:val="tx1"/>
            </w14:solidFill>
          </w14:textFill>
        </w:rPr>
        <w:t>工艺</w:t>
      </w:r>
      <w:bookmarkEnd w:id="170"/>
    </w:p>
    <w:bookmarkEnd w:id="171"/>
    <w:p w14:paraId="0DA130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生产工艺流程简述：</w:t>
      </w:r>
    </w:p>
    <w:p w14:paraId="68FB0A6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生产工艺</w:t>
      </w:r>
      <w:r>
        <w:rPr>
          <w:rFonts w:hint="eastAsia" w:ascii="宋体" w:hAnsi="宋体" w:eastAsia="宋体" w:cs="宋体"/>
          <w:color w:val="000000" w:themeColor="text1"/>
          <w:sz w:val="28"/>
          <w:szCs w:val="28"/>
          <w14:textFill>
            <w14:solidFill>
              <w14:schemeClr w14:val="tx1"/>
            </w14:solidFill>
          </w14:textFill>
        </w:rPr>
        <w:t>主要包括</w:t>
      </w:r>
      <w:r>
        <w:rPr>
          <w:rFonts w:hint="eastAsia" w:ascii="宋体" w:hAnsi="宋体" w:eastAsia="宋体" w:cs="宋体"/>
          <w:color w:val="000000" w:themeColor="text1"/>
          <w:sz w:val="28"/>
          <w:szCs w:val="28"/>
          <w:lang w:val="en-US" w:eastAsia="zh-CN"/>
          <w14:textFill>
            <w14:solidFill>
              <w14:schemeClr w14:val="tx1"/>
            </w14:solidFill>
          </w14:textFill>
        </w:rPr>
        <w:t>备料</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制浆</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成型</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保养、</w:t>
      </w:r>
      <w:r>
        <w:rPr>
          <w:rFonts w:hint="eastAsia" w:ascii="宋体" w:hAnsi="宋体" w:eastAsia="宋体" w:cs="宋体"/>
          <w:color w:val="000000" w:themeColor="text1"/>
          <w:sz w:val="28"/>
          <w:szCs w:val="28"/>
          <w:lang w:eastAsia="zh-CN"/>
          <w14:textFill>
            <w14:solidFill>
              <w14:schemeClr w14:val="tx1"/>
            </w14:solidFill>
          </w14:textFill>
        </w:rPr>
        <w:t>成品</w:t>
      </w:r>
      <w:r>
        <w:rPr>
          <w:rFonts w:hint="eastAsia" w:ascii="宋体" w:hAnsi="宋体" w:eastAsia="宋体" w:cs="宋体"/>
          <w:color w:val="000000" w:themeColor="text1"/>
          <w:sz w:val="28"/>
          <w:szCs w:val="28"/>
          <w:lang w:val="en-US" w:eastAsia="zh-CN"/>
          <w14:textFill>
            <w14:solidFill>
              <w14:schemeClr w14:val="tx1"/>
            </w14:solidFill>
          </w14:textFill>
        </w:rPr>
        <w:t>堆放销售</w:t>
      </w:r>
      <w:r>
        <w:rPr>
          <w:rFonts w:hint="eastAsia" w:ascii="宋体" w:hAnsi="宋体" w:eastAsia="宋体" w:cs="宋体"/>
          <w:color w:val="000000" w:themeColor="text1"/>
          <w:sz w:val="28"/>
          <w:szCs w:val="28"/>
          <w:lang w:eastAsia="zh-CN"/>
          <w14:textFill>
            <w14:solidFill>
              <w14:schemeClr w14:val="tx1"/>
            </w14:solidFill>
          </w14:textFill>
        </w:rPr>
        <w:t>。</w:t>
      </w:r>
    </w:p>
    <w:p w14:paraId="4E62199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备料</w:t>
      </w:r>
    </w:p>
    <w:p w14:paraId="4A8FA2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①</w:t>
      </w:r>
      <w:r>
        <w:rPr>
          <w:rFonts w:hint="eastAsia" w:ascii="宋体" w:hAnsi="宋体" w:eastAsia="宋体" w:cs="宋体"/>
          <w:color w:val="000000" w:themeColor="text1"/>
          <w:sz w:val="28"/>
          <w:szCs w:val="28"/>
          <w14:textFill>
            <w14:solidFill>
              <w14:schemeClr w14:val="tx1"/>
            </w14:solidFill>
          </w14:textFill>
        </w:rPr>
        <w:t>将</w:t>
      </w:r>
      <w:r>
        <w:rPr>
          <w:rFonts w:hint="eastAsia" w:ascii="宋体" w:hAnsi="宋体" w:eastAsia="宋体" w:cs="宋体"/>
          <w:color w:val="000000" w:themeColor="text1"/>
          <w:sz w:val="28"/>
          <w:szCs w:val="28"/>
          <w:lang w:val="en-US" w:eastAsia="zh-CN"/>
          <w14:textFill>
            <w14:solidFill>
              <w14:schemeClr w14:val="tx1"/>
            </w14:solidFill>
          </w14:textFill>
        </w:rPr>
        <w:t>公分石磨成石粉提升至石粉储罐备用</w:t>
      </w:r>
      <w:r>
        <w:rPr>
          <w:rFonts w:hint="eastAsia" w:ascii="宋体" w:hAnsi="宋体" w:eastAsia="宋体" w:cs="宋体"/>
          <w:color w:val="000000" w:themeColor="text1"/>
          <w:sz w:val="28"/>
          <w:szCs w:val="28"/>
          <w14:textFill>
            <w14:solidFill>
              <w14:schemeClr w14:val="tx1"/>
            </w14:solidFill>
          </w14:textFill>
        </w:rPr>
        <w:t>。</w:t>
      </w:r>
    </w:p>
    <w:p w14:paraId="09268CD7">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②</w:t>
      </w:r>
      <w:r>
        <w:rPr>
          <w:rFonts w:hint="eastAsia" w:ascii="宋体" w:hAnsi="宋体" w:eastAsia="宋体" w:cs="宋体"/>
          <w:color w:val="000000" w:themeColor="text1"/>
          <w:sz w:val="28"/>
          <w:szCs w:val="28"/>
          <w14:textFill>
            <w14:solidFill>
              <w14:schemeClr w14:val="tx1"/>
            </w14:solidFill>
          </w14:textFill>
        </w:rPr>
        <w:t>把矿物纤维</w:t>
      </w:r>
      <w:r>
        <w:rPr>
          <w:rFonts w:hint="eastAsia" w:ascii="宋体" w:hAnsi="宋体" w:eastAsia="宋体" w:cs="宋体"/>
          <w:color w:val="000000" w:themeColor="text1"/>
          <w:sz w:val="28"/>
          <w:szCs w:val="28"/>
          <w:lang w:val="en-US" w:eastAsia="zh-CN"/>
          <w14:textFill>
            <w14:solidFill>
              <w14:schemeClr w14:val="tx1"/>
            </w14:solidFill>
          </w14:textFill>
        </w:rPr>
        <w:t>和</w:t>
      </w:r>
      <w:r>
        <w:rPr>
          <w:rFonts w:hint="eastAsia" w:hAnsi="宋体" w:cs="宋体"/>
          <w:color w:val="000000" w:themeColor="text1"/>
          <w:sz w:val="28"/>
          <w:szCs w:val="28"/>
          <w:lang w:val="en-US" w:eastAsia="zh-CN"/>
          <w14:textFill>
            <w14:solidFill>
              <w14:schemeClr w14:val="tx1"/>
            </w14:solidFill>
          </w14:textFill>
        </w:rPr>
        <w:t>黑粉</w:t>
      </w:r>
      <w:r>
        <w:rPr>
          <w:rFonts w:hint="eastAsia" w:ascii="宋体" w:hAnsi="宋体" w:eastAsia="宋体" w:cs="宋体"/>
          <w:color w:val="000000" w:themeColor="text1"/>
          <w:sz w:val="28"/>
          <w:szCs w:val="28"/>
          <w14:textFill>
            <w14:solidFill>
              <w14:schemeClr w14:val="tx1"/>
            </w14:solidFill>
          </w14:textFill>
        </w:rPr>
        <w:t>加注一定比例水份后通过大压辊碾压后称重装袋。</w:t>
      </w:r>
    </w:p>
    <w:p w14:paraId="7FC321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制浆</w:t>
      </w:r>
    </w:p>
    <w:p w14:paraId="49846D1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将矿物纤维和纸倒入</w:t>
      </w:r>
      <w:r>
        <w:rPr>
          <w:rFonts w:hint="eastAsia" w:ascii="宋体" w:hAnsi="宋体" w:eastAsia="宋体" w:cs="宋体"/>
          <w:color w:val="000000" w:themeColor="text1"/>
          <w:sz w:val="28"/>
          <w:szCs w:val="28"/>
          <w:lang w:val="en-US" w:eastAsia="zh-CN"/>
          <w14:textFill>
            <w14:solidFill>
              <w14:schemeClr w14:val="tx1"/>
            </w14:solidFill>
          </w14:textFill>
        </w:rPr>
        <w:t>混料缸</w:t>
      </w:r>
      <w:r>
        <w:rPr>
          <w:rFonts w:hint="eastAsia" w:ascii="宋体" w:hAnsi="宋体" w:eastAsia="宋体" w:cs="宋体"/>
          <w:color w:val="000000" w:themeColor="text1"/>
          <w:sz w:val="28"/>
          <w:szCs w:val="28"/>
          <w14:textFill>
            <w14:solidFill>
              <w14:schemeClr w14:val="tx1"/>
            </w14:solidFill>
          </w14:textFill>
        </w:rPr>
        <w:t>，通过自动配料螺旋将水泥</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石粉、水放入</w:t>
      </w:r>
      <w:r>
        <w:rPr>
          <w:rFonts w:hint="eastAsia" w:ascii="宋体" w:hAnsi="宋体" w:eastAsia="宋体" w:cs="宋体"/>
          <w:color w:val="000000" w:themeColor="text1"/>
          <w:sz w:val="28"/>
          <w:szCs w:val="28"/>
          <w:lang w:eastAsia="zh-CN"/>
          <w14:textFill>
            <w14:solidFill>
              <w14:schemeClr w14:val="tx1"/>
            </w14:solidFill>
          </w14:textFill>
        </w:rPr>
        <w:t>混料缸</w:t>
      </w:r>
      <w:r>
        <w:rPr>
          <w:rFonts w:hint="eastAsia" w:ascii="宋体" w:hAnsi="宋体" w:eastAsia="宋体" w:cs="宋体"/>
          <w:color w:val="000000" w:themeColor="text1"/>
          <w:sz w:val="28"/>
          <w:szCs w:val="28"/>
          <w14:textFill>
            <w14:solidFill>
              <w14:schemeClr w14:val="tx1"/>
            </w14:solidFill>
          </w14:textFill>
        </w:rPr>
        <w:t>内</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启动打料水泵，让原料在</w:t>
      </w:r>
      <w:r>
        <w:rPr>
          <w:rFonts w:hint="eastAsia" w:ascii="宋体" w:hAnsi="宋体" w:eastAsia="宋体" w:cs="宋体"/>
          <w:color w:val="000000" w:themeColor="text1"/>
          <w:sz w:val="28"/>
          <w:szCs w:val="28"/>
          <w:lang w:eastAsia="zh-CN"/>
          <w14:textFill>
            <w14:solidFill>
              <w14:schemeClr w14:val="tx1"/>
            </w14:solidFill>
          </w14:textFill>
        </w:rPr>
        <w:t>混料缸</w:t>
      </w:r>
      <w:r>
        <w:rPr>
          <w:rFonts w:hint="eastAsia" w:ascii="宋体" w:hAnsi="宋体" w:eastAsia="宋体" w:cs="宋体"/>
          <w:color w:val="000000" w:themeColor="text1"/>
          <w:sz w:val="28"/>
          <w:szCs w:val="28"/>
          <w14:textFill>
            <w14:solidFill>
              <w14:schemeClr w14:val="tx1"/>
            </w14:solidFill>
          </w14:textFill>
        </w:rPr>
        <w:t>内充分搅动混匀。经过一定时间搅拌后最终形成浆液。</w:t>
      </w:r>
    </w:p>
    <w:p w14:paraId="5521A5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成型</w:t>
      </w:r>
    </w:p>
    <w:p w14:paraId="2F0F80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制成的浆液通过打料泵抽到送浆池内，浆液通过料斗送入网箱内，料浆进入网箱后通过网轮和伏辊挤压后粘在毛毯上，毛胚通过毛毯到达成型筒，经过成型筒和胸辊的挤压形成料胚并被弹下来，料胚经过输送带到达指定位置，通过吸盘将料胚吸到成型瓦模上最终成型。</w:t>
      </w:r>
    </w:p>
    <w:p w14:paraId="1CD5063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280" w:firstLineChars="1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（4）成品</w:t>
      </w:r>
    </w:p>
    <w:p w14:paraId="2F2DC63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将成型瓦片进行裁边切割，瓦片按规格切割后进行脱模，脱模完成后</w:t>
      </w:r>
      <w:r>
        <w:rPr>
          <w:rFonts w:hint="eastAsia" w:ascii="宋体" w:hAnsi="宋体" w:eastAsia="宋体" w:cs="宋体"/>
          <w:color w:val="000000" w:themeColor="text1"/>
          <w:sz w:val="28"/>
          <w:szCs w:val="28"/>
          <w:lang w:val="en-US" w:eastAsia="zh-CN"/>
          <w14:textFill>
            <w14:solidFill>
              <w14:schemeClr w14:val="tx1"/>
            </w14:solidFill>
          </w14:textFill>
        </w:rPr>
        <w:t>用保鲜膜包裹运输到成品堆放区自然晾干</w:t>
      </w:r>
      <w:r>
        <w:rPr>
          <w:rFonts w:hint="eastAsia" w:ascii="宋体" w:hAnsi="宋体" w:eastAsia="宋体" w:cs="宋体"/>
          <w:color w:val="000000" w:themeColor="text1"/>
          <w:sz w:val="28"/>
          <w:szCs w:val="28"/>
          <w:lang w:eastAsia="zh-CN"/>
          <w14:textFill>
            <w14:solidFill>
              <w14:schemeClr w14:val="tx1"/>
            </w14:solidFill>
          </w14:textFill>
        </w:rPr>
        <w:t>待售。不合格产品、边角废料通过粉碎后回用于原辅料搅拌混料</w:t>
      </w:r>
      <w:r>
        <w:rPr>
          <w:rFonts w:hint="eastAsia" w:ascii="宋体" w:hAnsi="宋体" w:eastAsia="宋体" w:cs="宋体"/>
          <w:color w:val="000000" w:themeColor="text1"/>
          <w:sz w:val="28"/>
          <w:szCs w:val="28"/>
          <w14:textFill>
            <w14:solidFill>
              <w14:schemeClr w14:val="tx1"/>
            </w14:solidFill>
          </w14:textFill>
        </w:rPr>
        <w:t>。</w:t>
      </w:r>
    </w:p>
    <w:p w14:paraId="6B26B619">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_GB2312" w:hAnsi="仿宋_GB2312" w:eastAsia="仿宋_GB2312" w:cs="仿宋_GB2312"/>
          <w:b/>
          <w:bCs/>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shd w:val="clear" w:color="auto" w:fill="FFFFFF"/>
          <w:lang w:val="en-US" w:eastAsia="zh-CN"/>
          <w14:textFill>
            <w14:solidFill>
              <w14:schemeClr w14:val="tx1"/>
            </w14:solidFill>
          </w14:textFill>
        </w:rPr>
        <w:t>（5）制配件、烟囱管：部分成型瓦按尺寸切割后，压制，制成配件，</w:t>
      </w:r>
      <w:r>
        <w:rPr>
          <w:rFonts w:hint="eastAsia" w:ascii="宋体" w:hAnsi="宋体" w:eastAsia="宋体" w:cs="宋体"/>
          <w:color w:val="000000" w:themeColor="text1"/>
          <w:sz w:val="28"/>
          <w:szCs w:val="28"/>
          <w:lang w:val="en-US" w:eastAsia="zh-CN"/>
          <w14:textFill>
            <w14:solidFill>
              <w14:schemeClr w14:val="tx1"/>
            </w14:solidFill>
          </w14:textFill>
        </w:rPr>
        <w:t>自然晾干</w:t>
      </w:r>
      <w:r>
        <w:rPr>
          <w:rFonts w:hint="eastAsia" w:ascii="宋体" w:hAnsi="宋体" w:eastAsia="宋体" w:cs="宋体"/>
          <w:color w:val="000000" w:themeColor="text1"/>
          <w:sz w:val="28"/>
          <w:szCs w:val="28"/>
          <w:lang w:eastAsia="zh-CN"/>
          <w14:textFill>
            <w14:solidFill>
              <w14:schemeClr w14:val="tx1"/>
            </w14:solidFill>
          </w14:textFill>
        </w:rPr>
        <w:t>待售</w:t>
      </w:r>
      <w:r>
        <w:rPr>
          <w:rFonts w:hint="eastAsia" w:ascii="宋体" w:hAnsi="宋体" w:eastAsia="宋体" w:cs="宋体"/>
          <w:color w:val="000000" w:themeColor="text1"/>
          <w:sz w:val="28"/>
          <w:szCs w:val="28"/>
          <w:shd w:val="clear" w:color="auto" w:fill="FFFFFF"/>
          <w:lang w:val="en-US" w:eastAsia="zh-CN"/>
          <w14:textFill>
            <w14:solidFill>
              <w14:schemeClr w14:val="tx1"/>
            </w14:solidFill>
          </w14:textFill>
        </w:rPr>
        <w:t>；部分成型瓦按尺寸切割后，制成烟囱管，</w:t>
      </w:r>
      <w:r>
        <w:rPr>
          <w:rFonts w:hint="eastAsia" w:ascii="宋体" w:hAnsi="宋体" w:eastAsia="宋体" w:cs="宋体"/>
          <w:color w:val="000000" w:themeColor="text1"/>
          <w:sz w:val="28"/>
          <w:szCs w:val="28"/>
          <w:lang w:val="en-US" w:eastAsia="zh-CN"/>
          <w14:textFill>
            <w14:solidFill>
              <w14:schemeClr w14:val="tx1"/>
            </w14:solidFill>
          </w14:textFill>
        </w:rPr>
        <w:t>自然晾干</w:t>
      </w:r>
      <w:r>
        <w:rPr>
          <w:rFonts w:hint="eastAsia" w:ascii="宋体" w:hAnsi="宋体" w:eastAsia="宋体" w:cs="宋体"/>
          <w:color w:val="000000" w:themeColor="text1"/>
          <w:sz w:val="28"/>
          <w:szCs w:val="28"/>
          <w:lang w:eastAsia="zh-CN"/>
          <w14:textFill>
            <w14:solidFill>
              <w14:schemeClr w14:val="tx1"/>
            </w14:solidFill>
          </w14:textFill>
        </w:rPr>
        <w:t>待售。</w:t>
      </w:r>
      <w:r>
        <w:rPr>
          <w:rFonts w:hint="eastAsia" w:ascii="宋体" w:hAnsi="宋体" w:eastAsia="宋体" w:cs="宋体"/>
          <w:color w:val="000000" w:themeColor="text1"/>
          <w:sz w:val="28"/>
          <w:szCs w:val="28"/>
          <w:lang w:val="en-US" w:eastAsia="zh-CN"/>
          <w14:textFill>
            <w14:solidFill>
              <w14:schemeClr w14:val="tx1"/>
            </w14:solidFill>
          </w14:textFill>
        </w:rPr>
        <w:t>工艺流程如图</w:t>
      </w:r>
      <w:r>
        <w:rPr>
          <w:rFonts w:hint="eastAsia" w:hAnsi="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hAnsi="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lang w:val="en-US" w:eastAsia="zh-CN"/>
          <w14:textFill>
            <w14:solidFill>
              <w14:schemeClr w14:val="tx1"/>
            </w14:solidFill>
          </w14:textFill>
        </w:rPr>
        <w:t>。</w:t>
      </w:r>
    </w:p>
    <w:p w14:paraId="202805C8">
      <w:pPr>
        <w:bidi w:val="0"/>
        <w:ind w:left="0" w:leftChars="0" w:firstLine="0" w:firstLineChars="0"/>
        <w:jc w:val="center"/>
        <w:rPr>
          <w:rFonts w:hint="eastAsia" w:ascii="仿宋_GB2312" w:hAnsi="仿宋_GB2312" w:eastAsia="仿宋_GB2312" w:cs="仿宋_GB2312"/>
          <w:b/>
          <w:bCs/>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63360" behindDoc="0" locked="0" layoutInCell="1" allowOverlap="1">
            <wp:simplePos x="0" y="0"/>
            <wp:positionH relativeFrom="column">
              <wp:posOffset>106680</wp:posOffset>
            </wp:positionH>
            <wp:positionV relativeFrom="paragraph">
              <wp:posOffset>66040</wp:posOffset>
            </wp:positionV>
            <wp:extent cx="5417185" cy="3242310"/>
            <wp:effectExtent l="0" t="0" r="8255" b="3810"/>
            <wp:wrapNone/>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6"/>
                    <a:stretch>
                      <a:fillRect/>
                    </a:stretch>
                  </pic:blipFill>
                  <pic:spPr>
                    <a:xfrm>
                      <a:off x="0" y="0"/>
                      <a:ext cx="5417185" cy="3242310"/>
                    </a:xfrm>
                    <a:prstGeom prst="rect">
                      <a:avLst/>
                    </a:prstGeom>
                    <a:noFill/>
                    <a:ln>
                      <a:noFill/>
                    </a:ln>
                  </pic:spPr>
                </pic:pic>
              </a:graphicData>
            </a:graphic>
          </wp:anchor>
        </w:drawing>
      </w:r>
      <w:r>
        <w:rPr>
          <w:color w:val="000000" w:themeColor="text1"/>
          <w:sz w:val="28"/>
          <w14:textFill>
            <w14:solidFill>
              <w14:schemeClr w14:val="tx1"/>
            </w14:solidFill>
          </w14:textFill>
        </w:rPr>
        <mc:AlternateContent>
          <mc:Choice Requires="wps">
            <w:drawing>
              <wp:anchor distT="0" distB="0" distL="114300" distR="114300" simplePos="0" relativeHeight="251662336" behindDoc="1" locked="0" layoutInCell="1" allowOverlap="1">
                <wp:simplePos x="0" y="0"/>
                <wp:positionH relativeFrom="column">
                  <wp:posOffset>1270</wp:posOffset>
                </wp:positionH>
                <wp:positionV relativeFrom="paragraph">
                  <wp:posOffset>13970</wp:posOffset>
                </wp:positionV>
                <wp:extent cx="5638165" cy="3401695"/>
                <wp:effectExtent l="4445" t="4445" r="11430" b="7620"/>
                <wp:wrapNone/>
                <wp:docPr id="35" name="文本框 35"/>
                <wp:cNvGraphicFramePr/>
                <a:graphic xmlns:a="http://schemas.openxmlformats.org/drawingml/2006/main">
                  <a:graphicData uri="http://schemas.microsoft.com/office/word/2010/wordprocessingShape">
                    <wps:wsp>
                      <wps:cNvSpPr txBox="1"/>
                      <wps:spPr>
                        <a:xfrm>
                          <a:off x="0" y="0"/>
                          <a:ext cx="5638165" cy="34016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DB7A3F6"/>
                        </w:txbxContent>
                      </wps:txbx>
                      <wps:bodyPr vert="eaVert" upright="1"/>
                    </wps:wsp>
                  </a:graphicData>
                </a:graphic>
              </wp:anchor>
            </w:drawing>
          </mc:Choice>
          <mc:Fallback>
            <w:pict>
              <v:shape id="_x0000_s1026" o:spid="_x0000_s1026" o:spt="202" type="#_x0000_t202" style="position:absolute;left:0pt;margin-left:0.1pt;margin-top:1.1pt;height:267.85pt;width:443.95pt;z-index:-251654144;mso-width-relative:page;mso-height-relative:page;" fillcolor="#FFFFFF" filled="t" stroked="t" coordsize="21600,21600" o:gfxdata="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m/kjNQAAAAGAQAA&#10;DwAAAAAAAAABACAAAAAiAAAAZHJzL2Rvd25yZXYueG1sUEsBAhQAFAAAAAgAh07iQGe4G4AdAgAA&#10;VQQAAA4AAAAAAAAAAQAgAAAAIwEAAGRycy9lMm9Eb2MueG1sUEsFBgAAAAAGAAYAWQEAALIFAAAA&#10;AA==&#10;">
                <v:fill on="t" focussize="0,0"/>
                <v:stroke color="#000000" joinstyle="miter"/>
                <v:imagedata o:title=""/>
                <o:lock v:ext="edit" aspectratio="f"/>
                <v:textbox style="layout-flow:vertical-ideographic;">
                  <w:txbxContent>
                    <w:p w14:paraId="4DB7A3F6"/>
                  </w:txbxContent>
                </v:textbox>
              </v:shape>
            </w:pict>
          </mc:Fallback>
        </mc:AlternateContent>
      </w:r>
    </w:p>
    <w:p w14:paraId="4288F15F">
      <w:pPr>
        <w:pStyle w:val="51"/>
        <w:jc w:val="center"/>
        <w:rPr>
          <w:rFonts w:hint="eastAsia"/>
          <w:color w:val="000000" w:themeColor="text1"/>
          <w:lang w:val="en-US" w:eastAsia="zh-CN"/>
          <w14:textFill>
            <w14:solidFill>
              <w14:schemeClr w14:val="tx1"/>
            </w14:solidFill>
          </w14:textFill>
        </w:rPr>
      </w:pPr>
    </w:p>
    <w:p w14:paraId="6AABA70A">
      <w:pPr>
        <w:rPr>
          <w:rFonts w:hint="eastAsia"/>
          <w:color w:val="000000" w:themeColor="text1"/>
          <w:lang w:val="en-US" w:eastAsia="zh-CN"/>
          <w14:textFill>
            <w14:solidFill>
              <w14:schemeClr w14:val="tx1"/>
            </w14:solidFill>
          </w14:textFill>
        </w:rPr>
      </w:pPr>
    </w:p>
    <w:p w14:paraId="73929374">
      <w:pPr>
        <w:pStyle w:val="52"/>
        <w:rPr>
          <w:rFonts w:hint="eastAsia"/>
          <w:color w:val="000000" w:themeColor="text1"/>
          <w:lang w:val="en-US" w:eastAsia="zh-CN"/>
          <w14:textFill>
            <w14:solidFill>
              <w14:schemeClr w14:val="tx1"/>
            </w14:solidFill>
          </w14:textFill>
        </w:rPr>
      </w:pPr>
    </w:p>
    <w:p w14:paraId="5B67927D">
      <w:pPr>
        <w:pStyle w:val="51"/>
        <w:rPr>
          <w:rFonts w:hint="eastAsia"/>
          <w:color w:val="000000" w:themeColor="text1"/>
          <w:lang w:val="en-US" w:eastAsia="zh-CN"/>
          <w14:textFill>
            <w14:solidFill>
              <w14:schemeClr w14:val="tx1"/>
            </w14:solidFill>
          </w14:textFill>
        </w:rPr>
      </w:pPr>
    </w:p>
    <w:p w14:paraId="2E3D2DD5">
      <w:pPr>
        <w:rPr>
          <w:rFonts w:hint="eastAsia"/>
          <w:color w:val="000000" w:themeColor="text1"/>
          <w:lang w:val="en-US" w:eastAsia="zh-CN"/>
          <w14:textFill>
            <w14:solidFill>
              <w14:schemeClr w14:val="tx1"/>
            </w14:solidFill>
          </w14:textFill>
        </w:rPr>
      </w:pPr>
    </w:p>
    <w:p w14:paraId="4D36FA9F">
      <w:pPr>
        <w:ind w:left="0" w:leftChars="0" w:firstLine="0" w:firstLineChars="0"/>
        <w:jc w:val="center"/>
        <w:rPr>
          <w:rFonts w:hint="eastAsia" w:ascii="仿宋_GB2312" w:hAnsi="仿宋_GB2312" w:eastAsia="仿宋_GB2312" w:cs="仿宋_GB2312"/>
          <w:color w:val="000000" w:themeColor="text1"/>
          <w:sz w:val="28"/>
          <w:szCs w:val="28"/>
          <w14:textFill>
            <w14:solidFill>
              <w14:schemeClr w14:val="tx1"/>
            </w14:solidFill>
          </w14:textFill>
        </w:rPr>
      </w:pPr>
    </w:p>
    <w:p w14:paraId="67E8B9C9">
      <w:pPr>
        <w:pStyle w:val="52"/>
        <w:rPr>
          <w:rFonts w:hint="eastAsia" w:ascii="仿宋_GB2312" w:hAnsi="仿宋_GB2312" w:eastAsia="仿宋_GB2312" w:cs="仿宋_GB2312"/>
          <w:color w:val="000000" w:themeColor="text1"/>
          <w:sz w:val="28"/>
          <w:szCs w:val="28"/>
          <w14:textFill>
            <w14:solidFill>
              <w14:schemeClr w14:val="tx1"/>
            </w14:solidFill>
          </w14:textFill>
        </w:rPr>
      </w:pPr>
    </w:p>
    <w:p w14:paraId="26E6307D">
      <w:pPr>
        <w:bidi w:val="0"/>
        <w:ind w:left="0" w:leftChars="0" w:firstLine="0" w:firstLineChars="0"/>
        <w:rPr>
          <w:rFonts w:hint="eastAsia" w:ascii="仿宋_GB2312" w:hAnsi="仿宋_GB2312" w:eastAsia="仿宋_GB2312" w:cs="仿宋_GB2312"/>
          <w:color w:val="000000" w:themeColor="text1"/>
          <w:kern w:val="2"/>
          <w:sz w:val="28"/>
          <w:szCs w:val="22"/>
          <w:lang w:val="en-US" w:eastAsia="zh-CN" w:bidi="ar-SA"/>
          <w14:textFill>
            <w14:solidFill>
              <w14:schemeClr w14:val="tx1"/>
            </w14:solidFill>
          </w14:textFill>
        </w:rPr>
      </w:pPr>
    </w:p>
    <w:p w14:paraId="763EDACD">
      <w:pPr>
        <w:pStyle w:val="52"/>
        <w:rPr>
          <w:rFonts w:hint="eastAsia"/>
          <w:color w:val="000000" w:themeColor="text1"/>
          <w:lang w:val="en-US" w:eastAsia="zh-CN"/>
          <w14:textFill>
            <w14:solidFill>
              <w14:schemeClr w14:val="tx1"/>
            </w14:solidFill>
          </w14:textFill>
        </w:rPr>
      </w:pPr>
    </w:p>
    <w:p w14:paraId="645B62B9">
      <w:pPr>
        <w:pStyle w:val="35"/>
        <w:jc w:val="center"/>
        <w:rPr>
          <w:rFonts w:hint="eastAsia" w:ascii="宋体" w:hAnsi="宋体" w:cs="宋体"/>
          <w:b/>
          <w:bCs/>
          <w:color w:val="000000" w:themeColor="text1"/>
          <w:sz w:val="24"/>
          <w:szCs w:val="24"/>
          <w14:textFill>
            <w14:solidFill>
              <w14:schemeClr w14:val="tx1"/>
            </w14:solidFill>
          </w14:textFill>
        </w:rPr>
      </w:pPr>
    </w:p>
    <w:p w14:paraId="5B735249">
      <w:pPr>
        <w:pStyle w:val="35"/>
        <w:jc w:val="center"/>
        <w:rPr>
          <w:color w:val="000000" w:themeColor="text1"/>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4</w:t>
      </w:r>
      <w:r>
        <w:rPr>
          <w:rFonts w:hint="eastAsia" w:ascii="宋体" w:hAnsi="宋体" w:cs="宋体"/>
          <w:b/>
          <w:bCs/>
          <w:color w:val="000000" w:themeColor="text1"/>
          <w:sz w:val="24"/>
          <w:szCs w:val="24"/>
          <w14:textFill>
            <w14:solidFill>
              <w14:schemeClr w14:val="tx1"/>
            </w14:solidFill>
          </w14:textFill>
        </w:rPr>
        <w:t>—</w:t>
      </w:r>
      <w:r>
        <w:rPr>
          <w:rFonts w:hint="eastAsia" w:ascii="宋体" w:hAnsi="宋体" w:cs="宋体"/>
          <w:b/>
          <w:bCs/>
          <w:color w:val="000000" w:themeColor="text1"/>
          <w:sz w:val="24"/>
          <w:szCs w:val="24"/>
          <w:lang w:val="en-US" w:eastAsia="zh-CN"/>
          <w14:textFill>
            <w14:solidFill>
              <w14:schemeClr w14:val="tx1"/>
            </w14:solidFill>
          </w14:textFill>
        </w:rPr>
        <w:t>1</w:t>
      </w:r>
      <w:r>
        <w:rPr>
          <w:rFonts w:hint="eastAsia" w:ascii="宋体" w:hAnsi="宋体" w:cs="宋体"/>
          <w:b/>
          <w:bCs/>
          <w:color w:val="000000" w:themeColor="text1"/>
          <w:sz w:val="24"/>
          <w:szCs w:val="24"/>
          <w14:textFill>
            <w14:solidFill>
              <w14:schemeClr w14:val="tx1"/>
            </w14:solidFill>
          </w14:textFill>
        </w:rPr>
        <w:t xml:space="preserve"> 工艺流程图</w:t>
      </w:r>
    </w:p>
    <w:p w14:paraId="710A440F">
      <w:pPr>
        <w:pStyle w:val="350"/>
        <w:keepNext w:val="0"/>
        <w:keepLines w:val="0"/>
        <w:pageBreakBefore w:val="0"/>
        <w:widowControl w:val="0"/>
        <w:kinsoku/>
        <w:wordWrap/>
        <w:overflowPunct/>
        <w:topLinePunct w:val="0"/>
        <w:bidi w:val="0"/>
        <w:snapToGrid/>
        <w:spacing w:line="500" w:lineRule="atLeast"/>
        <w:textAlignment w:val="auto"/>
        <w:rPr>
          <w:rFonts w:ascii="仿宋_GB2312" w:hAnsi="仿宋_GB2312" w:eastAsia="仿宋_GB2312" w:cs="仿宋_GB2312"/>
          <w:b/>
          <w:color w:val="000000" w:themeColor="text1"/>
          <w:sz w:val="28"/>
          <w:szCs w:val="28"/>
          <w14:textFill>
            <w14:solidFill>
              <w14:schemeClr w14:val="tx1"/>
            </w14:solidFill>
          </w14:textFill>
        </w:rPr>
      </w:pPr>
    </w:p>
    <w:p w14:paraId="44EFEEC0">
      <w:pPr>
        <w:pStyle w:val="351"/>
        <w:spacing w:after="0" w:line="362" w:lineRule="exact"/>
        <w:ind w:firstLine="2249" w:firstLineChars="800"/>
        <w:rPr>
          <w:rFonts w:hAnsi="宋体" w:cs="宋体"/>
          <w:color w:val="000000" w:themeColor="text1"/>
          <w:sz w:val="28"/>
          <w:szCs w:val="28"/>
          <w14:textFill>
            <w14:solidFill>
              <w14:schemeClr w14:val="tx1"/>
            </w14:solidFill>
          </w14:textFill>
        </w:rPr>
      </w:pPr>
      <w:r>
        <w:rPr>
          <w:rFonts w:hint="eastAsia"/>
          <w:b/>
          <w:color w:val="000000" w:themeColor="text1"/>
          <w:sz w:val="28"/>
          <w:szCs w:val="28"/>
          <w:lang w:val="en-US" w:eastAsia="zh-CN"/>
          <w14:textFill>
            <w14:solidFill>
              <w14:schemeClr w14:val="tx1"/>
            </w14:solidFill>
          </w14:textFill>
        </w:rPr>
        <w:t xml:space="preserve">图 </w:t>
      </w:r>
      <w:r>
        <w:rPr>
          <w:rFonts w:hint="eastAsia"/>
          <w:b/>
          <w:color w:val="000000" w:themeColor="text1"/>
          <w:sz w:val="28"/>
          <w:szCs w:val="28"/>
          <w14:textFill>
            <w14:solidFill>
              <w14:schemeClr w14:val="tx1"/>
            </w14:solidFill>
          </w14:textFill>
        </w:rPr>
        <w:t>2-</w:t>
      </w:r>
      <w:r>
        <w:rPr>
          <w:rFonts w:hint="eastAsia"/>
          <w:b/>
          <w:color w:val="000000" w:themeColor="text1"/>
          <w:sz w:val="28"/>
          <w:szCs w:val="28"/>
          <w:lang w:val="en-US" w:eastAsia="zh-CN"/>
          <w14:textFill>
            <w14:solidFill>
              <w14:schemeClr w14:val="tx1"/>
            </w14:solidFill>
          </w14:textFill>
        </w:rPr>
        <w:t>4</w:t>
      </w:r>
      <w:r>
        <w:rPr>
          <w:rFonts w:hint="eastAsia"/>
          <w:b/>
          <w:color w:val="000000" w:themeColor="text1"/>
          <w:sz w:val="28"/>
          <w:szCs w:val="28"/>
          <w14:textFill>
            <w14:solidFill>
              <w14:schemeClr w14:val="tx1"/>
            </w14:solidFill>
          </w14:textFill>
        </w:rPr>
        <w:t xml:space="preserve"> </w:t>
      </w:r>
      <w:r>
        <w:rPr>
          <w:rFonts w:hint="eastAsia"/>
          <w:b/>
          <w:bCs/>
          <w:color w:val="000000" w:themeColor="text1"/>
          <w:sz w:val="28"/>
          <w:szCs w:val="28"/>
          <w14:textFill>
            <w14:solidFill>
              <w14:schemeClr w14:val="tx1"/>
            </w14:solidFill>
          </w14:textFill>
        </w:rPr>
        <w:t>生产</w:t>
      </w:r>
      <w:r>
        <w:rPr>
          <w:rFonts w:hint="eastAsia"/>
          <w:b/>
          <w:color w:val="000000" w:themeColor="text1"/>
          <w:sz w:val="28"/>
          <w:szCs w:val="28"/>
          <w14:textFill>
            <w14:solidFill>
              <w14:schemeClr w14:val="tx1"/>
            </w14:solidFill>
          </w14:textFill>
        </w:rPr>
        <w:t>工艺流程图</w:t>
      </w:r>
    </w:p>
    <w:p w14:paraId="29CEB129">
      <w:pPr>
        <w:pStyle w:val="5"/>
        <w:rPr>
          <w:rFonts w:hint="eastAsia" w:ascii="Times New Roman" w:hAnsi="Times New Roman" w:cs="Times New Roman"/>
          <w:color w:val="000000" w:themeColor="text1"/>
          <w14:textFill>
            <w14:solidFill>
              <w14:schemeClr w14:val="tx1"/>
            </w14:solidFill>
          </w14:textFill>
        </w:rPr>
      </w:pPr>
      <w:bookmarkStart w:id="172" w:name="_Toc11429"/>
      <w:bookmarkStart w:id="173" w:name="_Toc335926158"/>
      <w:bookmarkStart w:id="174" w:name="_Toc313453470"/>
      <w:bookmarkStart w:id="175" w:name="_Toc5805"/>
      <w:bookmarkStart w:id="176" w:name="_Toc6651"/>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1</w:t>
      </w:r>
      <w:r>
        <w:rPr>
          <w:rFonts w:hint="eastAsia" w:ascii="Times New Roman" w:hAnsi="Times New Roman" w:cs="Times New Roman"/>
          <w:color w:val="000000" w:themeColor="text1"/>
          <w14:textFill>
            <w14:solidFill>
              <w14:schemeClr w14:val="tx1"/>
            </w14:solidFill>
          </w14:textFill>
        </w:rPr>
        <w:t>主要</w:t>
      </w:r>
      <w:bookmarkEnd w:id="172"/>
      <w:bookmarkEnd w:id="173"/>
      <w:bookmarkEnd w:id="174"/>
      <w:bookmarkStart w:id="177" w:name="_Toc4278"/>
      <w:bookmarkStart w:id="178" w:name="_Toc14194"/>
      <w:bookmarkStart w:id="179" w:name="_Toc313453474"/>
      <w:bookmarkStart w:id="180" w:name="_Toc335926168"/>
      <w:r>
        <w:rPr>
          <w:rFonts w:hint="eastAsia" w:ascii="Times New Roman" w:hAnsi="Times New Roman" w:cs="Times New Roman"/>
          <w:color w:val="000000" w:themeColor="text1"/>
          <w14:textFill>
            <w14:solidFill>
              <w14:schemeClr w14:val="tx1"/>
            </w14:solidFill>
          </w14:textFill>
        </w:rPr>
        <w:t>生产设备</w:t>
      </w:r>
      <w:bookmarkEnd w:id="175"/>
      <w:bookmarkEnd w:id="176"/>
    </w:p>
    <w:p w14:paraId="1334BE56">
      <w:pPr>
        <w:spacing w:line="240" w:lineRule="auto"/>
        <w:ind w:firstLine="0" w:firstLineChars="0"/>
        <w:rPr>
          <w:rFonts w:hAnsi="宋体"/>
          <w:color w:val="000000" w:themeColor="text1"/>
          <w:sz w:val="28"/>
          <w:szCs w:val="28"/>
          <w14:textFill>
            <w14:solidFill>
              <w14:schemeClr w14:val="tx1"/>
            </w14:solidFill>
          </w14:textFill>
        </w:rPr>
      </w:pPr>
      <w:r>
        <w:rPr>
          <w:rFonts w:hint="eastAsia" w:hAnsi="宋体"/>
          <w:color w:val="000000" w:themeColor="text1"/>
          <w:sz w:val="28"/>
          <w:szCs w:val="28"/>
          <w14:textFill>
            <w14:solidFill>
              <w14:schemeClr w14:val="tx1"/>
            </w14:solidFill>
          </w14:textFill>
        </w:rPr>
        <w:t>该项目生产系统所用的主要生产设备如下表：</w:t>
      </w:r>
    </w:p>
    <w:p w14:paraId="1B7D630D">
      <w:pPr>
        <w:jc w:val="center"/>
        <w:rPr>
          <w:rFonts w:hint="eastAsia" w:hAnsi="宋体" w:cs="宋体"/>
          <w:b/>
          <w:bCs/>
          <w:color w:val="000000" w:themeColor="text1"/>
          <w14:textFill>
            <w14:solidFill>
              <w14:schemeClr w14:val="tx1"/>
            </w14:solidFill>
          </w14:textFill>
        </w:rPr>
      </w:pPr>
      <w:r>
        <w:rPr>
          <w:rFonts w:hint="eastAsia" w:hAnsi="宋体" w:cs="宋体"/>
          <w:b/>
          <w:bCs/>
          <w:color w:val="000000" w:themeColor="text1"/>
          <w14:textFill>
            <w14:solidFill>
              <w14:schemeClr w14:val="tx1"/>
            </w14:solidFill>
          </w14:textFill>
        </w:rPr>
        <w:t>表2-</w:t>
      </w:r>
      <w:r>
        <w:rPr>
          <w:rFonts w:hint="eastAsia" w:hAnsi="宋体" w:cs="宋体"/>
          <w:b/>
          <w:bCs/>
          <w:color w:val="000000" w:themeColor="text1"/>
          <w:lang w:val="en-US" w:eastAsia="zh-CN"/>
          <w14:textFill>
            <w14:solidFill>
              <w14:schemeClr w14:val="tx1"/>
            </w14:solidFill>
          </w14:textFill>
        </w:rPr>
        <w:t>3</w:t>
      </w:r>
      <w:r>
        <w:rPr>
          <w:rFonts w:hint="eastAsia" w:hAnsi="宋体" w:cs="宋体"/>
          <w:b/>
          <w:bCs/>
          <w:color w:val="000000" w:themeColor="text1"/>
          <w14:textFill>
            <w14:solidFill>
              <w14:schemeClr w14:val="tx1"/>
            </w14:solidFill>
          </w14:textFill>
        </w:rPr>
        <w:t xml:space="preserve"> 主要生产设备</w:t>
      </w:r>
      <w:r>
        <w:rPr>
          <w:rFonts w:hint="eastAsia" w:hAnsi="宋体" w:cs="宋体"/>
          <w:b/>
          <w:bCs/>
          <w:color w:val="000000" w:themeColor="text1"/>
          <w:lang w:val="en-US" w:eastAsia="zh-CN"/>
          <w14:textFill>
            <w14:solidFill>
              <w14:schemeClr w14:val="tx1"/>
            </w14:solidFill>
          </w14:textFill>
        </w:rPr>
        <w:t>设施</w:t>
      </w:r>
      <w:r>
        <w:rPr>
          <w:rFonts w:hint="eastAsia" w:hAnsi="宋体" w:cs="宋体"/>
          <w:b/>
          <w:bCs/>
          <w:color w:val="000000" w:themeColor="text1"/>
          <w14:textFill>
            <w14:solidFill>
              <w14:schemeClr w14:val="tx1"/>
            </w14:solidFill>
          </w14:textFill>
        </w:rPr>
        <w:t>一览表</w:t>
      </w:r>
    </w:p>
    <w:tbl>
      <w:tblPr>
        <w:tblStyle w:val="53"/>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607"/>
        <w:gridCol w:w="1309"/>
        <w:gridCol w:w="957"/>
        <w:gridCol w:w="1120"/>
        <w:gridCol w:w="1373"/>
        <w:gridCol w:w="1436"/>
      </w:tblGrid>
      <w:tr w14:paraId="0B193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19E79F25">
            <w:pPr>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1607" w:type="dxa"/>
            <w:tcBorders>
              <w:top w:val="single" w:color="auto" w:sz="4" w:space="0"/>
              <w:left w:val="single" w:color="auto" w:sz="4" w:space="0"/>
              <w:bottom w:val="single" w:color="auto" w:sz="4" w:space="0"/>
              <w:right w:val="single" w:color="auto" w:sz="4" w:space="0"/>
            </w:tcBorders>
          </w:tcPr>
          <w:p w14:paraId="3CDD74C6">
            <w:pPr>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设备名称</w:t>
            </w:r>
          </w:p>
        </w:tc>
        <w:tc>
          <w:tcPr>
            <w:tcW w:w="1309" w:type="dxa"/>
            <w:tcBorders>
              <w:top w:val="single" w:color="auto" w:sz="4" w:space="0"/>
              <w:left w:val="single" w:color="auto" w:sz="4" w:space="0"/>
              <w:bottom w:val="single" w:color="auto" w:sz="4" w:space="0"/>
              <w:right w:val="single" w:color="auto" w:sz="4" w:space="0"/>
            </w:tcBorders>
          </w:tcPr>
          <w:p w14:paraId="2D7E2081">
            <w:pPr>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lang w:bidi="en-US"/>
                <w14:textFill>
                  <w14:solidFill>
                    <w14:schemeClr w14:val="tx1"/>
                  </w14:solidFill>
                </w14:textFill>
              </w:rPr>
              <w:t>规格、型号</w:t>
            </w:r>
          </w:p>
        </w:tc>
        <w:tc>
          <w:tcPr>
            <w:tcW w:w="957" w:type="dxa"/>
            <w:tcBorders>
              <w:top w:val="single" w:color="auto" w:sz="4" w:space="0"/>
              <w:left w:val="single" w:color="auto" w:sz="4" w:space="0"/>
              <w:bottom w:val="single" w:color="auto" w:sz="4" w:space="0"/>
              <w:right w:val="single" w:color="auto" w:sz="4" w:space="0"/>
            </w:tcBorders>
          </w:tcPr>
          <w:p w14:paraId="16DD7C1E">
            <w:pPr>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单位</w:t>
            </w:r>
          </w:p>
        </w:tc>
        <w:tc>
          <w:tcPr>
            <w:tcW w:w="1120" w:type="dxa"/>
            <w:tcBorders>
              <w:top w:val="single" w:color="auto" w:sz="4" w:space="0"/>
              <w:left w:val="single" w:color="auto" w:sz="4" w:space="0"/>
              <w:bottom w:val="single" w:color="auto" w:sz="4" w:space="0"/>
              <w:right w:val="single" w:color="auto" w:sz="4" w:space="0"/>
            </w:tcBorders>
          </w:tcPr>
          <w:p w14:paraId="02A7A5AC">
            <w:pPr>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数量</w:t>
            </w:r>
          </w:p>
        </w:tc>
        <w:tc>
          <w:tcPr>
            <w:tcW w:w="1373" w:type="dxa"/>
            <w:tcBorders>
              <w:top w:val="single" w:color="auto" w:sz="4" w:space="0"/>
              <w:left w:val="single" w:color="auto" w:sz="4" w:space="0"/>
              <w:bottom w:val="single" w:color="auto" w:sz="4" w:space="0"/>
              <w:right w:val="single" w:color="auto" w:sz="4" w:space="0"/>
            </w:tcBorders>
          </w:tcPr>
          <w:p w14:paraId="4015A995">
            <w:pPr>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场所</w:t>
            </w:r>
          </w:p>
        </w:tc>
        <w:tc>
          <w:tcPr>
            <w:tcW w:w="1436" w:type="dxa"/>
            <w:tcBorders>
              <w:top w:val="single" w:color="auto" w:sz="4" w:space="0"/>
              <w:left w:val="single" w:color="auto" w:sz="4" w:space="0"/>
              <w:bottom w:val="single" w:color="auto" w:sz="4" w:space="0"/>
              <w:right w:val="single" w:color="auto" w:sz="4" w:space="0"/>
            </w:tcBorders>
          </w:tcPr>
          <w:p w14:paraId="0D31A3D5">
            <w:pPr>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备注</w:t>
            </w:r>
          </w:p>
        </w:tc>
      </w:tr>
      <w:tr w14:paraId="3100A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1AFA20F6">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607" w:type="dxa"/>
            <w:tcBorders>
              <w:top w:val="single" w:color="auto" w:sz="4" w:space="0"/>
              <w:left w:val="single" w:color="auto" w:sz="4" w:space="0"/>
              <w:bottom w:val="single" w:color="auto" w:sz="4" w:space="0"/>
              <w:right w:val="single" w:color="auto" w:sz="4" w:space="0"/>
            </w:tcBorders>
          </w:tcPr>
          <w:p w14:paraId="0207F85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磨粉机</w:t>
            </w:r>
          </w:p>
        </w:tc>
        <w:tc>
          <w:tcPr>
            <w:tcW w:w="1309" w:type="dxa"/>
            <w:tcBorders>
              <w:top w:val="single" w:color="auto" w:sz="4" w:space="0"/>
              <w:left w:val="single" w:color="auto" w:sz="4" w:space="0"/>
              <w:bottom w:val="single" w:color="auto" w:sz="4" w:space="0"/>
              <w:right w:val="single" w:color="auto" w:sz="4" w:space="0"/>
            </w:tcBorders>
          </w:tcPr>
          <w:p w14:paraId="0EAB52A4">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957" w:type="dxa"/>
            <w:tcBorders>
              <w:top w:val="single" w:color="auto" w:sz="4" w:space="0"/>
              <w:left w:val="single" w:color="auto" w:sz="4" w:space="0"/>
              <w:bottom w:val="single" w:color="auto" w:sz="4" w:space="0"/>
              <w:right w:val="single" w:color="auto" w:sz="4" w:space="0"/>
            </w:tcBorders>
          </w:tcPr>
          <w:p w14:paraId="1144216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台</w:t>
            </w:r>
          </w:p>
        </w:tc>
        <w:tc>
          <w:tcPr>
            <w:tcW w:w="1120" w:type="dxa"/>
            <w:tcBorders>
              <w:top w:val="single" w:color="auto" w:sz="4" w:space="0"/>
              <w:left w:val="single" w:color="auto" w:sz="4" w:space="0"/>
              <w:bottom w:val="single" w:color="auto" w:sz="4" w:space="0"/>
              <w:right w:val="single" w:color="auto" w:sz="4" w:space="0"/>
            </w:tcBorders>
          </w:tcPr>
          <w:p w14:paraId="72B31EE0">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3F539809">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3C8EBEA8">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磨粉区</w:t>
            </w:r>
          </w:p>
        </w:tc>
      </w:tr>
      <w:tr w14:paraId="4ED63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54462BF8">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w:t>
            </w:r>
          </w:p>
        </w:tc>
        <w:tc>
          <w:tcPr>
            <w:tcW w:w="1607" w:type="dxa"/>
            <w:tcBorders>
              <w:top w:val="single" w:color="auto" w:sz="4" w:space="0"/>
              <w:left w:val="single" w:color="auto" w:sz="4" w:space="0"/>
              <w:bottom w:val="single" w:color="auto" w:sz="4" w:space="0"/>
              <w:right w:val="single" w:color="auto" w:sz="4" w:space="0"/>
            </w:tcBorders>
          </w:tcPr>
          <w:p w14:paraId="611F7FB2">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碾料机</w:t>
            </w:r>
          </w:p>
        </w:tc>
        <w:tc>
          <w:tcPr>
            <w:tcW w:w="1309" w:type="dxa"/>
            <w:tcBorders>
              <w:top w:val="single" w:color="auto" w:sz="4" w:space="0"/>
              <w:left w:val="single" w:color="auto" w:sz="4" w:space="0"/>
              <w:bottom w:val="single" w:color="auto" w:sz="4" w:space="0"/>
              <w:right w:val="single" w:color="auto" w:sz="4" w:space="0"/>
            </w:tcBorders>
          </w:tcPr>
          <w:p w14:paraId="5946E997">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957" w:type="dxa"/>
            <w:tcBorders>
              <w:top w:val="single" w:color="auto" w:sz="4" w:space="0"/>
              <w:left w:val="single" w:color="auto" w:sz="4" w:space="0"/>
              <w:bottom w:val="single" w:color="auto" w:sz="4" w:space="0"/>
              <w:right w:val="single" w:color="auto" w:sz="4" w:space="0"/>
            </w:tcBorders>
          </w:tcPr>
          <w:p w14:paraId="0970C51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台</w:t>
            </w:r>
          </w:p>
        </w:tc>
        <w:tc>
          <w:tcPr>
            <w:tcW w:w="1120" w:type="dxa"/>
            <w:tcBorders>
              <w:top w:val="single" w:color="auto" w:sz="4" w:space="0"/>
              <w:left w:val="single" w:color="auto" w:sz="4" w:space="0"/>
              <w:bottom w:val="single" w:color="auto" w:sz="4" w:space="0"/>
              <w:right w:val="single" w:color="auto" w:sz="4" w:space="0"/>
            </w:tcBorders>
          </w:tcPr>
          <w:p w14:paraId="1796BDA6">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7F0E9C22">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249D1C5F">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3E995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5E388A9E">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w:t>
            </w:r>
          </w:p>
        </w:tc>
        <w:tc>
          <w:tcPr>
            <w:tcW w:w="1607" w:type="dxa"/>
            <w:tcBorders>
              <w:top w:val="single" w:color="auto" w:sz="4" w:space="0"/>
              <w:left w:val="single" w:color="auto" w:sz="4" w:space="0"/>
              <w:bottom w:val="single" w:color="auto" w:sz="4" w:space="0"/>
              <w:right w:val="single" w:color="auto" w:sz="4" w:space="0"/>
            </w:tcBorders>
          </w:tcPr>
          <w:p w14:paraId="376F95EF">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储水罐</w:t>
            </w:r>
          </w:p>
        </w:tc>
        <w:tc>
          <w:tcPr>
            <w:tcW w:w="1309" w:type="dxa"/>
            <w:tcBorders>
              <w:top w:val="single" w:color="auto" w:sz="4" w:space="0"/>
              <w:left w:val="single" w:color="auto" w:sz="4" w:space="0"/>
              <w:bottom w:val="single" w:color="auto" w:sz="4" w:space="0"/>
              <w:right w:val="single" w:color="auto" w:sz="4" w:space="0"/>
            </w:tcBorders>
          </w:tcPr>
          <w:p w14:paraId="23CFED32">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35m</w:t>
            </w:r>
            <w:r>
              <w:rPr>
                <w:rFonts w:hint="eastAsia" w:ascii="宋体" w:hAnsi="宋体" w:eastAsia="宋体" w:cs="宋体"/>
                <w:b w:val="0"/>
                <w:bCs w:val="0"/>
                <w:color w:val="000000" w:themeColor="text1"/>
                <w:sz w:val="21"/>
                <w:szCs w:val="21"/>
                <w:vertAlign w:val="superscript"/>
                <w:lang w:val="en-US" w:eastAsia="zh-CN"/>
                <w14:textFill>
                  <w14:solidFill>
                    <w14:schemeClr w14:val="tx1"/>
                  </w14:solidFill>
                </w14:textFill>
              </w:rPr>
              <w:t>3</w:t>
            </w:r>
          </w:p>
        </w:tc>
        <w:tc>
          <w:tcPr>
            <w:tcW w:w="957" w:type="dxa"/>
            <w:tcBorders>
              <w:top w:val="single" w:color="auto" w:sz="4" w:space="0"/>
              <w:left w:val="single" w:color="auto" w:sz="4" w:space="0"/>
              <w:bottom w:val="single" w:color="auto" w:sz="4" w:space="0"/>
              <w:right w:val="single" w:color="auto" w:sz="4" w:space="0"/>
            </w:tcBorders>
          </w:tcPr>
          <w:p w14:paraId="59789E80">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个</w:t>
            </w:r>
          </w:p>
        </w:tc>
        <w:tc>
          <w:tcPr>
            <w:tcW w:w="1120" w:type="dxa"/>
            <w:tcBorders>
              <w:top w:val="single" w:color="auto" w:sz="4" w:space="0"/>
              <w:left w:val="single" w:color="auto" w:sz="4" w:space="0"/>
              <w:bottom w:val="single" w:color="auto" w:sz="4" w:space="0"/>
              <w:right w:val="single" w:color="auto" w:sz="4" w:space="0"/>
            </w:tcBorders>
          </w:tcPr>
          <w:p w14:paraId="395AE933">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w:t>
            </w:r>
          </w:p>
        </w:tc>
        <w:tc>
          <w:tcPr>
            <w:tcW w:w="1373" w:type="dxa"/>
            <w:tcBorders>
              <w:top w:val="single" w:color="auto" w:sz="4" w:space="0"/>
              <w:left w:val="single" w:color="auto" w:sz="4" w:space="0"/>
              <w:bottom w:val="single" w:color="auto" w:sz="4" w:space="0"/>
              <w:right w:val="single" w:color="auto" w:sz="4" w:space="0"/>
            </w:tcBorders>
          </w:tcPr>
          <w:p w14:paraId="4E1FDE58">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5D0C019F">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3F56F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155A4CE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4</w:t>
            </w:r>
          </w:p>
        </w:tc>
        <w:tc>
          <w:tcPr>
            <w:tcW w:w="1607" w:type="dxa"/>
            <w:tcBorders>
              <w:top w:val="single" w:color="auto" w:sz="4" w:space="0"/>
              <w:left w:val="single" w:color="auto" w:sz="4" w:space="0"/>
              <w:bottom w:val="single" w:color="auto" w:sz="4" w:space="0"/>
              <w:right w:val="single" w:color="auto" w:sz="4" w:space="0"/>
            </w:tcBorders>
          </w:tcPr>
          <w:p w14:paraId="43F13A32">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水泥</w:t>
            </w:r>
            <w:r>
              <w:rPr>
                <w:rFonts w:hint="eastAsia" w:ascii="宋体" w:hAnsi="宋体" w:eastAsia="宋体" w:cs="宋体"/>
                <w:color w:val="000000" w:themeColor="text1"/>
                <w:sz w:val="21"/>
                <w:szCs w:val="21"/>
                <w:lang w:val="en-US" w:eastAsia="zh-CN"/>
                <w14:textFill>
                  <w14:solidFill>
                    <w14:schemeClr w14:val="tx1"/>
                  </w14:solidFill>
                </w14:textFill>
              </w:rPr>
              <w:t>筒仓</w:t>
            </w:r>
          </w:p>
        </w:tc>
        <w:tc>
          <w:tcPr>
            <w:tcW w:w="1309" w:type="dxa"/>
            <w:tcBorders>
              <w:top w:val="single" w:color="auto" w:sz="4" w:space="0"/>
              <w:left w:val="single" w:color="auto" w:sz="4" w:space="0"/>
              <w:bottom w:val="single" w:color="auto" w:sz="4" w:space="0"/>
              <w:right w:val="single" w:color="auto" w:sz="4" w:space="0"/>
            </w:tcBorders>
          </w:tcPr>
          <w:p w14:paraId="242CD1E5">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35m</w:t>
            </w:r>
            <w:r>
              <w:rPr>
                <w:rFonts w:hint="eastAsia" w:ascii="宋体" w:hAnsi="宋体" w:eastAsia="宋体" w:cs="宋体"/>
                <w:b w:val="0"/>
                <w:bCs w:val="0"/>
                <w:color w:val="000000" w:themeColor="text1"/>
                <w:sz w:val="21"/>
                <w:szCs w:val="21"/>
                <w:vertAlign w:val="superscript"/>
                <w:lang w:val="en-US" w:eastAsia="zh-CN"/>
                <w14:textFill>
                  <w14:solidFill>
                    <w14:schemeClr w14:val="tx1"/>
                  </w14:solidFill>
                </w14:textFill>
              </w:rPr>
              <w:t>3</w:t>
            </w:r>
          </w:p>
        </w:tc>
        <w:tc>
          <w:tcPr>
            <w:tcW w:w="957" w:type="dxa"/>
            <w:tcBorders>
              <w:top w:val="single" w:color="auto" w:sz="4" w:space="0"/>
              <w:left w:val="single" w:color="auto" w:sz="4" w:space="0"/>
              <w:bottom w:val="single" w:color="auto" w:sz="4" w:space="0"/>
              <w:right w:val="single" w:color="auto" w:sz="4" w:space="0"/>
            </w:tcBorders>
          </w:tcPr>
          <w:p w14:paraId="0B2A2445">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个</w:t>
            </w:r>
          </w:p>
        </w:tc>
        <w:tc>
          <w:tcPr>
            <w:tcW w:w="1120" w:type="dxa"/>
            <w:tcBorders>
              <w:top w:val="single" w:color="auto" w:sz="4" w:space="0"/>
              <w:left w:val="single" w:color="auto" w:sz="4" w:space="0"/>
              <w:bottom w:val="single" w:color="auto" w:sz="4" w:space="0"/>
              <w:right w:val="single" w:color="auto" w:sz="4" w:space="0"/>
            </w:tcBorders>
          </w:tcPr>
          <w:p w14:paraId="15A1E4A3">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1EA594DE">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787268F1">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56C47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1E06611F">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w:t>
            </w:r>
          </w:p>
        </w:tc>
        <w:tc>
          <w:tcPr>
            <w:tcW w:w="1607" w:type="dxa"/>
            <w:tcBorders>
              <w:top w:val="single" w:color="auto" w:sz="4" w:space="0"/>
              <w:left w:val="single" w:color="auto" w:sz="4" w:space="0"/>
              <w:bottom w:val="single" w:color="auto" w:sz="4" w:space="0"/>
              <w:right w:val="single" w:color="auto" w:sz="4" w:space="0"/>
            </w:tcBorders>
          </w:tcPr>
          <w:p w14:paraId="38B688E3">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石粉</w:t>
            </w:r>
            <w:r>
              <w:rPr>
                <w:rFonts w:hint="eastAsia" w:ascii="宋体" w:hAnsi="宋体" w:eastAsia="宋体" w:cs="宋体"/>
                <w:color w:val="000000" w:themeColor="text1"/>
                <w:sz w:val="21"/>
                <w:szCs w:val="21"/>
                <w:lang w:val="en-US" w:eastAsia="zh-CN"/>
                <w14:textFill>
                  <w14:solidFill>
                    <w14:schemeClr w14:val="tx1"/>
                  </w14:solidFill>
                </w14:textFill>
              </w:rPr>
              <w:t>筒仓</w:t>
            </w:r>
          </w:p>
        </w:tc>
        <w:tc>
          <w:tcPr>
            <w:tcW w:w="1309" w:type="dxa"/>
            <w:tcBorders>
              <w:top w:val="single" w:color="auto" w:sz="4" w:space="0"/>
              <w:left w:val="single" w:color="auto" w:sz="4" w:space="0"/>
              <w:bottom w:val="single" w:color="auto" w:sz="4" w:space="0"/>
              <w:right w:val="single" w:color="auto" w:sz="4" w:space="0"/>
            </w:tcBorders>
          </w:tcPr>
          <w:p w14:paraId="67DEDE87">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35m</w:t>
            </w:r>
            <w:r>
              <w:rPr>
                <w:rFonts w:hint="eastAsia" w:ascii="宋体" w:hAnsi="宋体" w:eastAsia="宋体" w:cs="宋体"/>
                <w:b w:val="0"/>
                <w:bCs w:val="0"/>
                <w:color w:val="000000" w:themeColor="text1"/>
                <w:sz w:val="21"/>
                <w:szCs w:val="21"/>
                <w:vertAlign w:val="superscript"/>
                <w:lang w:val="en-US" w:eastAsia="zh-CN"/>
                <w14:textFill>
                  <w14:solidFill>
                    <w14:schemeClr w14:val="tx1"/>
                  </w14:solidFill>
                </w14:textFill>
              </w:rPr>
              <w:t>3</w:t>
            </w:r>
          </w:p>
        </w:tc>
        <w:tc>
          <w:tcPr>
            <w:tcW w:w="957" w:type="dxa"/>
            <w:tcBorders>
              <w:top w:val="single" w:color="auto" w:sz="4" w:space="0"/>
              <w:left w:val="single" w:color="auto" w:sz="4" w:space="0"/>
              <w:bottom w:val="single" w:color="auto" w:sz="4" w:space="0"/>
              <w:right w:val="single" w:color="auto" w:sz="4" w:space="0"/>
            </w:tcBorders>
          </w:tcPr>
          <w:p w14:paraId="3433000F">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个</w:t>
            </w:r>
          </w:p>
        </w:tc>
        <w:tc>
          <w:tcPr>
            <w:tcW w:w="1120" w:type="dxa"/>
            <w:tcBorders>
              <w:top w:val="single" w:color="auto" w:sz="4" w:space="0"/>
              <w:left w:val="single" w:color="auto" w:sz="4" w:space="0"/>
              <w:bottom w:val="single" w:color="auto" w:sz="4" w:space="0"/>
              <w:right w:val="single" w:color="auto" w:sz="4" w:space="0"/>
            </w:tcBorders>
          </w:tcPr>
          <w:p w14:paraId="06D71841">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451D67FF">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4FD05F40">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58FC9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7A68B14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6</w:t>
            </w:r>
          </w:p>
        </w:tc>
        <w:tc>
          <w:tcPr>
            <w:tcW w:w="1607" w:type="dxa"/>
            <w:tcBorders>
              <w:top w:val="single" w:color="auto" w:sz="4" w:space="0"/>
              <w:left w:val="single" w:color="auto" w:sz="4" w:space="0"/>
              <w:bottom w:val="single" w:color="auto" w:sz="4" w:space="0"/>
              <w:right w:val="single" w:color="auto" w:sz="4" w:space="0"/>
            </w:tcBorders>
          </w:tcPr>
          <w:p w14:paraId="719F27C7">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抽水泵</w:t>
            </w:r>
          </w:p>
        </w:tc>
        <w:tc>
          <w:tcPr>
            <w:tcW w:w="1309" w:type="dxa"/>
            <w:tcBorders>
              <w:top w:val="single" w:color="auto" w:sz="4" w:space="0"/>
              <w:left w:val="single" w:color="auto" w:sz="4" w:space="0"/>
              <w:bottom w:val="single" w:color="auto" w:sz="4" w:space="0"/>
              <w:right w:val="single" w:color="auto" w:sz="4" w:space="0"/>
            </w:tcBorders>
          </w:tcPr>
          <w:p w14:paraId="79BC0CC3">
            <w:pPr>
              <w:spacing w:line="400" w:lineRule="exact"/>
              <w:jc w:val="cente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2KW、12.5m</w:t>
            </w:r>
            <w:r>
              <w:rPr>
                <w:rFonts w:hint="eastAsia" w:ascii="宋体" w:hAnsi="宋体" w:eastAsia="宋体" w:cs="宋体"/>
                <w:b w:val="0"/>
                <w:bCs w:val="0"/>
                <w:color w:val="000000" w:themeColor="text1"/>
                <w:sz w:val="21"/>
                <w:szCs w:val="21"/>
                <w:vertAlign w:val="superscript"/>
                <w:lang w:val="en-US" w:eastAsia="zh-CN"/>
                <w14:textFill>
                  <w14:solidFill>
                    <w14:schemeClr w14:val="tx1"/>
                  </w14:solidFill>
                </w14:textFill>
              </w:rPr>
              <w:t>3</w:t>
            </w: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/h</w:t>
            </w:r>
          </w:p>
        </w:tc>
        <w:tc>
          <w:tcPr>
            <w:tcW w:w="957" w:type="dxa"/>
            <w:tcBorders>
              <w:top w:val="single" w:color="auto" w:sz="4" w:space="0"/>
              <w:left w:val="single" w:color="auto" w:sz="4" w:space="0"/>
              <w:bottom w:val="single" w:color="auto" w:sz="4" w:space="0"/>
              <w:right w:val="single" w:color="auto" w:sz="4" w:space="0"/>
            </w:tcBorders>
          </w:tcPr>
          <w:p w14:paraId="70BF15FF">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台</w:t>
            </w:r>
          </w:p>
        </w:tc>
        <w:tc>
          <w:tcPr>
            <w:tcW w:w="1120" w:type="dxa"/>
            <w:tcBorders>
              <w:top w:val="single" w:color="auto" w:sz="4" w:space="0"/>
              <w:left w:val="single" w:color="auto" w:sz="4" w:space="0"/>
              <w:bottom w:val="single" w:color="auto" w:sz="4" w:space="0"/>
              <w:right w:val="single" w:color="auto" w:sz="4" w:space="0"/>
            </w:tcBorders>
          </w:tcPr>
          <w:p w14:paraId="6E41396C">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75A1A924">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45A66391">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33B02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031D2349">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7</w:t>
            </w:r>
          </w:p>
        </w:tc>
        <w:tc>
          <w:tcPr>
            <w:tcW w:w="1607" w:type="dxa"/>
            <w:tcBorders>
              <w:top w:val="single" w:color="auto" w:sz="4" w:space="0"/>
              <w:left w:val="single" w:color="auto" w:sz="4" w:space="0"/>
              <w:bottom w:val="single" w:color="auto" w:sz="4" w:space="0"/>
              <w:right w:val="single" w:color="auto" w:sz="4" w:space="0"/>
            </w:tcBorders>
          </w:tcPr>
          <w:p w14:paraId="276CBDC9">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500L混料机</w:t>
            </w:r>
          </w:p>
        </w:tc>
        <w:tc>
          <w:tcPr>
            <w:tcW w:w="1309" w:type="dxa"/>
            <w:tcBorders>
              <w:top w:val="single" w:color="auto" w:sz="4" w:space="0"/>
              <w:left w:val="single" w:color="auto" w:sz="4" w:space="0"/>
              <w:bottom w:val="single" w:color="auto" w:sz="4" w:space="0"/>
              <w:right w:val="single" w:color="auto" w:sz="4" w:space="0"/>
            </w:tcBorders>
          </w:tcPr>
          <w:p w14:paraId="466C1175">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55KM</w:t>
            </w:r>
          </w:p>
        </w:tc>
        <w:tc>
          <w:tcPr>
            <w:tcW w:w="957" w:type="dxa"/>
            <w:tcBorders>
              <w:top w:val="single" w:color="auto" w:sz="4" w:space="0"/>
              <w:left w:val="single" w:color="auto" w:sz="4" w:space="0"/>
              <w:bottom w:val="single" w:color="auto" w:sz="4" w:space="0"/>
              <w:right w:val="single" w:color="auto" w:sz="4" w:space="0"/>
            </w:tcBorders>
          </w:tcPr>
          <w:p w14:paraId="22A469C9">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套</w:t>
            </w:r>
          </w:p>
        </w:tc>
        <w:tc>
          <w:tcPr>
            <w:tcW w:w="1120" w:type="dxa"/>
            <w:tcBorders>
              <w:top w:val="single" w:color="auto" w:sz="4" w:space="0"/>
              <w:left w:val="single" w:color="auto" w:sz="4" w:space="0"/>
              <w:bottom w:val="single" w:color="auto" w:sz="4" w:space="0"/>
              <w:right w:val="single" w:color="auto" w:sz="4" w:space="0"/>
            </w:tcBorders>
          </w:tcPr>
          <w:p w14:paraId="6A9A74E8">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3CB19074">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1281BAB2">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6C956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72211B10">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8</w:t>
            </w:r>
          </w:p>
        </w:tc>
        <w:tc>
          <w:tcPr>
            <w:tcW w:w="1607" w:type="dxa"/>
            <w:tcBorders>
              <w:top w:val="single" w:color="auto" w:sz="4" w:space="0"/>
              <w:left w:val="single" w:color="auto" w:sz="4" w:space="0"/>
              <w:bottom w:val="single" w:color="auto" w:sz="4" w:space="0"/>
              <w:right w:val="single" w:color="auto" w:sz="4" w:space="0"/>
            </w:tcBorders>
          </w:tcPr>
          <w:p w14:paraId="304C199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网箱</w:t>
            </w:r>
          </w:p>
        </w:tc>
        <w:tc>
          <w:tcPr>
            <w:tcW w:w="1309" w:type="dxa"/>
            <w:tcBorders>
              <w:top w:val="single" w:color="auto" w:sz="4" w:space="0"/>
              <w:left w:val="single" w:color="auto" w:sz="4" w:space="0"/>
              <w:bottom w:val="single" w:color="auto" w:sz="4" w:space="0"/>
              <w:right w:val="single" w:color="auto" w:sz="4" w:space="0"/>
            </w:tcBorders>
          </w:tcPr>
          <w:p w14:paraId="77A51B7E">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50m</w:t>
            </w:r>
            <w:r>
              <w:rPr>
                <w:rFonts w:hint="eastAsia" w:ascii="宋体" w:hAnsi="宋体" w:eastAsia="宋体" w:cs="宋体"/>
                <w:b w:val="0"/>
                <w:bCs w:val="0"/>
                <w:color w:val="000000" w:themeColor="text1"/>
                <w:sz w:val="21"/>
                <w:szCs w:val="21"/>
                <w:vertAlign w:val="superscript"/>
                <w:lang w:val="en-US" w:eastAsia="zh-CN"/>
                <w14:textFill>
                  <w14:solidFill>
                    <w14:schemeClr w14:val="tx1"/>
                  </w14:solidFill>
                </w14:textFill>
              </w:rPr>
              <w:t>3</w:t>
            </w:r>
          </w:p>
        </w:tc>
        <w:tc>
          <w:tcPr>
            <w:tcW w:w="957" w:type="dxa"/>
            <w:tcBorders>
              <w:top w:val="single" w:color="auto" w:sz="4" w:space="0"/>
              <w:left w:val="single" w:color="auto" w:sz="4" w:space="0"/>
              <w:bottom w:val="single" w:color="auto" w:sz="4" w:space="0"/>
              <w:right w:val="single" w:color="auto" w:sz="4" w:space="0"/>
            </w:tcBorders>
          </w:tcPr>
          <w:p w14:paraId="6CA393A5">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套</w:t>
            </w:r>
          </w:p>
        </w:tc>
        <w:tc>
          <w:tcPr>
            <w:tcW w:w="1120" w:type="dxa"/>
            <w:tcBorders>
              <w:top w:val="single" w:color="auto" w:sz="4" w:space="0"/>
              <w:left w:val="single" w:color="auto" w:sz="4" w:space="0"/>
              <w:bottom w:val="single" w:color="auto" w:sz="4" w:space="0"/>
              <w:right w:val="single" w:color="auto" w:sz="4" w:space="0"/>
            </w:tcBorders>
          </w:tcPr>
          <w:p w14:paraId="35F05AE5">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41D439AE">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09301C88">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36AF3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3C146488">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9</w:t>
            </w:r>
          </w:p>
        </w:tc>
        <w:tc>
          <w:tcPr>
            <w:tcW w:w="1607" w:type="dxa"/>
            <w:tcBorders>
              <w:top w:val="single" w:color="auto" w:sz="4" w:space="0"/>
              <w:left w:val="single" w:color="auto" w:sz="4" w:space="0"/>
              <w:bottom w:val="single" w:color="auto" w:sz="4" w:space="0"/>
              <w:right w:val="single" w:color="auto" w:sz="4" w:space="0"/>
            </w:tcBorders>
          </w:tcPr>
          <w:p w14:paraId="4274754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成品切割机</w:t>
            </w:r>
          </w:p>
        </w:tc>
        <w:tc>
          <w:tcPr>
            <w:tcW w:w="1309" w:type="dxa"/>
            <w:tcBorders>
              <w:top w:val="single" w:color="auto" w:sz="4" w:space="0"/>
              <w:left w:val="single" w:color="auto" w:sz="4" w:space="0"/>
              <w:bottom w:val="single" w:color="auto" w:sz="4" w:space="0"/>
              <w:right w:val="single" w:color="auto" w:sz="4" w:space="0"/>
            </w:tcBorders>
          </w:tcPr>
          <w:p w14:paraId="6B6A0646">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957" w:type="dxa"/>
            <w:tcBorders>
              <w:top w:val="single" w:color="auto" w:sz="4" w:space="0"/>
              <w:left w:val="single" w:color="auto" w:sz="4" w:space="0"/>
              <w:bottom w:val="single" w:color="auto" w:sz="4" w:space="0"/>
              <w:right w:val="single" w:color="auto" w:sz="4" w:space="0"/>
            </w:tcBorders>
          </w:tcPr>
          <w:p w14:paraId="1A56096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台</w:t>
            </w:r>
          </w:p>
        </w:tc>
        <w:tc>
          <w:tcPr>
            <w:tcW w:w="1120" w:type="dxa"/>
            <w:tcBorders>
              <w:top w:val="single" w:color="auto" w:sz="4" w:space="0"/>
              <w:left w:val="single" w:color="auto" w:sz="4" w:space="0"/>
              <w:bottom w:val="single" w:color="auto" w:sz="4" w:space="0"/>
              <w:right w:val="single" w:color="auto" w:sz="4" w:space="0"/>
            </w:tcBorders>
          </w:tcPr>
          <w:p w14:paraId="5B9817E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2899409F">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3212D8E1">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5B074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52AD681B">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10</w:t>
            </w:r>
          </w:p>
        </w:tc>
        <w:tc>
          <w:tcPr>
            <w:tcW w:w="1607" w:type="dxa"/>
            <w:tcBorders>
              <w:top w:val="single" w:color="auto" w:sz="4" w:space="0"/>
              <w:left w:val="single" w:color="auto" w:sz="4" w:space="0"/>
              <w:bottom w:val="single" w:color="auto" w:sz="4" w:space="0"/>
              <w:right w:val="single" w:color="auto" w:sz="4" w:space="0"/>
            </w:tcBorders>
          </w:tcPr>
          <w:p w14:paraId="648336A8">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单螺杆挤出机</w:t>
            </w:r>
          </w:p>
        </w:tc>
        <w:tc>
          <w:tcPr>
            <w:tcW w:w="1309" w:type="dxa"/>
            <w:tcBorders>
              <w:top w:val="single" w:color="auto" w:sz="4" w:space="0"/>
              <w:left w:val="single" w:color="auto" w:sz="4" w:space="0"/>
              <w:bottom w:val="single" w:color="auto" w:sz="4" w:space="0"/>
              <w:right w:val="single" w:color="auto" w:sz="4" w:space="0"/>
            </w:tcBorders>
          </w:tcPr>
          <w:p w14:paraId="31E32349">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30KM</w:t>
            </w:r>
          </w:p>
        </w:tc>
        <w:tc>
          <w:tcPr>
            <w:tcW w:w="957" w:type="dxa"/>
            <w:tcBorders>
              <w:top w:val="single" w:color="auto" w:sz="4" w:space="0"/>
              <w:left w:val="single" w:color="auto" w:sz="4" w:space="0"/>
              <w:bottom w:val="single" w:color="auto" w:sz="4" w:space="0"/>
              <w:right w:val="single" w:color="auto" w:sz="4" w:space="0"/>
            </w:tcBorders>
          </w:tcPr>
          <w:p w14:paraId="7A5D69D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套</w:t>
            </w:r>
          </w:p>
        </w:tc>
        <w:tc>
          <w:tcPr>
            <w:tcW w:w="1120" w:type="dxa"/>
            <w:tcBorders>
              <w:top w:val="single" w:color="auto" w:sz="4" w:space="0"/>
              <w:left w:val="single" w:color="auto" w:sz="4" w:space="0"/>
              <w:bottom w:val="single" w:color="auto" w:sz="4" w:space="0"/>
              <w:right w:val="single" w:color="auto" w:sz="4" w:space="0"/>
            </w:tcBorders>
          </w:tcPr>
          <w:p w14:paraId="6F71A4F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539ECE19">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2D173327">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75535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11BCB28B">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11</w:t>
            </w:r>
          </w:p>
        </w:tc>
        <w:tc>
          <w:tcPr>
            <w:tcW w:w="1607" w:type="dxa"/>
            <w:tcBorders>
              <w:top w:val="single" w:color="auto" w:sz="4" w:space="0"/>
              <w:left w:val="single" w:color="auto" w:sz="4" w:space="0"/>
              <w:bottom w:val="single" w:color="auto" w:sz="4" w:space="0"/>
              <w:right w:val="single" w:color="auto" w:sz="4" w:space="0"/>
            </w:tcBorders>
          </w:tcPr>
          <w:p w14:paraId="5436F592">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化料桶</w:t>
            </w:r>
          </w:p>
        </w:tc>
        <w:tc>
          <w:tcPr>
            <w:tcW w:w="1309" w:type="dxa"/>
            <w:tcBorders>
              <w:top w:val="single" w:color="auto" w:sz="4" w:space="0"/>
              <w:left w:val="single" w:color="auto" w:sz="4" w:space="0"/>
              <w:bottom w:val="single" w:color="auto" w:sz="4" w:space="0"/>
              <w:right w:val="single" w:color="auto" w:sz="4" w:space="0"/>
            </w:tcBorders>
          </w:tcPr>
          <w:p w14:paraId="60F4AE4E">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957" w:type="dxa"/>
            <w:tcBorders>
              <w:top w:val="single" w:color="auto" w:sz="4" w:space="0"/>
              <w:left w:val="single" w:color="auto" w:sz="4" w:space="0"/>
              <w:bottom w:val="single" w:color="auto" w:sz="4" w:space="0"/>
              <w:right w:val="single" w:color="auto" w:sz="4" w:space="0"/>
            </w:tcBorders>
          </w:tcPr>
          <w:p w14:paraId="6EE7C71E">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个</w:t>
            </w:r>
          </w:p>
        </w:tc>
        <w:tc>
          <w:tcPr>
            <w:tcW w:w="1120" w:type="dxa"/>
            <w:tcBorders>
              <w:top w:val="single" w:color="auto" w:sz="4" w:space="0"/>
              <w:left w:val="single" w:color="auto" w:sz="4" w:space="0"/>
              <w:bottom w:val="single" w:color="auto" w:sz="4" w:space="0"/>
              <w:right w:val="single" w:color="auto" w:sz="4" w:space="0"/>
            </w:tcBorders>
          </w:tcPr>
          <w:p w14:paraId="54DFFCC5">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w:t>
            </w:r>
          </w:p>
        </w:tc>
        <w:tc>
          <w:tcPr>
            <w:tcW w:w="1373" w:type="dxa"/>
            <w:tcBorders>
              <w:top w:val="single" w:color="auto" w:sz="4" w:space="0"/>
              <w:left w:val="single" w:color="auto" w:sz="4" w:space="0"/>
              <w:bottom w:val="single" w:color="auto" w:sz="4" w:space="0"/>
              <w:right w:val="single" w:color="auto" w:sz="4" w:space="0"/>
            </w:tcBorders>
          </w:tcPr>
          <w:p w14:paraId="390597C7">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75EB09AB">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222CB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3D45C531">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12</w:t>
            </w:r>
          </w:p>
        </w:tc>
        <w:tc>
          <w:tcPr>
            <w:tcW w:w="1607" w:type="dxa"/>
            <w:tcBorders>
              <w:top w:val="single" w:color="auto" w:sz="4" w:space="0"/>
              <w:left w:val="single" w:color="auto" w:sz="4" w:space="0"/>
              <w:bottom w:val="single" w:color="auto" w:sz="4" w:space="0"/>
              <w:right w:val="single" w:color="auto" w:sz="4" w:space="0"/>
            </w:tcBorders>
          </w:tcPr>
          <w:p w14:paraId="2D376600">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打料桶</w:t>
            </w:r>
          </w:p>
        </w:tc>
        <w:tc>
          <w:tcPr>
            <w:tcW w:w="1309" w:type="dxa"/>
            <w:tcBorders>
              <w:top w:val="single" w:color="auto" w:sz="4" w:space="0"/>
              <w:left w:val="single" w:color="auto" w:sz="4" w:space="0"/>
              <w:bottom w:val="single" w:color="auto" w:sz="4" w:space="0"/>
              <w:right w:val="single" w:color="auto" w:sz="4" w:space="0"/>
            </w:tcBorders>
          </w:tcPr>
          <w:p w14:paraId="25BB7F12">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957" w:type="dxa"/>
            <w:tcBorders>
              <w:top w:val="single" w:color="auto" w:sz="4" w:space="0"/>
              <w:left w:val="single" w:color="auto" w:sz="4" w:space="0"/>
              <w:bottom w:val="single" w:color="auto" w:sz="4" w:space="0"/>
              <w:right w:val="single" w:color="auto" w:sz="4" w:space="0"/>
            </w:tcBorders>
          </w:tcPr>
          <w:p w14:paraId="22560DEF">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个</w:t>
            </w:r>
          </w:p>
        </w:tc>
        <w:tc>
          <w:tcPr>
            <w:tcW w:w="1120" w:type="dxa"/>
            <w:tcBorders>
              <w:top w:val="single" w:color="auto" w:sz="4" w:space="0"/>
              <w:left w:val="single" w:color="auto" w:sz="4" w:space="0"/>
              <w:bottom w:val="single" w:color="auto" w:sz="4" w:space="0"/>
              <w:right w:val="single" w:color="auto" w:sz="4" w:space="0"/>
            </w:tcBorders>
          </w:tcPr>
          <w:p w14:paraId="5D8A0820">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w:t>
            </w:r>
          </w:p>
        </w:tc>
        <w:tc>
          <w:tcPr>
            <w:tcW w:w="1373" w:type="dxa"/>
            <w:tcBorders>
              <w:top w:val="single" w:color="auto" w:sz="4" w:space="0"/>
              <w:left w:val="single" w:color="auto" w:sz="4" w:space="0"/>
              <w:bottom w:val="single" w:color="auto" w:sz="4" w:space="0"/>
              <w:right w:val="single" w:color="auto" w:sz="4" w:space="0"/>
            </w:tcBorders>
          </w:tcPr>
          <w:p w14:paraId="243F98F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12494473">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66827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46416C0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13</w:t>
            </w:r>
          </w:p>
        </w:tc>
        <w:tc>
          <w:tcPr>
            <w:tcW w:w="1607" w:type="dxa"/>
            <w:tcBorders>
              <w:top w:val="single" w:color="auto" w:sz="4" w:space="0"/>
              <w:left w:val="single" w:color="auto" w:sz="4" w:space="0"/>
              <w:bottom w:val="single" w:color="auto" w:sz="4" w:space="0"/>
              <w:right w:val="single" w:color="auto" w:sz="4" w:space="0"/>
            </w:tcBorders>
          </w:tcPr>
          <w:p w14:paraId="06D4F313">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传输带</w:t>
            </w:r>
          </w:p>
        </w:tc>
        <w:tc>
          <w:tcPr>
            <w:tcW w:w="1309" w:type="dxa"/>
            <w:tcBorders>
              <w:top w:val="single" w:color="auto" w:sz="4" w:space="0"/>
              <w:left w:val="single" w:color="auto" w:sz="4" w:space="0"/>
              <w:bottom w:val="single" w:color="auto" w:sz="4" w:space="0"/>
              <w:right w:val="single" w:color="auto" w:sz="4" w:space="0"/>
            </w:tcBorders>
          </w:tcPr>
          <w:p w14:paraId="3BF4C371">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957" w:type="dxa"/>
            <w:tcBorders>
              <w:top w:val="single" w:color="auto" w:sz="4" w:space="0"/>
              <w:left w:val="single" w:color="auto" w:sz="4" w:space="0"/>
              <w:bottom w:val="single" w:color="auto" w:sz="4" w:space="0"/>
              <w:right w:val="single" w:color="auto" w:sz="4" w:space="0"/>
            </w:tcBorders>
          </w:tcPr>
          <w:p w14:paraId="155B155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个</w:t>
            </w:r>
          </w:p>
        </w:tc>
        <w:tc>
          <w:tcPr>
            <w:tcW w:w="1120" w:type="dxa"/>
            <w:tcBorders>
              <w:top w:val="single" w:color="auto" w:sz="4" w:space="0"/>
              <w:left w:val="single" w:color="auto" w:sz="4" w:space="0"/>
              <w:bottom w:val="single" w:color="auto" w:sz="4" w:space="0"/>
              <w:right w:val="single" w:color="auto" w:sz="4" w:space="0"/>
            </w:tcBorders>
          </w:tcPr>
          <w:p w14:paraId="51856A54">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w:t>
            </w:r>
          </w:p>
        </w:tc>
        <w:tc>
          <w:tcPr>
            <w:tcW w:w="1373" w:type="dxa"/>
            <w:tcBorders>
              <w:top w:val="single" w:color="auto" w:sz="4" w:space="0"/>
              <w:left w:val="single" w:color="auto" w:sz="4" w:space="0"/>
              <w:bottom w:val="single" w:color="auto" w:sz="4" w:space="0"/>
              <w:right w:val="single" w:color="auto" w:sz="4" w:space="0"/>
            </w:tcBorders>
          </w:tcPr>
          <w:p w14:paraId="08458DF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0C0F5C48">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4D7C2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21EE6D47">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14</w:t>
            </w:r>
          </w:p>
        </w:tc>
        <w:tc>
          <w:tcPr>
            <w:tcW w:w="1607" w:type="dxa"/>
            <w:tcBorders>
              <w:top w:val="single" w:color="auto" w:sz="4" w:space="0"/>
              <w:left w:val="single" w:color="auto" w:sz="4" w:space="0"/>
              <w:bottom w:val="single" w:color="auto" w:sz="4" w:space="0"/>
              <w:right w:val="single" w:color="auto" w:sz="4" w:space="0"/>
            </w:tcBorders>
          </w:tcPr>
          <w:p w14:paraId="3D303A7C">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真空成型机</w:t>
            </w:r>
          </w:p>
        </w:tc>
        <w:tc>
          <w:tcPr>
            <w:tcW w:w="1309" w:type="dxa"/>
            <w:tcBorders>
              <w:top w:val="single" w:color="auto" w:sz="4" w:space="0"/>
              <w:left w:val="single" w:color="auto" w:sz="4" w:space="0"/>
              <w:bottom w:val="single" w:color="auto" w:sz="4" w:space="0"/>
              <w:right w:val="single" w:color="auto" w:sz="4" w:space="0"/>
            </w:tcBorders>
          </w:tcPr>
          <w:p w14:paraId="1DAED300">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957" w:type="dxa"/>
            <w:tcBorders>
              <w:top w:val="single" w:color="auto" w:sz="4" w:space="0"/>
              <w:left w:val="single" w:color="auto" w:sz="4" w:space="0"/>
              <w:bottom w:val="single" w:color="auto" w:sz="4" w:space="0"/>
              <w:right w:val="single" w:color="auto" w:sz="4" w:space="0"/>
            </w:tcBorders>
          </w:tcPr>
          <w:p w14:paraId="54FD3EA4">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套</w:t>
            </w:r>
          </w:p>
        </w:tc>
        <w:tc>
          <w:tcPr>
            <w:tcW w:w="1120" w:type="dxa"/>
            <w:tcBorders>
              <w:top w:val="single" w:color="auto" w:sz="4" w:space="0"/>
              <w:left w:val="single" w:color="auto" w:sz="4" w:space="0"/>
              <w:bottom w:val="single" w:color="auto" w:sz="4" w:space="0"/>
              <w:right w:val="single" w:color="auto" w:sz="4" w:space="0"/>
            </w:tcBorders>
          </w:tcPr>
          <w:p w14:paraId="4435EF89">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63E116E8">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5804CD4E">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090C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2CA03D10">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15</w:t>
            </w:r>
          </w:p>
        </w:tc>
        <w:tc>
          <w:tcPr>
            <w:tcW w:w="1607" w:type="dxa"/>
            <w:tcBorders>
              <w:top w:val="single" w:color="auto" w:sz="4" w:space="0"/>
              <w:left w:val="single" w:color="auto" w:sz="4" w:space="0"/>
              <w:bottom w:val="single" w:color="auto" w:sz="4" w:space="0"/>
              <w:right w:val="single" w:color="auto" w:sz="4" w:space="0"/>
            </w:tcBorders>
          </w:tcPr>
          <w:p w14:paraId="38832435">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回料桶</w:t>
            </w:r>
          </w:p>
        </w:tc>
        <w:tc>
          <w:tcPr>
            <w:tcW w:w="1309" w:type="dxa"/>
            <w:tcBorders>
              <w:top w:val="single" w:color="auto" w:sz="4" w:space="0"/>
              <w:left w:val="single" w:color="auto" w:sz="4" w:space="0"/>
              <w:bottom w:val="single" w:color="auto" w:sz="4" w:space="0"/>
              <w:right w:val="single" w:color="auto" w:sz="4" w:space="0"/>
            </w:tcBorders>
          </w:tcPr>
          <w:p w14:paraId="25A52D0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957" w:type="dxa"/>
            <w:tcBorders>
              <w:top w:val="single" w:color="auto" w:sz="4" w:space="0"/>
              <w:left w:val="single" w:color="auto" w:sz="4" w:space="0"/>
              <w:bottom w:val="single" w:color="auto" w:sz="4" w:space="0"/>
              <w:right w:val="single" w:color="auto" w:sz="4" w:space="0"/>
            </w:tcBorders>
          </w:tcPr>
          <w:p w14:paraId="3FF8683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个</w:t>
            </w:r>
          </w:p>
        </w:tc>
        <w:tc>
          <w:tcPr>
            <w:tcW w:w="1120" w:type="dxa"/>
            <w:tcBorders>
              <w:top w:val="single" w:color="auto" w:sz="4" w:space="0"/>
              <w:left w:val="single" w:color="auto" w:sz="4" w:space="0"/>
              <w:bottom w:val="single" w:color="auto" w:sz="4" w:space="0"/>
              <w:right w:val="single" w:color="auto" w:sz="4" w:space="0"/>
            </w:tcBorders>
          </w:tcPr>
          <w:p w14:paraId="3858E26F">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w:t>
            </w:r>
          </w:p>
        </w:tc>
        <w:tc>
          <w:tcPr>
            <w:tcW w:w="1373" w:type="dxa"/>
            <w:tcBorders>
              <w:top w:val="single" w:color="auto" w:sz="4" w:space="0"/>
              <w:left w:val="single" w:color="auto" w:sz="4" w:space="0"/>
              <w:bottom w:val="single" w:color="auto" w:sz="4" w:space="0"/>
              <w:right w:val="single" w:color="auto" w:sz="4" w:space="0"/>
            </w:tcBorders>
          </w:tcPr>
          <w:p w14:paraId="2951DC6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5F08C178">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02C6B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1DBDD70D">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16</w:t>
            </w:r>
          </w:p>
        </w:tc>
        <w:tc>
          <w:tcPr>
            <w:tcW w:w="1607" w:type="dxa"/>
            <w:tcBorders>
              <w:top w:val="single" w:color="auto" w:sz="4" w:space="0"/>
              <w:left w:val="single" w:color="auto" w:sz="4" w:space="0"/>
              <w:bottom w:val="single" w:color="auto" w:sz="4" w:space="0"/>
              <w:right w:val="single" w:color="auto" w:sz="4" w:space="0"/>
            </w:tcBorders>
          </w:tcPr>
          <w:p w14:paraId="23AEB0E3">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空压机</w:t>
            </w:r>
          </w:p>
        </w:tc>
        <w:tc>
          <w:tcPr>
            <w:tcW w:w="1309" w:type="dxa"/>
            <w:tcBorders>
              <w:top w:val="single" w:color="auto" w:sz="4" w:space="0"/>
              <w:left w:val="single" w:color="auto" w:sz="4" w:space="0"/>
              <w:bottom w:val="single" w:color="auto" w:sz="4" w:space="0"/>
              <w:right w:val="single" w:color="auto" w:sz="4" w:space="0"/>
            </w:tcBorders>
          </w:tcPr>
          <w:p w14:paraId="6276E75E">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w:t>
            </w:r>
          </w:p>
        </w:tc>
        <w:tc>
          <w:tcPr>
            <w:tcW w:w="957" w:type="dxa"/>
            <w:tcBorders>
              <w:top w:val="single" w:color="auto" w:sz="4" w:space="0"/>
              <w:left w:val="single" w:color="auto" w:sz="4" w:space="0"/>
              <w:bottom w:val="single" w:color="auto" w:sz="4" w:space="0"/>
              <w:right w:val="single" w:color="auto" w:sz="4" w:space="0"/>
            </w:tcBorders>
          </w:tcPr>
          <w:p w14:paraId="376515C6">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台</w:t>
            </w:r>
          </w:p>
        </w:tc>
        <w:tc>
          <w:tcPr>
            <w:tcW w:w="1120" w:type="dxa"/>
            <w:tcBorders>
              <w:top w:val="single" w:color="auto" w:sz="4" w:space="0"/>
              <w:left w:val="single" w:color="auto" w:sz="4" w:space="0"/>
              <w:bottom w:val="single" w:color="auto" w:sz="4" w:space="0"/>
              <w:right w:val="single" w:color="auto" w:sz="4" w:space="0"/>
            </w:tcBorders>
          </w:tcPr>
          <w:p w14:paraId="30430520">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6C42FA1F">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150E7255">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4DDC2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0ECE61F9">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17</w:t>
            </w:r>
          </w:p>
        </w:tc>
        <w:tc>
          <w:tcPr>
            <w:tcW w:w="1607" w:type="dxa"/>
            <w:tcBorders>
              <w:top w:val="single" w:color="auto" w:sz="4" w:space="0"/>
              <w:left w:val="single" w:color="auto" w:sz="4" w:space="0"/>
              <w:bottom w:val="single" w:color="auto" w:sz="4" w:space="0"/>
              <w:right w:val="single" w:color="auto" w:sz="4" w:space="0"/>
            </w:tcBorders>
            <w:shd w:val="clear" w:color="auto" w:fill="auto"/>
            <w:vAlign w:val="center"/>
          </w:tcPr>
          <w:p w14:paraId="04E71A39">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行车</w:t>
            </w:r>
          </w:p>
        </w:tc>
        <w:tc>
          <w:tcPr>
            <w:tcW w:w="1309" w:type="dxa"/>
            <w:tcBorders>
              <w:top w:val="single" w:color="auto" w:sz="4" w:space="0"/>
              <w:left w:val="single" w:color="auto" w:sz="4" w:space="0"/>
              <w:bottom w:val="single" w:color="auto" w:sz="4" w:space="0"/>
              <w:right w:val="single" w:color="auto" w:sz="4" w:space="0"/>
            </w:tcBorders>
          </w:tcPr>
          <w:p w14:paraId="2CBBD1E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2.8T</w:t>
            </w:r>
          </w:p>
        </w:tc>
        <w:tc>
          <w:tcPr>
            <w:tcW w:w="957" w:type="dxa"/>
            <w:tcBorders>
              <w:top w:val="single" w:color="auto" w:sz="4" w:space="0"/>
              <w:left w:val="single" w:color="auto" w:sz="4" w:space="0"/>
              <w:bottom w:val="single" w:color="auto" w:sz="4" w:space="0"/>
              <w:right w:val="single" w:color="auto" w:sz="4" w:space="0"/>
            </w:tcBorders>
          </w:tcPr>
          <w:p w14:paraId="24384CF1">
            <w:pPr>
              <w:spacing w:line="400" w:lineRule="exact"/>
              <w:ind w:firstLine="210" w:firstLineChars="100"/>
              <w:jc w:val="both"/>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台</w:t>
            </w:r>
          </w:p>
        </w:tc>
        <w:tc>
          <w:tcPr>
            <w:tcW w:w="1120" w:type="dxa"/>
            <w:tcBorders>
              <w:top w:val="single" w:color="auto" w:sz="4" w:space="0"/>
              <w:left w:val="single" w:color="auto" w:sz="4" w:space="0"/>
              <w:bottom w:val="single" w:color="auto" w:sz="4" w:space="0"/>
              <w:right w:val="single" w:color="auto" w:sz="4" w:space="0"/>
            </w:tcBorders>
          </w:tcPr>
          <w:p w14:paraId="5B68C24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7E908118">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生产车间</w:t>
            </w:r>
          </w:p>
        </w:tc>
        <w:tc>
          <w:tcPr>
            <w:tcW w:w="1436" w:type="dxa"/>
            <w:tcBorders>
              <w:top w:val="single" w:color="auto" w:sz="4" w:space="0"/>
              <w:left w:val="single" w:color="auto" w:sz="4" w:space="0"/>
              <w:bottom w:val="single" w:color="auto" w:sz="4" w:space="0"/>
              <w:right w:val="single" w:color="auto" w:sz="4" w:space="0"/>
            </w:tcBorders>
          </w:tcPr>
          <w:p w14:paraId="663A12E9">
            <w:pPr>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p>
        </w:tc>
      </w:tr>
      <w:tr w14:paraId="1B948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642559DB">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18</w:t>
            </w:r>
          </w:p>
        </w:tc>
        <w:tc>
          <w:tcPr>
            <w:tcW w:w="1607" w:type="dxa"/>
            <w:tcBorders>
              <w:top w:val="single" w:color="auto" w:sz="4" w:space="0"/>
              <w:left w:val="single" w:color="auto" w:sz="4" w:space="0"/>
              <w:bottom w:val="single" w:color="auto" w:sz="4" w:space="0"/>
              <w:right w:val="single" w:color="auto" w:sz="4" w:space="0"/>
            </w:tcBorders>
            <w:shd w:val="clear" w:color="auto" w:fill="auto"/>
            <w:vAlign w:val="center"/>
          </w:tcPr>
          <w:p w14:paraId="0450C5E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叉车</w:t>
            </w:r>
          </w:p>
        </w:tc>
        <w:tc>
          <w:tcPr>
            <w:tcW w:w="1309" w:type="dxa"/>
            <w:tcBorders>
              <w:top w:val="single" w:color="auto" w:sz="4" w:space="0"/>
              <w:left w:val="single" w:color="auto" w:sz="4" w:space="0"/>
              <w:bottom w:val="single" w:color="auto" w:sz="4" w:space="0"/>
              <w:right w:val="single" w:color="auto" w:sz="4" w:space="0"/>
            </w:tcBorders>
          </w:tcPr>
          <w:p w14:paraId="5C05D70A">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合力30</w:t>
            </w:r>
          </w:p>
        </w:tc>
        <w:tc>
          <w:tcPr>
            <w:tcW w:w="957" w:type="dxa"/>
            <w:tcBorders>
              <w:top w:val="single" w:color="auto" w:sz="4" w:space="0"/>
              <w:left w:val="single" w:color="auto" w:sz="4" w:space="0"/>
              <w:bottom w:val="single" w:color="auto" w:sz="4" w:space="0"/>
              <w:right w:val="single" w:color="auto" w:sz="4" w:space="0"/>
            </w:tcBorders>
            <w:vAlign w:val="top"/>
          </w:tcPr>
          <w:p w14:paraId="6598CF1E">
            <w:pPr>
              <w:spacing w:line="400" w:lineRule="exact"/>
              <w:ind w:firstLine="210" w:firstLineChars="100"/>
              <w:jc w:val="both"/>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台</w:t>
            </w:r>
          </w:p>
        </w:tc>
        <w:tc>
          <w:tcPr>
            <w:tcW w:w="1120" w:type="dxa"/>
            <w:tcBorders>
              <w:top w:val="single" w:color="auto" w:sz="4" w:space="0"/>
              <w:left w:val="single" w:color="auto" w:sz="4" w:space="0"/>
              <w:bottom w:val="single" w:color="auto" w:sz="4" w:space="0"/>
              <w:right w:val="single" w:color="auto" w:sz="4" w:space="0"/>
            </w:tcBorders>
            <w:vAlign w:val="top"/>
          </w:tcPr>
          <w:p w14:paraId="566B3641">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137B99C3">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1436" w:type="dxa"/>
            <w:tcBorders>
              <w:top w:val="single" w:color="auto" w:sz="4" w:space="0"/>
              <w:left w:val="single" w:color="auto" w:sz="4" w:space="0"/>
              <w:bottom w:val="single" w:color="auto" w:sz="4" w:space="0"/>
              <w:right w:val="single" w:color="auto" w:sz="4" w:space="0"/>
            </w:tcBorders>
          </w:tcPr>
          <w:p w14:paraId="15693424">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特种设备</w:t>
            </w:r>
          </w:p>
        </w:tc>
      </w:tr>
      <w:tr w14:paraId="0C1E7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2" w:type="dxa"/>
            <w:tcBorders>
              <w:top w:val="single" w:color="auto" w:sz="4" w:space="0"/>
              <w:left w:val="single" w:color="auto" w:sz="4" w:space="0"/>
              <w:bottom w:val="single" w:color="auto" w:sz="4" w:space="0"/>
              <w:right w:val="single" w:color="auto" w:sz="4" w:space="0"/>
            </w:tcBorders>
          </w:tcPr>
          <w:p w14:paraId="1C6AF799">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bookmarkStart w:id="181" w:name="_Toc31150"/>
            <w:r>
              <w:rPr>
                <w:rFonts w:hint="eastAsia" w:ascii="宋体" w:hAnsi="宋体" w:eastAsia="宋体" w:cs="宋体"/>
                <w:b w:val="0"/>
                <w:bCs w:val="0"/>
                <w:color w:val="000000" w:themeColor="text1"/>
                <w:sz w:val="21"/>
                <w:szCs w:val="21"/>
                <w:lang w:val="en-US" w:eastAsia="zh-CN"/>
                <w14:textFill>
                  <w14:solidFill>
                    <w14:schemeClr w14:val="tx1"/>
                  </w14:solidFill>
                </w14:textFill>
              </w:rPr>
              <w:t>19</w:t>
            </w:r>
          </w:p>
        </w:tc>
        <w:tc>
          <w:tcPr>
            <w:tcW w:w="1607" w:type="dxa"/>
            <w:tcBorders>
              <w:top w:val="single" w:color="auto" w:sz="4" w:space="0"/>
              <w:left w:val="single" w:color="auto" w:sz="4" w:space="0"/>
              <w:bottom w:val="single" w:color="auto" w:sz="4" w:space="0"/>
              <w:right w:val="single" w:color="auto" w:sz="4" w:space="0"/>
            </w:tcBorders>
            <w:shd w:val="clear" w:color="auto" w:fill="auto"/>
            <w:vAlign w:val="center"/>
          </w:tcPr>
          <w:p w14:paraId="4A230CE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变压器</w:t>
            </w:r>
          </w:p>
        </w:tc>
        <w:tc>
          <w:tcPr>
            <w:tcW w:w="1309" w:type="dxa"/>
            <w:tcBorders>
              <w:top w:val="single" w:color="auto" w:sz="4" w:space="0"/>
              <w:left w:val="single" w:color="auto" w:sz="4" w:space="0"/>
              <w:bottom w:val="single" w:color="auto" w:sz="4" w:space="0"/>
              <w:right w:val="single" w:color="auto" w:sz="4" w:space="0"/>
            </w:tcBorders>
          </w:tcPr>
          <w:p w14:paraId="6DA803AB">
            <w:pPr>
              <w:spacing w:line="400" w:lineRule="exact"/>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250KVA</w:t>
            </w:r>
          </w:p>
        </w:tc>
        <w:tc>
          <w:tcPr>
            <w:tcW w:w="957" w:type="dxa"/>
            <w:tcBorders>
              <w:top w:val="single" w:color="auto" w:sz="4" w:space="0"/>
              <w:left w:val="single" w:color="auto" w:sz="4" w:space="0"/>
              <w:bottom w:val="single" w:color="auto" w:sz="4" w:space="0"/>
              <w:right w:val="single" w:color="auto" w:sz="4" w:space="0"/>
            </w:tcBorders>
            <w:vAlign w:val="top"/>
          </w:tcPr>
          <w:p w14:paraId="02309D1E">
            <w:pPr>
              <w:spacing w:line="400" w:lineRule="exact"/>
              <w:ind w:firstLine="210" w:firstLineChars="100"/>
              <w:jc w:val="both"/>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台</w:t>
            </w:r>
          </w:p>
        </w:tc>
        <w:tc>
          <w:tcPr>
            <w:tcW w:w="1120" w:type="dxa"/>
            <w:tcBorders>
              <w:top w:val="single" w:color="auto" w:sz="4" w:space="0"/>
              <w:left w:val="single" w:color="auto" w:sz="4" w:space="0"/>
              <w:bottom w:val="single" w:color="auto" w:sz="4" w:space="0"/>
              <w:right w:val="single" w:color="auto" w:sz="4" w:space="0"/>
            </w:tcBorders>
            <w:vAlign w:val="top"/>
          </w:tcPr>
          <w:p w14:paraId="5FED9F75">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w:t>
            </w:r>
          </w:p>
        </w:tc>
        <w:tc>
          <w:tcPr>
            <w:tcW w:w="1373" w:type="dxa"/>
            <w:tcBorders>
              <w:top w:val="single" w:color="auto" w:sz="4" w:space="0"/>
              <w:left w:val="single" w:color="auto" w:sz="4" w:space="0"/>
              <w:bottom w:val="single" w:color="auto" w:sz="4" w:space="0"/>
              <w:right w:val="single" w:color="auto" w:sz="4" w:space="0"/>
            </w:tcBorders>
          </w:tcPr>
          <w:p w14:paraId="7ED730A5">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1436" w:type="dxa"/>
            <w:tcBorders>
              <w:top w:val="single" w:color="auto" w:sz="4" w:space="0"/>
              <w:left w:val="single" w:color="auto" w:sz="4" w:space="0"/>
              <w:bottom w:val="single" w:color="auto" w:sz="4" w:space="0"/>
              <w:right w:val="single" w:color="auto" w:sz="4" w:space="0"/>
            </w:tcBorders>
          </w:tcPr>
          <w:p w14:paraId="0482F38E">
            <w:pPr>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r>
    </w:tbl>
    <w:p w14:paraId="64A79557">
      <w:pPr>
        <w:pStyle w:val="5"/>
        <w:rPr>
          <w:rFonts w:hint="eastAsia" w:ascii="Times New Roman" w:hAnsi="Times New Roman" w:cs="Times New Roman"/>
          <w:color w:val="000000" w:themeColor="text1"/>
          <w14:textFill>
            <w14:solidFill>
              <w14:schemeClr w14:val="tx1"/>
            </w14:solidFill>
          </w14:textFill>
        </w:rPr>
      </w:pPr>
      <w:bookmarkStart w:id="182" w:name="_Toc13712"/>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5</w:t>
      </w:r>
      <w:r>
        <w:rPr>
          <w:rFonts w:hint="eastAsia"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2</w:t>
      </w:r>
      <w:r>
        <w:rPr>
          <w:rFonts w:hint="eastAsia" w:ascii="Times New Roman" w:hAnsi="Times New Roman" w:cs="Times New Roman"/>
          <w:color w:val="000000" w:themeColor="text1"/>
          <w14:textFill>
            <w14:solidFill>
              <w14:schemeClr w14:val="tx1"/>
            </w14:solidFill>
          </w14:textFill>
        </w:rPr>
        <w:t>特种设备及强制检验设备</w:t>
      </w:r>
      <w:bookmarkEnd w:id="181"/>
      <w:bookmarkEnd w:id="182"/>
    </w:p>
    <w:p w14:paraId="4382A33B">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根据《特种设备安全监察条例》（国务院令第549号），该项目涉及的特种设备有：叉车，</w:t>
      </w:r>
      <w:r>
        <w:rPr>
          <w:rFonts w:hint="eastAsia" w:hAnsi="宋体" w:cs="宋体"/>
          <w:color w:val="000000" w:themeColor="text1"/>
          <w:sz w:val="28"/>
          <w:szCs w:val="28"/>
          <w:lang w:val="en-US" w:eastAsia="zh-CN"/>
          <w14:textFill>
            <w14:solidFill>
              <w14:schemeClr w14:val="tx1"/>
            </w14:solidFill>
          </w14:textFill>
        </w:rPr>
        <w:t>叉车已到南华县市场监督管理局进行登记，并取得特种设备使用登记证</w:t>
      </w:r>
      <w:r>
        <w:rPr>
          <w:rFonts w:hint="eastAsia" w:hAnsi="宋体" w:cs="宋体"/>
          <w:color w:val="000000" w:themeColor="text1"/>
          <w:sz w:val="28"/>
          <w:szCs w:val="28"/>
          <w:lang w:eastAsia="zh-CN"/>
          <w14:textFill>
            <w14:solidFill>
              <w14:schemeClr w14:val="tx1"/>
            </w14:solidFill>
          </w14:textFill>
        </w:rPr>
        <w:t>，</w:t>
      </w:r>
      <w:r>
        <w:rPr>
          <w:rFonts w:hint="eastAsia" w:hAnsi="宋体" w:cs="宋体"/>
          <w:color w:val="000000" w:themeColor="text1"/>
          <w:sz w:val="28"/>
          <w:szCs w:val="28"/>
          <w:lang w:val="en-US" w:eastAsia="zh-CN"/>
          <w14:textFill>
            <w14:solidFill>
              <w14:schemeClr w14:val="tx1"/>
            </w14:solidFill>
          </w14:textFill>
        </w:rPr>
        <w:t>已进行定期检验，使用登记证、</w:t>
      </w:r>
      <w:r>
        <w:rPr>
          <w:rFonts w:hint="eastAsia" w:ascii="宋体" w:hAnsi="宋体" w:cs="宋体"/>
          <w:color w:val="000000" w:themeColor="text1"/>
          <w:sz w:val="28"/>
          <w:szCs w:val="28"/>
          <w14:textFill>
            <w14:solidFill>
              <w14:schemeClr w14:val="tx1"/>
            </w14:solidFill>
          </w14:textFill>
        </w:rPr>
        <w:t>检</w:t>
      </w:r>
      <w:r>
        <w:rPr>
          <w:rFonts w:hint="eastAsia" w:hAnsi="宋体" w:cs="宋体"/>
          <w:color w:val="000000" w:themeColor="text1"/>
          <w:sz w:val="28"/>
          <w:szCs w:val="28"/>
          <w:lang w:val="en-US" w:eastAsia="zh-CN"/>
          <w14:textFill>
            <w14:solidFill>
              <w14:schemeClr w14:val="tx1"/>
            </w14:solidFill>
          </w14:textFill>
        </w:rPr>
        <w:t>验报告</w:t>
      </w:r>
      <w:r>
        <w:rPr>
          <w:rFonts w:hint="eastAsia" w:ascii="宋体" w:hAnsi="宋体" w:cs="宋体"/>
          <w:color w:val="000000" w:themeColor="text1"/>
          <w:sz w:val="28"/>
          <w:szCs w:val="28"/>
          <w14:textFill>
            <w14:solidFill>
              <w14:schemeClr w14:val="tx1"/>
            </w14:solidFill>
          </w14:textFill>
        </w:rPr>
        <w:t>等见附件。本项目特种设备</w:t>
      </w:r>
      <w:r>
        <w:rPr>
          <w:rFonts w:hint="eastAsia" w:hAnsi="宋体" w:cs="宋体"/>
          <w:color w:val="000000" w:themeColor="text1"/>
          <w:sz w:val="28"/>
          <w:szCs w:val="28"/>
          <w:lang w:val="en-US" w:eastAsia="zh-CN"/>
          <w14:textFill>
            <w14:solidFill>
              <w14:schemeClr w14:val="tx1"/>
            </w14:solidFill>
          </w14:textFill>
        </w:rPr>
        <w:t>见表2-4</w:t>
      </w:r>
      <w:r>
        <w:rPr>
          <w:rFonts w:hint="eastAsia" w:ascii="宋体" w:hAnsi="宋体" w:cs="宋体"/>
          <w:color w:val="000000" w:themeColor="text1"/>
          <w:sz w:val="28"/>
          <w:szCs w:val="28"/>
          <w14:textFill>
            <w14:solidFill>
              <w14:schemeClr w14:val="tx1"/>
            </w14:solidFill>
          </w14:textFill>
        </w:rPr>
        <w:t>。</w:t>
      </w:r>
    </w:p>
    <w:p w14:paraId="199E943F">
      <w:pPr>
        <w:pStyle w:val="355"/>
        <w:adjustRightInd w:val="0"/>
        <w:snapToGrid w:val="0"/>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表2-</w:t>
      </w:r>
      <w:r>
        <w:rPr>
          <w:rFonts w:hint="eastAsia" w:hAnsi="宋体" w:cs="宋体"/>
          <w:b/>
          <w:bCs/>
          <w:color w:val="000000" w:themeColor="text1"/>
          <w:sz w:val="24"/>
          <w:szCs w:val="24"/>
          <w:lang w:val="en-US" w:eastAsia="zh-CN"/>
          <w14:textFill>
            <w14:solidFill>
              <w14:schemeClr w14:val="tx1"/>
            </w14:solidFill>
          </w14:textFill>
        </w:rPr>
        <w:t>4</w:t>
      </w:r>
      <w:r>
        <w:rPr>
          <w:rFonts w:hint="eastAsia" w:ascii="宋体" w:hAnsi="宋体" w:cs="宋体"/>
          <w:b/>
          <w:bCs/>
          <w:color w:val="000000" w:themeColor="text1"/>
          <w:sz w:val="24"/>
          <w:szCs w:val="24"/>
          <w14:textFill>
            <w14:solidFill>
              <w14:schemeClr w14:val="tx1"/>
            </w14:solidFill>
          </w14:textFill>
        </w:rPr>
        <w:t xml:space="preserve"> 特种设备一览表</w:t>
      </w:r>
    </w:p>
    <w:tbl>
      <w:tblPr>
        <w:tblStyle w:val="53"/>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391"/>
        <w:gridCol w:w="885"/>
        <w:gridCol w:w="1073"/>
        <w:gridCol w:w="1612"/>
        <w:gridCol w:w="1470"/>
        <w:gridCol w:w="1470"/>
      </w:tblGrid>
      <w:tr w14:paraId="7DD32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center"/>
          </w:tcPr>
          <w:p w14:paraId="00BA4E75">
            <w:pPr>
              <w:pStyle w:val="356"/>
              <w:spacing w:line="240" w:lineRule="auto"/>
              <w:ind w:firstLine="0" w:firstLineChars="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序号</w:t>
            </w:r>
          </w:p>
        </w:tc>
        <w:tc>
          <w:tcPr>
            <w:tcW w:w="1391" w:type="dxa"/>
            <w:vAlign w:val="center"/>
          </w:tcPr>
          <w:p w14:paraId="15DC9153">
            <w:pPr>
              <w:pStyle w:val="356"/>
              <w:spacing w:line="240" w:lineRule="auto"/>
              <w:ind w:firstLine="0" w:firstLineChars="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名称</w:t>
            </w:r>
          </w:p>
        </w:tc>
        <w:tc>
          <w:tcPr>
            <w:tcW w:w="885" w:type="dxa"/>
            <w:vAlign w:val="center"/>
          </w:tcPr>
          <w:p w14:paraId="3CD0E09D">
            <w:pPr>
              <w:pStyle w:val="356"/>
              <w:spacing w:line="240" w:lineRule="auto"/>
              <w:ind w:firstLine="0" w:firstLineChars="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数量</w:t>
            </w:r>
          </w:p>
        </w:tc>
        <w:tc>
          <w:tcPr>
            <w:tcW w:w="1073" w:type="dxa"/>
            <w:vAlign w:val="center"/>
          </w:tcPr>
          <w:p w14:paraId="0B3201CD">
            <w:pPr>
              <w:pStyle w:val="356"/>
              <w:spacing w:line="240" w:lineRule="auto"/>
              <w:ind w:firstLine="0" w:firstLineChars="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型号</w:t>
            </w:r>
          </w:p>
        </w:tc>
        <w:tc>
          <w:tcPr>
            <w:tcW w:w="1612" w:type="dxa"/>
            <w:vAlign w:val="center"/>
          </w:tcPr>
          <w:p w14:paraId="0C630FA2">
            <w:pPr>
              <w:pStyle w:val="356"/>
              <w:spacing w:line="240" w:lineRule="auto"/>
              <w:ind w:firstLine="0" w:firstLineChars="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检测日期</w:t>
            </w:r>
          </w:p>
        </w:tc>
        <w:tc>
          <w:tcPr>
            <w:tcW w:w="1470" w:type="dxa"/>
            <w:vAlign w:val="center"/>
          </w:tcPr>
          <w:p w14:paraId="026820E8">
            <w:pPr>
              <w:pStyle w:val="356"/>
              <w:spacing w:line="240" w:lineRule="auto"/>
              <w:ind w:firstLine="0" w:firstLineChars="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检测有效期</w:t>
            </w:r>
          </w:p>
        </w:tc>
        <w:tc>
          <w:tcPr>
            <w:tcW w:w="1470" w:type="dxa"/>
            <w:vAlign w:val="center"/>
          </w:tcPr>
          <w:p w14:paraId="5D908624">
            <w:pPr>
              <w:pStyle w:val="356"/>
              <w:spacing w:line="240" w:lineRule="auto"/>
              <w:ind w:firstLine="0" w:firstLineChars="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检测单位</w:t>
            </w:r>
          </w:p>
        </w:tc>
      </w:tr>
      <w:tr w14:paraId="6424C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54" w:type="dxa"/>
            <w:vAlign w:val="center"/>
          </w:tcPr>
          <w:p w14:paraId="65C49D32">
            <w:pPr>
              <w:pStyle w:val="356"/>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1391" w:type="dxa"/>
            <w:vAlign w:val="center"/>
          </w:tcPr>
          <w:p w14:paraId="7C382053">
            <w:pPr>
              <w:pStyle w:val="356"/>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叉车</w:t>
            </w:r>
          </w:p>
        </w:tc>
        <w:tc>
          <w:tcPr>
            <w:tcW w:w="885" w:type="dxa"/>
            <w:vAlign w:val="center"/>
          </w:tcPr>
          <w:p w14:paraId="44F17C21">
            <w:pPr>
              <w:pStyle w:val="356"/>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1073" w:type="dxa"/>
            <w:vAlign w:val="center"/>
          </w:tcPr>
          <w:p w14:paraId="6968250F">
            <w:pPr>
              <w:pStyle w:val="356"/>
              <w:spacing w:line="240" w:lineRule="auto"/>
              <w:ind w:firstLine="0" w:firstLineChars="0"/>
              <w:jc w:val="center"/>
              <w:rPr>
                <w:color w:val="000000" w:themeColor="text1"/>
                <w:sz w:val="21"/>
                <w:szCs w:val="21"/>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合力30</w:t>
            </w:r>
          </w:p>
        </w:tc>
        <w:tc>
          <w:tcPr>
            <w:tcW w:w="1612" w:type="dxa"/>
            <w:vAlign w:val="center"/>
          </w:tcPr>
          <w:p w14:paraId="6E3EBB3C">
            <w:pPr>
              <w:pStyle w:val="356"/>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2023.0</w:t>
            </w:r>
            <w:r>
              <w:rPr>
                <w:rFonts w:hint="eastAsia"/>
                <w:color w:val="000000" w:themeColor="text1"/>
                <w:sz w:val="21"/>
                <w:szCs w:val="21"/>
                <w:lang w:val="en-US" w:eastAsia="zh-CN"/>
                <w14:textFill>
                  <w14:solidFill>
                    <w14:schemeClr w14:val="tx1"/>
                  </w14:solidFill>
                </w14:textFill>
              </w:rPr>
              <w:t>6</w:t>
            </w:r>
            <w:r>
              <w:rPr>
                <w:rFonts w:hint="eastAsia"/>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13</w:t>
            </w:r>
          </w:p>
        </w:tc>
        <w:tc>
          <w:tcPr>
            <w:tcW w:w="1470" w:type="dxa"/>
            <w:vAlign w:val="center"/>
          </w:tcPr>
          <w:p w14:paraId="16B0C6FF">
            <w:pPr>
              <w:pStyle w:val="356"/>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2025.0</w:t>
            </w:r>
            <w:r>
              <w:rPr>
                <w:rFonts w:hint="eastAsia"/>
                <w:color w:val="000000" w:themeColor="text1"/>
                <w:sz w:val="21"/>
                <w:szCs w:val="21"/>
                <w:lang w:val="en-US" w:eastAsia="zh-CN"/>
                <w14:textFill>
                  <w14:solidFill>
                    <w14:schemeClr w14:val="tx1"/>
                  </w14:solidFill>
                </w14:textFill>
              </w:rPr>
              <w:t>6</w:t>
            </w:r>
            <w:r>
              <w:rPr>
                <w:rFonts w:hint="eastAsia"/>
                <w:color w:val="000000" w:themeColor="text1"/>
                <w:sz w:val="21"/>
                <w:szCs w:val="21"/>
                <w14:textFill>
                  <w14:solidFill>
                    <w14:schemeClr w14:val="tx1"/>
                  </w14:solidFill>
                </w14:textFill>
              </w:rPr>
              <w:t>.28</w:t>
            </w:r>
          </w:p>
        </w:tc>
        <w:tc>
          <w:tcPr>
            <w:tcW w:w="1470" w:type="dxa"/>
            <w:vAlign w:val="center"/>
          </w:tcPr>
          <w:p w14:paraId="7E5E08BC">
            <w:pPr>
              <w:pStyle w:val="356"/>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楚雄彝族自治州检验检测认证</w:t>
            </w:r>
            <w:r>
              <w:rPr>
                <w:rFonts w:hint="eastAsia"/>
                <w:color w:val="000000" w:themeColor="text1"/>
                <w:sz w:val="21"/>
                <w:szCs w:val="21"/>
                <w14:textFill>
                  <w14:solidFill>
                    <w14:schemeClr w14:val="tx1"/>
                  </w14:solidFill>
                </w14:textFill>
              </w:rPr>
              <w:t>院</w:t>
            </w:r>
          </w:p>
        </w:tc>
      </w:tr>
      <w:bookmarkEnd w:id="177"/>
      <w:bookmarkEnd w:id="178"/>
    </w:tbl>
    <w:p w14:paraId="333DF579">
      <w:pPr>
        <w:pStyle w:val="4"/>
        <w:rPr>
          <w:rFonts w:hint="eastAsia" w:ascii="Times New Roman" w:hAnsi="Times New Roman" w:cs="Times New Roman"/>
          <w:color w:val="000000" w:themeColor="text1"/>
          <w14:textFill>
            <w14:solidFill>
              <w14:schemeClr w14:val="tx1"/>
            </w14:solidFill>
          </w14:textFill>
        </w:rPr>
      </w:pPr>
      <w:bookmarkStart w:id="183" w:name="_Toc14222"/>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cs="Times New Roman"/>
          <w:color w:val="000000" w:themeColor="text1"/>
          <w14:textFill>
            <w14:solidFill>
              <w14:schemeClr w14:val="tx1"/>
            </w14:solidFill>
          </w14:textFill>
        </w:rPr>
        <w:t>公用工程及辅助工程</w:t>
      </w:r>
      <w:bookmarkEnd w:id="183"/>
    </w:p>
    <w:p w14:paraId="2DD02041">
      <w:pPr>
        <w:pStyle w:val="5"/>
        <w:rPr>
          <w:rFonts w:hint="eastAsia" w:ascii="Times New Roman" w:hAnsi="Times New Roman" w:cs="Times New Roman"/>
          <w:color w:val="000000" w:themeColor="text1"/>
          <w14:textFill>
            <w14:solidFill>
              <w14:schemeClr w14:val="tx1"/>
            </w14:solidFill>
          </w14:textFill>
        </w:rPr>
      </w:pPr>
      <w:bookmarkStart w:id="184" w:name="_Toc6475"/>
      <w:bookmarkStart w:id="185" w:name="_Toc3726"/>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cs="Times New Roman"/>
          <w:color w:val="000000" w:themeColor="text1"/>
          <w14:textFill>
            <w14:solidFill>
              <w14:schemeClr w14:val="tx1"/>
            </w14:solidFill>
          </w14:textFill>
        </w:rPr>
        <w:t>.1给排水</w:t>
      </w:r>
      <w:bookmarkEnd w:id="184"/>
      <w:bookmarkEnd w:id="185"/>
    </w:p>
    <w:p w14:paraId="3E7D1E82">
      <w:pPr>
        <w:pStyle w:val="6"/>
        <w:rPr>
          <w:rFonts w:asci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6</w:t>
      </w:r>
      <w:r>
        <w:rPr>
          <w:rFonts w:ascii="Times New Roman" w:hAnsi="Times New Roman"/>
          <w:color w:val="000000" w:themeColor="text1"/>
          <w14:textFill>
            <w14:solidFill>
              <w14:schemeClr w14:val="tx1"/>
            </w14:solidFill>
          </w14:textFill>
        </w:rPr>
        <w:t>.1.1 给水</w:t>
      </w:r>
    </w:p>
    <w:p w14:paraId="74ED4B2A">
      <w:pPr>
        <w:spacing w:line="500" w:lineRule="exact"/>
        <w:ind w:firstLine="560" w:firstLineChars="200"/>
        <w:rPr>
          <w:rFonts w:hint="eastAsia"/>
          <w:color w:val="000000" w:themeColor="text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厂区生活和生产用水来自于</w:t>
      </w:r>
      <w:r>
        <w:rPr>
          <w:rFonts w:hint="default" w:ascii="宋体" w:hAnsi="宋体" w:eastAsia="宋体" w:cs="宋体"/>
          <w:color w:val="000000" w:themeColor="text1"/>
          <w:sz w:val="28"/>
          <w:szCs w:val="28"/>
          <w:lang w:val="zh-CN"/>
          <w14:textFill>
            <w14:solidFill>
              <w14:schemeClr w14:val="tx1"/>
            </w14:solidFill>
          </w14:textFill>
        </w:rPr>
        <w:t>园区自来水管网</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水量充足</w:t>
      </w:r>
      <w:r>
        <w:rPr>
          <w:rFonts w:hint="eastAsia" w:ascii="宋体" w:hAnsi="宋体" w:eastAsia="宋体" w:cs="宋体"/>
          <w:color w:val="000000" w:themeColor="text1"/>
          <w:sz w:val="28"/>
          <w:szCs w:val="28"/>
          <w:lang w:eastAsia="zh-CN"/>
          <w14:textFill>
            <w14:solidFill>
              <w14:schemeClr w14:val="tx1"/>
            </w14:solidFill>
          </w14:textFill>
        </w:rPr>
        <w:t>。</w:t>
      </w:r>
    </w:p>
    <w:p w14:paraId="16F17D57">
      <w:pPr>
        <w:pStyle w:val="6"/>
        <w:rPr>
          <w:rFonts w:hint="eastAsia" w:hAnsi="宋体" w:cs="宋体"/>
          <w:color w:val="000000" w:themeColor="text1"/>
          <w:sz w:val="28"/>
          <w:szCs w:val="28"/>
          <w14:textFill>
            <w14:solidFill>
              <w14:schemeClr w14:val="tx1"/>
            </w14:solidFill>
          </w14:textFill>
        </w:rPr>
      </w:pPr>
      <w:r>
        <w:rPr>
          <w:rFonts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6</w:t>
      </w:r>
      <w:r>
        <w:rPr>
          <w:rFonts w:ascii="Times New Roman" w:hAnsi="Times New Roman"/>
          <w:color w:val="000000" w:themeColor="text1"/>
          <w14:textFill>
            <w14:solidFill>
              <w14:schemeClr w14:val="tx1"/>
            </w14:solidFill>
          </w14:textFill>
        </w:rPr>
        <w:t>.1.2 排水</w:t>
      </w:r>
    </w:p>
    <w:p w14:paraId="04C1F80D">
      <w:pPr>
        <w:spacing w:line="500" w:lineRule="exact"/>
        <w:ind w:firstLine="560" w:firstLineChars="200"/>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厂区采取</w:t>
      </w:r>
      <w:r>
        <w:rPr>
          <w:rFonts w:hint="default" w:ascii="宋体" w:hAnsi="宋体" w:eastAsia="宋体" w:cs="宋体"/>
          <w:color w:val="000000" w:themeColor="text1"/>
          <w:sz w:val="28"/>
          <w:szCs w:val="28"/>
          <w:lang w:val="en-US" w:eastAsia="zh-CN"/>
          <w14:textFill>
            <w14:solidFill>
              <w14:schemeClr w14:val="tx1"/>
            </w14:solidFill>
          </w14:textFill>
        </w:rPr>
        <w:t>雨污分流</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排水主要为雨水排水，雨水通过车间屋面及排水沟收集后排入园区雨水管网。</w:t>
      </w:r>
      <w:r>
        <w:rPr>
          <w:rFonts w:hint="eastAsia" w:hAnsi="宋体" w:cs="宋体"/>
          <w:color w:val="000000" w:themeColor="text1"/>
          <w:sz w:val="28"/>
          <w:szCs w:val="28"/>
          <w:lang w:val="en-US" w:eastAsia="zh-CN"/>
          <w14:textFill>
            <w14:solidFill>
              <w14:schemeClr w14:val="tx1"/>
            </w14:solidFill>
          </w14:textFill>
        </w:rPr>
        <w:t>厨房废水</w:t>
      </w:r>
      <w:r>
        <w:rPr>
          <w:rFonts w:hint="eastAsia" w:hAnsi="宋体" w:cs="宋体"/>
          <w:color w:val="000000" w:themeColor="text1"/>
          <w:sz w:val="28"/>
          <w:szCs w:val="28"/>
          <w14:textFill>
            <w14:solidFill>
              <w14:schemeClr w14:val="tx1"/>
            </w14:solidFill>
          </w14:textFill>
        </w:rPr>
        <w:t>经</w:t>
      </w:r>
      <w:r>
        <w:rPr>
          <w:rFonts w:hint="eastAsia" w:hAnsi="宋体" w:cs="宋体"/>
          <w:color w:val="000000" w:themeColor="text1"/>
          <w:sz w:val="28"/>
          <w:szCs w:val="28"/>
          <w:lang w:val="en-US" w:eastAsia="zh-CN"/>
          <w14:textFill>
            <w14:solidFill>
              <w14:schemeClr w14:val="tx1"/>
            </w14:solidFill>
          </w14:textFill>
        </w:rPr>
        <w:t>隔油池处理排入</w:t>
      </w:r>
      <w:r>
        <w:rPr>
          <w:rFonts w:hint="eastAsia" w:hAnsi="宋体" w:cs="宋体"/>
          <w:color w:val="000000" w:themeColor="text1"/>
          <w:sz w:val="28"/>
          <w:szCs w:val="28"/>
          <w14:textFill>
            <w14:solidFill>
              <w14:schemeClr w14:val="tx1"/>
            </w14:solidFill>
          </w14:textFill>
        </w:rPr>
        <w:t>化粪池</w:t>
      </w:r>
      <w:r>
        <w:rPr>
          <w:rFonts w:hint="eastAsia" w:hAnsi="宋体" w:cs="宋体"/>
          <w:color w:val="000000" w:themeColor="text1"/>
          <w:sz w:val="28"/>
          <w:szCs w:val="28"/>
          <w:lang w:eastAsia="zh-CN"/>
          <w14:textFill>
            <w14:solidFill>
              <w14:schemeClr w14:val="tx1"/>
            </w14:solidFill>
          </w14:textFill>
        </w:rPr>
        <w:t>，</w:t>
      </w:r>
      <w:r>
        <w:rPr>
          <w:rFonts w:hint="eastAsia" w:hAnsi="宋体" w:cs="宋体"/>
          <w:color w:val="000000" w:themeColor="text1"/>
          <w:sz w:val="28"/>
          <w:szCs w:val="28"/>
          <w:lang w:val="en-US" w:eastAsia="zh-CN"/>
          <w14:textFill>
            <w14:solidFill>
              <w14:schemeClr w14:val="tx1"/>
            </w14:solidFill>
          </w14:textFill>
        </w:rPr>
        <w:t>不外排。</w:t>
      </w:r>
    </w:p>
    <w:p w14:paraId="766E0E33">
      <w:pPr>
        <w:pStyle w:val="5"/>
        <w:rPr>
          <w:rFonts w:hint="eastAsia" w:ascii="Times New Roman" w:hAnsi="Times New Roman" w:cs="Times New Roman"/>
          <w:color w:val="000000" w:themeColor="text1"/>
          <w14:textFill>
            <w14:solidFill>
              <w14:schemeClr w14:val="tx1"/>
            </w14:solidFill>
          </w14:textFill>
        </w:rPr>
      </w:pPr>
      <w:bookmarkStart w:id="186" w:name="_Toc9480"/>
      <w:bookmarkStart w:id="187" w:name="_Toc2481"/>
      <w:bookmarkStart w:id="188" w:name="_Toc8469"/>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cs="Times New Roman"/>
          <w:color w:val="000000" w:themeColor="text1"/>
          <w14:textFill>
            <w14:solidFill>
              <w14:schemeClr w14:val="tx1"/>
            </w14:solidFill>
          </w14:textFill>
        </w:rPr>
        <w:t>.2供配电</w:t>
      </w:r>
      <w:bookmarkEnd w:id="186"/>
      <w:bookmarkEnd w:id="187"/>
      <w:bookmarkEnd w:id="188"/>
    </w:p>
    <w:p w14:paraId="4CCEA3F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bookmarkStart w:id="189" w:name="_Toc7893"/>
      <w:bookmarkStart w:id="190" w:name="_Toc21032"/>
      <w:r>
        <w:rPr>
          <w:rFonts w:hint="eastAsia" w:ascii="宋体" w:hAnsi="宋体" w:cs="宋体"/>
          <w:color w:val="000000" w:themeColor="text1"/>
          <w:sz w:val="28"/>
          <w:szCs w:val="28"/>
          <w14:textFill>
            <w14:solidFill>
              <w14:schemeClr w14:val="tx1"/>
            </w14:solidFill>
          </w14:textFill>
        </w:rPr>
        <w:t>项目用电主要由园区统一供给，</w:t>
      </w:r>
      <w:r>
        <w:rPr>
          <w:rFonts w:hint="eastAsia" w:ascii="宋体" w:hAnsi="宋体" w:eastAsia="宋体" w:cs="宋体"/>
          <w:color w:val="000000" w:themeColor="text1"/>
          <w:sz w:val="28"/>
          <w:szCs w:val="28"/>
          <w14:textFill>
            <w14:solidFill>
              <w14:schemeClr w14:val="tx1"/>
            </w14:solidFill>
          </w14:textFill>
        </w:rPr>
        <w:t>厂区</w:t>
      </w:r>
      <w:r>
        <w:rPr>
          <w:rFonts w:hint="eastAsia" w:ascii="宋体" w:hAnsi="宋体" w:eastAsia="宋体" w:cs="宋体"/>
          <w:color w:val="000000" w:themeColor="text1"/>
          <w:sz w:val="28"/>
          <w:szCs w:val="28"/>
          <w:lang w:val="en-US" w:eastAsia="zh-CN"/>
          <w14:textFill>
            <w14:solidFill>
              <w14:schemeClr w14:val="tx1"/>
            </w14:solidFill>
          </w14:textFill>
        </w:rPr>
        <w:t>已安装</w:t>
      </w:r>
      <w:r>
        <w:rPr>
          <w:rFonts w:hint="eastAsia" w:hAnsi="宋体" w:cs="宋体"/>
          <w:color w:val="000000" w:themeColor="text1"/>
          <w:sz w:val="28"/>
          <w:szCs w:val="28"/>
          <w:lang w:val="en-US" w:eastAsia="zh-CN"/>
          <w14:textFill>
            <w14:solidFill>
              <w14:schemeClr w14:val="tx1"/>
            </w14:solidFill>
          </w14:textFill>
        </w:rPr>
        <w:t>1台</w:t>
      </w:r>
      <w:r>
        <w:rPr>
          <w:rFonts w:hint="eastAsia" w:ascii="宋体" w:hAnsi="宋体" w:eastAsia="宋体" w:cs="宋体"/>
          <w:color w:val="000000" w:themeColor="text1"/>
          <w:sz w:val="28"/>
          <w:szCs w:val="28"/>
          <w:lang w:val="en-US" w:eastAsia="zh-CN"/>
          <w14:textFill>
            <w14:solidFill>
              <w14:schemeClr w14:val="tx1"/>
            </w14:solidFill>
          </w14:textFill>
        </w:rPr>
        <w:t>250KVA变压器，经变压器降压输出后使用。动力用电380V，生活用电220V</w:t>
      </w:r>
      <w:r>
        <w:rPr>
          <w:rFonts w:hint="eastAsia" w:hAnsi="宋体" w:cs="宋体"/>
          <w:color w:val="000000" w:themeColor="text1"/>
          <w:sz w:val="28"/>
          <w:szCs w:val="28"/>
          <w:lang w:val="en-US" w:eastAsia="zh-CN"/>
          <w14:textFill>
            <w14:solidFill>
              <w14:schemeClr w14:val="tx1"/>
            </w14:solidFill>
          </w14:textFill>
        </w:rPr>
        <w:t>。</w:t>
      </w:r>
    </w:p>
    <w:p w14:paraId="6ED7A5DB">
      <w:pPr>
        <w:pStyle w:val="5"/>
        <w:rPr>
          <w:rFonts w:hint="eastAsia" w:ascii="Times New Roman" w:hAnsi="Times New Roman" w:cs="Times New Roman"/>
          <w:color w:val="000000" w:themeColor="text1"/>
          <w14:textFill>
            <w14:solidFill>
              <w14:schemeClr w14:val="tx1"/>
            </w14:solidFill>
          </w14:textFill>
        </w:rPr>
      </w:pPr>
      <w:bookmarkStart w:id="191" w:name="_Toc22431"/>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3防雷和</w:t>
      </w:r>
      <w:r>
        <w:rPr>
          <w:rFonts w:hint="eastAsia" w:ascii="Times New Roman" w:hAnsi="Times New Roman" w:cs="Times New Roman"/>
          <w:color w:val="000000" w:themeColor="text1"/>
          <w14:textFill>
            <w14:solidFill>
              <w14:schemeClr w14:val="tx1"/>
            </w14:solidFill>
          </w14:textFill>
        </w:rPr>
        <w:t>消防</w:t>
      </w:r>
      <w:bookmarkEnd w:id="191"/>
    </w:p>
    <w:p w14:paraId="4AA78C7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hAnsi="宋体" w:cs="宋体"/>
          <w:color w:val="000000" w:themeColor="text1"/>
          <w:sz w:val="28"/>
          <w:szCs w:val="28"/>
          <w:lang w:val="en-US" w:eastAsia="zh-CN"/>
          <w14:textFill>
            <w14:solidFill>
              <w14:schemeClr w14:val="tx1"/>
            </w14:solidFill>
          </w14:textFill>
        </w:rPr>
        <w:t>1.防雷</w:t>
      </w:r>
    </w:p>
    <w:p w14:paraId="057C97D0">
      <w:pPr>
        <w:tabs>
          <w:tab w:val="left" w:pos="2700"/>
        </w:tabs>
        <w:adjustRightInd w:val="0"/>
        <w:snapToGrid w:val="0"/>
        <w:spacing w:line="500" w:lineRule="exact"/>
        <w:ind w:firstLine="560" w:firstLineChars="200"/>
        <w:rPr>
          <w:rFonts w:hint="default" w:ascii="宋体" w:hAnsi="宋体" w:eastAsia="宋体" w:cs="宋体"/>
          <w:color w:val="000000" w:themeColor="text1"/>
          <w:sz w:val="28"/>
          <w:lang w:val="en-US" w:eastAsia="zh-CN"/>
          <w14:textFill>
            <w14:solidFill>
              <w14:schemeClr w14:val="tx1"/>
            </w14:solidFill>
          </w14:textFill>
        </w:rPr>
      </w:pPr>
      <w:r>
        <w:rPr>
          <w:rFonts w:hint="eastAsia" w:ascii="宋体" w:hAnsi="宋体" w:cs="宋体"/>
          <w:color w:val="000000" w:themeColor="text1"/>
          <w:sz w:val="28"/>
          <w14:textFill>
            <w14:solidFill>
              <w14:schemeClr w14:val="tx1"/>
            </w14:solidFill>
          </w14:textFill>
        </w:rPr>
        <w:t>公司租用</w:t>
      </w:r>
      <w:r>
        <w:rPr>
          <w:rFonts w:hint="eastAsia" w:ascii="宋体" w:hAnsi="宋体" w:eastAsia="宋体" w:cs="宋体"/>
          <w:color w:val="000000" w:themeColor="text1"/>
          <w:sz w:val="28"/>
          <w:szCs w:val="28"/>
          <w:lang w:val="en-US" w:eastAsia="zh-CN"/>
          <w14:textFill>
            <w14:solidFill>
              <w14:schemeClr w14:val="tx1"/>
            </w14:solidFill>
          </w14:textFill>
        </w:rPr>
        <w:t>南华腾龙物流有限公司场地</w:t>
      </w:r>
      <w:r>
        <w:rPr>
          <w:rFonts w:hint="eastAsia" w:hAnsi="宋体" w:cs="宋体"/>
          <w:color w:val="000000" w:themeColor="text1"/>
          <w:sz w:val="28"/>
          <w:lang w:val="en-US" w:eastAsia="zh-CN"/>
          <w14:textFill>
            <w14:solidFill>
              <w14:schemeClr w14:val="tx1"/>
            </w14:solidFill>
          </w14:textFill>
        </w:rPr>
        <w:t>建</w:t>
      </w:r>
      <w:r>
        <w:rPr>
          <w:rFonts w:hint="eastAsia" w:ascii="宋体" w:hAnsi="宋体" w:eastAsia="宋体" w:cs="宋体"/>
          <w:color w:val="000000" w:themeColor="text1"/>
          <w:sz w:val="28"/>
          <w14:textFill>
            <w14:solidFill>
              <w14:schemeClr w14:val="tx1"/>
            </w14:solidFill>
          </w14:textFill>
        </w:rPr>
        <w:t>生产车间</w:t>
      </w:r>
      <w:r>
        <w:rPr>
          <w:rFonts w:hint="eastAsia" w:ascii="宋体" w:hAnsi="宋体" w:eastAsia="宋体" w:cs="宋体"/>
          <w:color w:val="000000" w:themeColor="text1"/>
          <w:sz w:val="28"/>
          <w:lang w:val="en-US" w:eastAsia="zh-CN"/>
          <w14:textFill>
            <w14:solidFill>
              <w14:schemeClr w14:val="tx1"/>
            </w14:solidFill>
          </w14:textFill>
        </w:rPr>
        <w:t>及</w:t>
      </w:r>
      <w:r>
        <w:rPr>
          <w:rFonts w:hint="eastAsia" w:ascii="宋体" w:hAnsi="宋体" w:cs="宋体"/>
          <w:color w:val="000000" w:themeColor="text1"/>
          <w:sz w:val="28"/>
          <w14:textFill>
            <w14:solidFill>
              <w14:schemeClr w14:val="tx1"/>
            </w14:solidFill>
          </w14:textFill>
        </w:rPr>
        <w:t>办公</w:t>
      </w:r>
      <w:r>
        <w:rPr>
          <w:rFonts w:hint="eastAsia" w:hAnsi="宋体" w:cs="宋体"/>
          <w:color w:val="000000" w:themeColor="text1"/>
          <w:sz w:val="28"/>
          <w:lang w:eastAsia="zh-CN"/>
          <w14:textFill>
            <w14:solidFill>
              <w14:schemeClr w14:val="tx1"/>
            </w14:solidFill>
          </w14:textFill>
        </w:rPr>
        <w:t>、</w:t>
      </w:r>
      <w:r>
        <w:rPr>
          <w:rFonts w:hint="eastAsia" w:hAnsi="宋体" w:cs="宋体"/>
          <w:color w:val="000000" w:themeColor="text1"/>
          <w:sz w:val="28"/>
          <w:lang w:val="en-US" w:eastAsia="zh-CN"/>
          <w14:textFill>
            <w14:solidFill>
              <w14:schemeClr w14:val="tx1"/>
            </w14:solidFill>
          </w14:textFill>
        </w:rPr>
        <w:t>宿舍等。</w:t>
      </w:r>
    </w:p>
    <w:p w14:paraId="409D3991">
      <w:pPr>
        <w:tabs>
          <w:tab w:val="left" w:pos="2700"/>
        </w:tabs>
        <w:adjustRightInd w:val="0"/>
        <w:snapToGrid w:val="0"/>
        <w:spacing w:line="500" w:lineRule="exact"/>
        <w:rPr>
          <w:rFonts w:hint="eastAsia" w:ascii="宋体" w:hAnsi="宋体" w:eastAsia="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项目范围内的建（构）筑物均已按第三类防雷建筑物建设防雷接地装置，生产车间、办公楼等建（构）筑物均进行了相应的防雷接地。于202</w:t>
      </w:r>
      <w:r>
        <w:rPr>
          <w:rFonts w:hint="eastAsia" w:hAnsi="宋体" w:cs="宋体"/>
          <w:color w:val="000000" w:themeColor="text1"/>
          <w:sz w:val="28"/>
          <w:lang w:val="en-US" w:eastAsia="zh-CN"/>
          <w14:textFill>
            <w14:solidFill>
              <w14:schemeClr w14:val="tx1"/>
            </w14:solidFill>
          </w14:textFill>
        </w:rPr>
        <w:t>4</w:t>
      </w:r>
      <w:r>
        <w:rPr>
          <w:rFonts w:hint="eastAsia" w:ascii="宋体" w:hAnsi="宋体" w:cs="宋体"/>
          <w:color w:val="000000" w:themeColor="text1"/>
          <w:sz w:val="28"/>
          <w14:textFill>
            <w14:solidFill>
              <w14:schemeClr w14:val="tx1"/>
            </w14:solidFill>
          </w14:textFill>
        </w:rPr>
        <w:t>年</w:t>
      </w:r>
      <w:r>
        <w:rPr>
          <w:rFonts w:hint="eastAsia" w:hAnsi="宋体" w:cs="宋体"/>
          <w:color w:val="000000" w:themeColor="text1"/>
          <w:sz w:val="28"/>
          <w:lang w:val="en-US" w:eastAsia="zh-CN"/>
          <w14:textFill>
            <w14:solidFill>
              <w14:schemeClr w14:val="tx1"/>
            </w14:solidFill>
          </w14:textFill>
        </w:rPr>
        <w:t>8</w:t>
      </w:r>
      <w:r>
        <w:rPr>
          <w:rFonts w:hint="eastAsia" w:ascii="宋体" w:hAnsi="宋体" w:cs="宋体"/>
          <w:color w:val="000000" w:themeColor="text1"/>
          <w:sz w:val="28"/>
          <w14:textFill>
            <w14:solidFill>
              <w14:schemeClr w14:val="tx1"/>
            </w14:solidFill>
          </w14:textFill>
        </w:rPr>
        <w:t>月1</w:t>
      </w:r>
      <w:r>
        <w:rPr>
          <w:rFonts w:hint="eastAsia" w:hAnsi="宋体" w:cs="宋体"/>
          <w:color w:val="000000" w:themeColor="text1"/>
          <w:sz w:val="28"/>
          <w:lang w:val="en-US" w:eastAsia="zh-CN"/>
          <w14:textFill>
            <w14:solidFill>
              <w14:schemeClr w14:val="tx1"/>
            </w14:solidFill>
          </w14:textFill>
        </w:rPr>
        <w:t>6</w:t>
      </w:r>
      <w:r>
        <w:rPr>
          <w:rFonts w:hint="eastAsia" w:ascii="宋体" w:hAnsi="宋体" w:cs="宋体"/>
          <w:color w:val="000000" w:themeColor="text1"/>
          <w:sz w:val="28"/>
          <w14:textFill>
            <w14:solidFill>
              <w14:schemeClr w14:val="tx1"/>
            </w14:solidFill>
          </w14:textFill>
        </w:rPr>
        <w:t>日委托</w:t>
      </w:r>
      <w:r>
        <w:rPr>
          <w:rFonts w:hint="eastAsia" w:hAnsi="宋体" w:cs="宋体"/>
          <w:color w:val="000000" w:themeColor="text1"/>
          <w:sz w:val="28"/>
          <w:lang w:val="en-US" w:eastAsia="zh-CN"/>
          <w14:textFill>
            <w14:solidFill>
              <w14:schemeClr w14:val="tx1"/>
            </w14:solidFill>
          </w14:textFill>
        </w:rPr>
        <w:t>楚雄州气象灾害防御技术中心</w:t>
      </w:r>
      <w:r>
        <w:rPr>
          <w:rFonts w:hint="eastAsia" w:ascii="宋体" w:hAnsi="宋体" w:cs="宋体"/>
          <w:color w:val="000000" w:themeColor="text1"/>
          <w:sz w:val="28"/>
          <w14:textFill>
            <w14:solidFill>
              <w14:schemeClr w14:val="tx1"/>
            </w14:solidFill>
          </w14:textFill>
        </w:rPr>
        <w:t>进行检测，检测结果均为合格，</w:t>
      </w:r>
      <w:r>
        <w:rPr>
          <w:rFonts w:hint="eastAsia" w:ascii="宋体" w:hAnsi="宋体" w:eastAsia="宋体" w:cs="宋体"/>
          <w:color w:val="000000" w:themeColor="text1"/>
          <w:sz w:val="28"/>
          <w14:textFill>
            <w14:solidFill>
              <w14:schemeClr w14:val="tx1"/>
            </w14:solidFill>
          </w14:textFill>
        </w:rPr>
        <w:t>报告编号：</w:t>
      </w:r>
      <w:r>
        <w:rPr>
          <w:rFonts w:hint="eastAsia" w:hAnsi="宋体" w:cs="宋体"/>
          <w:color w:val="000000" w:themeColor="text1"/>
          <w:sz w:val="28"/>
          <w:lang w:val="en-US" w:eastAsia="zh-CN"/>
          <w14:textFill>
            <w14:solidFill>
              <w14:schemeClr w14:val="tx1"/>
            </w14:solidFill>
          </w14:textFill>
        </w:rPr>
        <w:t>楚</w:t>
      </w:r>
      <w:r>
        <w:rPr>
          <w:rFonts w:hint="eastAsia" w:ascii="宋体" w:hAnsi="宋体" w:eastAsia="宋体" w:cs="宋体"/>
          <w:color w:val="000000" w:themeColor="text1"/>
          <w:sz w:val="28"/>
          <w14:textFill>
            <w14:solidFill>
              <w14:schemeClr w14:val="tx1"/>
            </w14:solidFill>
          </w14:textFill>
        </w:rPr>
        <w:t>雷检字</w:t>
      </w:r>
      <w:r>
        <w:rPr>
          <w:rFonts w:hint="eastAsia" w:hAnsi="宋体" w:cs="宋体"/>
          <w:color w:val="000000" w:themeColor="text1"/>
          <w:sz w:val="28"/>
          <w:lang w:val="en-US" w:eastAsia="zh-CN"/>
          <w14:textFill>
            <w14:solidFill>
              <w14:schemeClr w14:val="tx1"/>
            </w14:solidFill>
          </w14:textFill>
        </w:rPr>
        <w:t>1252017012-532324-2024-41-00505号</w:t>
      </w:r>
      <w:r>
        <w:rPr>
          <w:rFonts w:hint="eastAsia" w:ascii="宋体" w:hAnsi="宋体" w:eastAsia="宋体" w:cs="宋体"/>
          <w:color w:val="000000" w:themeColor="text1"/>
          <w:sz w:val="28"/>
          <w14:textFill>
            <w14:solidFill>
              <w14:schemeClr w14:val="tx1"/>
            </w14:solidFill>
          </w14:textFill>
        </w:rPr>
        <w:t>。有效期至：202</w:t>
      </w:r>
      <w:r>
        <w:rPr>
          <w:rFonts w:hint="eastAsia" w:hAnsi="宋体" w:cs="宋体"/>
          <w:color w:val="000000" w:themeColor="text1"/>
          <w:sz w:val="28"/>
          <w:lang w:val="en-US" w:eastAsia="zh-CN"/>
          <w14:textFill>
            <w14:solidFill>
              <w14:schemeClr w14:val="tx1"/>
            </w14:solidFill>
          </w14:textFill>
        </w:rPr>
        <w:t>5</w:t>
      </w:r>
      <w:r>
        <w:rPr>
          <w:rFonts w:hint="eastAsia" w:ascii="宋体" w:hAnsi="宋体" w:eastAsia="宋体" w:cs="宋体"/>
          <w:color w:val="000000" w:themeColor="text1"/>
          <w:sz w:val="28"/>
          <w14:textFill>
            <w14:solidFill>
              <w14:schemeClr w14:val="tx1"/>
            </w14:solidFill>
          </w14:textFill>
        </w:rPr>
        <w:t>年</w:t>
      </w:r>
      <w:r>
        <w:rPr>
          <w:rFonts w:hint="eastAsia" w:hAnsi="宋体" w:cs="宋体"/>
          <w:color w:val="000000" w:themeColor="text1"/>
          <w:sz w:val="28"/>
          <w:lang w:val="en-US" w:eastAsia="zh-CN"/>
          <w14:textFill>
            <w14:solidFill>
              <w14:schemeClr w14:val="tx1"/>
            </w14:solidFill>
          </w14:textFill>
        </w:rPr>
        <w:t>08</w:t>
      </w:r>
      <w:r>
        <w:rPr>
          <w:rFonts w:hint="eastAsia" w:ascii="宋体" w:hAnsi="宋体" w:eastAsia="宋体" w:cs="宋体"/>
          <w:color w:val="000000" w:themeColor="text1"/>
          <w:sz w:val="28"/>
          <w14:textFill>
            <w14:solidFill>
              <w14:schemeClr w14:val="tx1"/>
            </w14:solidFill>
          </w14:textFill>
        </w:rPr>
        <w:t>月1</w:t>
      </w:r>
      <w:r>
        <w:rPr>
          <w:rFonts w:hint="eastAsia" w:hAnsi="宋体" w:cs="宋体"/>
          <w:color w:val="000000" w:themeColor="text1"/>
          <w:sz w:val="28"/>
          <w:lang w:val="en-US" w:eastAsia="zh-CN"/>
          <w14:textFill>
            <w14:solidFill>
              <w14:schemeClr w14:val="tx1"/>
            </w14:solidFill>
          </w14:textFill>
        </w:rPr>
        <w:t>5</w:t>
      </w:r>
      <w:r>
        <w:rPr>
          <w:rFonts w:hint="eastAsia" w:ascii="宋体" w:hAnsi="宋体" w:eastAsia="宋体" w:cs="宋体"/>
          <w:color w:val="000000" w:themeColor="text1"/>
          <w:sz w:val="28"/>
          <w14:textFill>
            <w14:solidFill>
              <w14:schemeClr w14:val="tx1"/>
            </w14:solidFill>
          </w14:textFill>
        </w:rPr>
        <w:t>日，防雷检测报告见附件。</w:t>
      </w:r>
    </w:p>
    <w:p w14:paraId="6D4B0318">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hAnsi="宋体" w:cs="宋体"/>
          <w:color w:val="000000" w:themeColor="text1"/>
          <w:sz w:val="28"/>
          <w:szCs w:val="28"/>
          <w:lang w:val="en-US" w:eastAsia="zh-CN"/>
          <w14:textFill>
            <w14:solidFill>
              <w14:schemeClr w14:val="tx1"/>
            </w14:solidFill>
          </w14:textFill>
        </w:rPr>
      </w:pPr>
      <w:r>
        <w:rPr>
          <w:rFonts w:hint="eastAsia" w:hAnsi="宋体" w:cs="宋体"/>
          <w:color w:val="000000" w:themeColor="text1"/>
          <w:sz w:val="28"/>
          <w:szCs w:val="28"/>
          <w:lang w:val="en-US" w:eastAsia="zh-CN"/>
          <w14:textFill>
            <w14:solidFill>
              <w14:schemeClr w14:val="tx1"/>
            </w14:solidFill>
          </w14:textFill>
        </w:rPr>
        <w:t>2.消防</w:t>
      </w:r>
    </w:p>
    <w:p w14:paraId="1F0346A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hAnsi="宋体"/>
          <w:b/>
          <w:bCs/>
          <w:color w:val="000000" w:themeColor="text1"/>
          <w:szCs w:val="24"/>
          <w14:textFill>
            <w14:solidFill>
              <w14:schemeClr w14:val="tx1"/>
            </w14:solidFill>
          </w14:textFill>
        </w:rPr>
      </w:pPr>
      <w:r>
        <w:rPr>
          <w:rFonts w:hint="eastAsia" w:hAnsi="宋体"/>
          <w:color w:val="000000" w:themeColor="text1"/>
          <w:sz w:val="28"/>
          <w:szCs w:val="28"/>
          <w:lang w:val="en-US" w:eastAsia="zh-CN"/>
          <w14:textFill>
            <w14:solidFill>
              <w14:schemeClr w14:val="tx1"/>
            </w14:solidFill>
          </w14:textFill>
        </w:rPr>
        <w:t>公司</w:t>
      </w:r>
      <w:r>
        <w:rPr>
          <w:rFonts w:hint="eastAsia" w:hAnsi="宋体"/>
          <w:color w:val="000000" w:themeColor="text1"/>
          <w:sz w:val="28"/>
          <w:szCs w:val="28"/>
          <w14:textFill>
            <w14:solidFill>
              <w14:schemeClr w14:val="tx1"/>
            </w14:solidFill>
          </w14:textFill>
        </w:rPr>
        <w:t>已在办公</w:t>
      </w:r>
      <w:r>
        <w:rPr>
          <w:rFonts w:hint="eastAsia" w:hAnsi="宋体"/>
          <w:color w:val="000000" w:themeColor="text1"/>
          <w:sz w:val="28"/>
          <w:szCs w:val="28"/>
          <w:lang w:val="en-US" w:eastAsia="zh-CN"/>
          <w14:textFill>
            <w14:solidFill>
              <w14:schemeClr w14:val="tx1"/>
            </w14:solidFill>
          </w14:textFill>
        </w:rPr>
        <w:t>区</w:t>
      </w:r>
      <w:r>
        <w:rPr>
          <w:rFonts w:hint="eastAsia" w:hAnsi="宋体"/>
          <w:color w:val="000000" w:themeColor="text1"/>
          <w:sz w:val="28"/>
          <w:szCs w:val="28"/>
          <w14:textFill>
            <w14:solidFill>
              <w14:schemeClr w14:val="tx1"/>
            </w14:solidFill>
          </w14:textFill>
        </w:rPr>
        <w:t>、</w:t>
      </w:r>
      <w:r>
        <w:rPr>
          <w:rFonts w:hint="eastAsia" w:hAnsi="宋体"/>
          <w:color w:val="000000" w:themeColor="text1"/>
          <w:sz w:val="28"/>
          <w:szCs w:val="28"/>
          <w:lang w:val="en-US" w:eastAsia="zh-CN"/>
          <w14:textFill>
            <w14:solidFill>
              <w14:schemeClr w14:val="tx1"/>
            </w14:solidFill>
          </w14:textFill>
        </w:rPr>
        <w:t>住宿区、</w:t>
      </w:r>
      <w:r>
        <w:rPr>
          <w:rFonts w:hint="eastAsia" w:hAnsi="宋体"/>
          <w:color w:val="000000" w:themeColor="text1"/>
          <w:sz w:val="28"/>
          <w:szCs w:val="28"/>
          <w14:textFill>
            <w14:solidFill>
              <w14:schemeClr w14:val="tx1"/>
            </w14:solidFill>
          </w14:textFill>
        </w:rPr>
        <w:t>生产区、原料仓库等位置，设置了手提式干粉灭火器，防止建筑物及电气火灾。主要消防设置见表2-</w:t>
      </w:r>
      <w:r>
        <w:rPr>
          <w:rFonts w:hint="eastAsia" w:hAnsi="宋体"/>
          <w:color w:val="000000" w:themeColor="text1"/>
          <w:sz w:val="28"/>
          <w:szCs w:val="28"/>
          <w:lang w:val="en-US" w:eastAsia="zh-CN"/>
          <w14:textFill>
            <w14:solidFill>
              <w14:schemeClr w14:val="tx1"/>
            </w14:solidFill>
          </w14:textFill>
        </w:rPr>
        <w:t>5</w:t>
      </w:r>
      <w:r>
        <w:rPr>
          <w:rFonts w:hint="eastAsia" w:hAnsi="宋体"/>
          <w:color w:val="000000" w:themeColor="text1"/>
          <w:sz w:val="28"/>
          <w:szCs w:val="28"/>
          <w14:textFill>
            <w14:solidFill>
              <w14:schemeClr w14:val="tx1"/>
            </w14:solidFill>
          </w14:textFill>
        </w:rPr>
        <w:t>。</w:t>
      </w:r>
    </w:p>
    <w:p w14:paraId="0D74367F">
      <w:pPr>
        <w:spacing w:line="360" w:lineRule="auto"/>
        <w:ind w:firstLine="482" w:firstLineChars="200"/>
        <w:jc w:val="center"/>
        <w:rPr>
          <w:rFonts w:hAnsi="宋体"/>
          <w:b/>
          <w:bCs/>
          <w:color w:val="000000" w:themeColor="text1"/>
          <w:szCs w:val="24"/>
          <w14:textFill>
            <w14:solidFill>
              <w14:schemeClr w14:val="tx1"/>
            </w14:solidFill>
          </w14:textFill>
        </w:rPr>
      </w:pPr>
      <w:r>
        <w:rPr>
          <w:rFonts w:hint="eastAsia" w:hAnsi="宋体"/>
          <w:b/>
          <w:bCs/>
          <w:color w:val="000000" w:themeColor="text1"/>
          <w:szCs w:val="24"/>
          <w14:textFill>
            <w14:solidFill>
              <w14:schemeClr w14:val="tx1"/>
            </w14:solidFill>
          </w14:textFill>
        </w:rPr>
        <w:t>表2-</w:t>
      </w:r>
      <w:r>
        <w:rPr>
          <w:rFonts w:hint="eastAsia" w:hAnsi="宋体"/>
          <w:b/>
          <w:bCs/>
          <w:color w:val="000000" w:themeColor="text1"/>
          <w:szCs w:val="24"/>
          <w:lang w:val="en-US" w:eastAsia="zh-CN"/>
          <w14:textFill>
            <w14:solidFill>
              <w14:schemeClr w14:val="tx1"/>
            </w14:solidFill>
          </w14:textFill>
        </w:rPr>
        <w:t>5</w:t>
      </w:r>
      <w:r>
        <w:rPr>
          <w:rFonts w:hint="eastAsia" w:hAnsi="宋体"/>
          <w:b/>
          <w:bCs/>
          <w:color w:val="000000" w:themeColor="text1"/>
          <w:szCs w:val="24"/>
          <w14:textFill>
            <w14:solidFill>
              <w14:schemeClr w14:val="tx1"/>
            </w14:solidFill>
          </w14:textFill>
        </w:rPr>
        <w:t xml:space="preserve"> 主要消防设施一览表</w:t>
      </w:r>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99"/>
        <w:gridCol w:w="2214"/>
        <w:gridCol w:w="2907"/>
      </w:tblGrid>
      <w:tr w14:paraId="738AA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9" w:type="dxa"/>
          </w:tcPr>
          <w:p w14:paraId="2C9F5518">
            <w:pPr>
              <w:spacing w:line="500" w:lineRule="exact"/>
              <w:jc w:val="center"/>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设备名称</w:t>
            </w:r>
          </w:p>
        </w:tc>
        <w:tc>
          <w:tcPr>
            <w:tcW w:w="2214" w:type="dxa"/>
          </w:tcPr>
          <w:p w14:paraId="3231AA42">
            <w:pPr>
              <w:spacing w:line="500" w:lineRule="exact"/>
              <w:jc w:val="center"/>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设备数量</w:t>
            </w:r>
          </w:p>
        </w:tc>
        <w:tc>
          <w:tcPr>
            <w:tcW w:w="2907" w:type="dxa"/>
          </w:tcPr>
          <w:p w14:paraId="521FEC3D">
            <w:pPr>
              <w:spacing w:line="500" w:lineRule="exact"/>
              <w:jc w:val="center"/>
              <w:rPr>
                <w:rFonts w:hAnsi="宋体"/>
                <w:b/>
                <w:bCs/>
                <w:color w:val="000000" w:themeColor="text1"/>
                <w:sz w:val="21"/>
                <w:szCs w:val="21"/>
                <w14:textFill>
                  <w14:solidFill>
                    <w14:schemeClr w14:val="tx1"/>
                  </w14:solidFill>
                </w14:textFill>
              </w:rPr>
            </w:pPr>
            <w:r>
              <w:rPr>
                <w:rFonts w:hint="eastAsia" w:hAnsi="宋体"/>
                <w:b/>
                <w:bCs/>
                <w:color w:val="000000" w:themeColor="text1"/>
                <w:sz w:val="21"/>
                <w:szCs w:val="21"/>
                <w14:textFill>
                  <w14:solidFill>
                    <w14:schemeClr w14:val="tx1"/>
                  </w14:solidFill>
                </w14:textFill>
              </w:rPr>
              <w:t>设置位置</w:t>
            </w:r>
          </w:p>
        </w:tc>
      </w:tr>
      <w:tr w14:paraId="56E1B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9" w:type="dxa"/>
          </w:tcPr>
          <w:p w14:paraId="4DB2D6DB">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手提式干粉灭火器</w:t>
            </w:r>
          </w:p>
        </w:tc>
        <w:tc>
          <w:tcPr>
            <w:tcW w:w="2214" w:type="dxa"/>
          </w:tcPr>
          <w:p w14:paraId="528C190D">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2具</w:t>
            </w:r>
          </w:p>
        </w:tc>
        <w:tc>
          <w:tcPr>
            <w:tcW w:w="2907" w:type="dxa"/>
          </w:tcPr>
          <w:p w14:paraId="3D03C4E9">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办公室</w:t>
            </w:r>
          </w:p>
        </w:tc>
      </w:tr>
      <w:tr w14:paraId="57BD7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3599" w:type="dxa"/>
          </w:tcPr>
          <w:p w14:paraId="2CBC3D45">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手提式干粉灭火器</w:t>
            </w:r>
          </w:p>
        </w:tc>
        <w:tc>
          <w:tcPr>
            <w:tcW w:w="2214" w:type="dxa"/>
          </w:tcPr>
          <w:p w14:paraId="4DB322FE">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2具</w:t>
            </w:r>
          </w:p>
        </w:tc>
        <w:tc>
          <w:tcPr>
            <w:tcW w:w="2907" w:type="dxa"/>
          </w:tcPr>
          <w:p w14:paraId="55D4D356">
            <w:pPr>
              <w:spacing w:line="500" w:lineRule="exact"/>
              <w:jc w:val="center"/>
              <w:rPr>
                <w:rFonts w:hint="default" w:hAnsi="宋体" w:eastAsia="宋体"/>
                <w:color w:val="000000" w:themeColor="text1"/>
                <w:sz w:val="21"/>
                <w:szCs w:val="21"/>
                <w:lang w:val="en-US" w:eastAsia="zh-CN"/>
                <w14:textFill>
                  <w14:solidFill>
                    <w14:schemeClr w14:val="tx1"/>
                  </w14:solidFill>
                </w14:textFill>
              </w:rPr>
            </w:pPr>
            <w:r>
              <w:rPr>
                <w:rFonts w:hint="eastAsia" w:hAnsi="宋体"/>
                <w:color w:val="000000" w:themeColor="text1"/>
                <w:sz w:val="21"/>
                <w:szCs w:val="21"/>
                <w:lang w:val="en-US" w:eastAsia="zh-CN"/>
                <w14:textFill>
                  <w14:solidFill>
                    <w14:schemeClr w14:val="tx1"/>
                  </w14:solidFill>
                </w14:textFill>
              </w:rPr>
              <w:t>住宿区</w:t>
            </w:r>
          </w:p>
        </w:tc>
      </w:tr>
      <w:tr w14:paraId="6971B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9" w:type="dxa"/>
          </w:tcPr>
          <w:p w14:paraId="0CD8ADBA">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手提式干粉灭火器</w:t>
            </w:r>
          </w:p>
        </w:tc>
        <w:tc>
          <w:tcPr>
            <w:tcW w:w="2214" w:type="dxa"/>
          </w:tcPr>
          <w:p w14:paraId="68D29913">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4具</w:t>
            </w:r>
          </w:p>
        </w:tc>
        <w:tc>
          <w:tcPr>
            <w:tcW w:w="2907" w:type="dxa"/>
          </w:tcPr>
          <w:p w14:paraId="28372DB9">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生产车间</w:t>
            </w:r>
          </w:p>
        </w:tc>
      </w:tr>
      <w:tr w14:paraId="4EF43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9" w:type="dxa"/>
          </w:tcPr>
          <w:p w14:paraId="59010814">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手提式干粉灭火器</w:t>
            </w:r>
          </w:p>
        </w:tc>
        <w:tc>
          <w:tcPr>
            <w:tcW w:w="2214" w:type="dxa"/>
          </w:tcPr>
          <w:p w14:paraId="3C3DA369">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2具</w:t>
            </w:r>
          </w:p>
        </w:tc>
        <w:tc>
          <w:tcPr>
            <w:tcW w:w="2907" w:type="dxa"/>
          </w:tcPr>
          <w:p w14:paraId="215EE586">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原材料仓库</w:t>
            </w:r>
          </w:p>
        </w:tc>
      </w:tr>
      <w:tr w14:paraId="60B02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9" w:type="dxa"/>
          </w:tcPr>
          <w:p w14:paraId="30B83E17">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手提式干粉灭火器</w:t>
            </w:r>
          </w:p>
        </w:tc>
        <w:tc>
          <w:tcPr>
            <w:tcW w:w="2214" w:type="dxa"/>
          </w:tcPr>
          <w:p w14:paraId="503297ED">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2具</w:t>
            </w:r>
          </w:p>
        </w:tc>
        <w:tc>
          <w:tcPr>
            <w:tcW w:w="2907" w:type="dxa"/>
          </w:tcPr>
          <w:p w14:paraId="20FA4241">
            <w:pPr>
              <w:spacing w:line="500" w:lineRule="exact"/>
              <w:jc w:val="center"/>
              <w:rPr>
                <w:rFonts w:hAnsi="宋体"/>
                <w:color w:val="000000" w:themeColor="text1"/>
                <w:sz w:val="21"/>
                <w:szCs w:val="21"/>
                <w14:textFill>
                  <w14:solidFill>
                    <w14:schemeClr w14:val="tx1"/>
                  </w14:solidFill>
                </w14:textFill>
              </w:rPr>
            </w:pPr>
            <w:r>
              <w:rPr>
                <w:rFonts w:hint="eastAsia" w:hAnsi="宋体"/>
                <w:color w:val="000000" w:themeColor="text1"/>
                <w:sz w:val="21"/>
                <w:szCs w:val="21"/>
                <w14:textFill>
                  <w14:solidFill>
                    <w14:schemeClr w14:val="tx1"/>
                  </w14:solidFill>
                </w14:textFill>
              </w:rPr>
              <w:t>危废暂存间门口</w:t>
            </w:r>
          </w:p>
        </w:tc>
      </w:tr>
    </w:tbl>
    <w:p w14:paraId="33A27211">
      <w:pPr>
        <w:pStyle w:val="9"/>
        <w:rPr>
          <w:rFonts w:hint="default"/>
          <w:color w:val="000000" w:themeColor="text1"/>
          <w:lang w:val="en-US" w:eastAsia="zh-CN"/>
          <w14:textFill>
            <w14:solidFill>
              <w14:schemeClr w14:val="tx1"/>
            </w14:solidFill>
          </w14:textFill>
        </w:rPr>
      </w:pPr>
    </w:p>
    <w:bookmarkEnd w:id="189"/>
    <w:p w14:paraId="3437683A">
      <w:pPr>
        <w:pStyle w:val="5"/>
        <w:rPr>
          <w:rFonts w:ascii="Times New Roman" w:hAnsi="Times New Roman" w:cs="Times New Roman"/>
          <w:color w:val="000000" w:themeColor="text1"/>
          <w14:textFill>
            <w14:solidFill>
              <w14:schemeClr w14:val="tx1"/>
            </w14:solidFill>
          </w14:textFill>
        </w:rPr>
      </w:pPr>
      <w:bookmarkStart w:id="192" w:name="_Toc15886"/>
      <w:bookmarkStart w:id="193" w:name="_Toc2961"/>
      <w:r>
        <w:rPr>
          <w:rFonts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安全设施</w:t>
      </w:r>
      <w:bookmarkEnd w:id="190"/>
      <w:bookmarkEnd w:id="192"/>
      <w:bookmarkEnd w:id="193"/>
    </w:p>
    <w:p w14:paraId="08170D8A">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一、预防事故设施</w:t>
      </w:r>
    </w:p>
    <w:p w14:paraId="13A5AA47">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1.电机联轴器、皮带、链条等处设置了机械防护罩。</w:t>
      </w:r>
    </w:p>
    <w:p w14:paraId="6FB5608E">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2.厂内设备、栏杆等金属部件定期进行防腐处理。</w:t>
      </w:r>
    </w:p>
    <w:p w14:paraId="6D48350A">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3.厂内危险区域均设置了对应安全警示标识。</w:t>
      </w:r>
    </w:p>
    <w:p w14:paraId="24ED06B2">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4.对所有设备的外露传动部分安装完善的防护罩，对可见的设备内部运转的部位安装防护挡板或防护栏，防止机械伤害。</w:t>
      </w:r>
    </w:p>
    <w:p w14:paraId="4897D9E0">
      <w:pPr>
        <w:tabs>
          <w:tab w:val="left" w:pos="2700"/>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5.设备设施均采取了设备安全保护接地。</w:t>
      </w:r>
    </w:p>
    <w:p w14:paraId="57858EA1">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6.为作业人员配备了符合要求的劳动防护用品。</w:t>
      </w:r>
    </w:p>
    <w:p w14:paraId="584BA7E9">
      <w:pPr>
        <w:tabs>
          <w:tab w:val="left" w:pos="2700"/>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lang w:val="en-US" w:eastAsia="zh-CN"/>
          <w14:textFill>
            <w14:solidFill>
              <w14:schemeClr w14:val="tx1"/>
            </w14:solidFill>
          </w14:textFill>
        </w:rPr>
        <w:t>7</w:t>
      </w:r>
      <w:r>
        <w:rPr>
          <w:rFonts w:hint="eastAsia" w:ascii="宋体" w:hAnsi="宋体" w:eastAsia="宋体" w:cs="宋体"/>
          <w:color w:val="000000" w:themeColor="text1"/>
          <w:sz w:val="28"/>
          <w14:textFill>
            <w14:solidFill>
              <w14:schemeClr w14:val="tx1"/>
            </w14:solidFill>
          </w14:textFill>
        </w:rPr>
        <w:t>.电气开关、动力柜等均装设有过流保护器。</w:t>
      </w:r>
    </w:p>
    <w:p w14:paraId="48BE2D4F">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二、控制事故设施</w:t>
      </w:r>
    </w:p>
    <w:p w14:paraId="48E04CFC">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1.各动力柜、电控柜及部分生产设备上配置有电控系统急停按钮。</w:t>
      </w:r>
    </w:p>
    <w:p w14:paraId="63DA1CD2">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2.生产设备多为自动化程度较高的设备，发生事故或机械故障时可联锁停机，以免造成事故的发生。</w:t>
      </w:r>
    </w:p>
    <w:p w14:paraId="5D2A9C04">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三、减少与消除事故影响设施</w:t>
      </w:r>
    </w:p>
    <w:p w14:paraId="6ECEEE4E">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1.办公</w:t>
      </w:r>
      <w:r>
        <w:rPr>
          <w:rFonts w:hint="eastAsia" w:ascii="宋体" w:hAnsi="宋体" w:cs="宋体"/>
          <w:color w:val="000000" w:themeColor="text1"/>
          <w:sz w:val="28"/>
          <w:lang w:val="en-US" w:eastAsia="zh-CN"/>
          <w14:textFill>
            <w14:solidFill>
              <w14:schemeClr w14:val="tx1"/>
            </w14:solidFill>
          </w14:textFill>
        </w:rPr>
        <w:t>区</w:t>
      </w:r>
      <w:r>
        <w:rPr>
          <w:rFonts w:hint="eastAsia" w:ascii="宋体" w:hAnsi="宋体" w:cs="宋体"/>
          <w:color w:val="000000" w:themeColor="text1"/>
          <w:sz w:val="28"/>
          <w14:textFill>
            <w14:solidFill>
              <w14:schemeClr w14:val="tx1"/>
            </w14:solidFill>
          </w14:textFill>
        </w:rPr>
        <w:t>、生产车间、仓库等区域均设置了应急照明灯、应急指示灯、灭火器等应急器材。</w:t>
      </w:r>
    </w:p>
    <w:p w14:paraId="10F8C3DA">
      <w:pPr>
        <w:tabs>
          <w:tab w:val="left" w:pos="2700"/>
        </w:tabs>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lang w:val="en-US" w:eastAsia="zh-CN"/>
          <w14:textFill>
            <w14:solidFill>
              <w14:schemeClr w14:val="tx1"/>
            </w14:solidFill>
          </w14:textFill>
        </w:rPr>
        <w:t>2</w:t>
      </w:r>
      <w:r>
        <w:rPr>
          <w:rFonts w:hint="eastAsia" w:ascii="宋体" w:hAnsi="宋体" w:cs="宋体"/>
          <w:color w:val="000000" w:themeColor="text1"/>
          <w:sz w:val="28"/>
          <w14:textFill>
            <w14:solidFill>
              <w14:schemeClr w14:val="tx1"/>
            </w14:solidFill>
          </w14:textFill>
        </w:rPr>
        <w:t>.为工作人员配置了安全帽、防护手套、防尘口罩等劳动保护用品。</w:t>
      </w:r>
    </w:p>
    <w:p w14:paraId="0A1087FC">
      <w:pPr>
        <w:tabs>
          <w:tab w:val="left" w:pos="2700"/>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sz w:val="28"/>
          <w:lang w:val="en-US" w:eastAsia="zh-CN"/>
          <w14:textFill>
            <w14:solidFill>
              <w14:schemeClr w14:val="tx1"/>
            </w14:solidFill>
          </w14:textFill>
        </w:rPr>
        <w:t>3</w:t>
      </w:r>
      <w:r>
        <w:rPr>
          <w:rFonts w:hint="eastAsia" w:ascii="宋体" w:hAnsi="宋体" w:eastAsia="宋体" w:cs="宋体"/>
          <w:color w:val="000000" w:themeColor="text1"/>
          <w:sz w:val="28"/>
          <w14:textFill>
            <w14:solidFill>
              <w14:schemeClr w14:val="tx1"/>
            </w14:solidFill>
          </w14:textFill>
        </w:rPr>
        <w:t>.动力柜、开关箱等安装了漏电保护装置。</w:t>
      </w:r>
    </w:p>
    <w:bookmarkEnd w:id="179"/>
    <w:bookmarkEnd w:id="180"/>
    <w:p w14:paraId="1E3D619C">
      <w:pPr>
        <w:pStyle w:val="5"/>
        <w:rPr>
          <w:rFonts w:ascii="Times New Roman" w:hAnsi="Times New Roman" w:cs="Times New Roman"/>
          <w:color w:val="000000" w:themeColor="text1"/>
          <w14:textFill>
            <w14:solidFill>
              <w14:schemeClr w14:val="tx1"/>
            </w14:solidFill>
          </w14:textFill>
        </w:rPr>
      </w:pPr>
      <w:bookmarkStart w:id="194" w:name="_Toc8335"/>
      <w:bookmarkStart w:id="195" w:name="_Toc20296"/>
      <w:bookmarkStart w:id="196" w:name="_Toc17208"/>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cs="Times New Roman"/>
          <w:color w:val="000000" w:themeColor="text1"/>
          <w14:textFill>
            <w14:solidFill>
              <w14:schemeClr w14:val="tx1"/>
            </w14:solidFill>
          </w14:textFill>
        </w:rPr>
        <w:t>.</w:t>
      </w:r>
      <w:bookmarkEnd w:id="194"/>
      <w:r>
        <w:rPr>
          <w:rFonts w:hint="eastAsia" w:ascii="Times New Roman" w:hAnsi="Times New Roman" w:cs="Times New Roman"/>
          <w:color w:val="000000" w:themeColor="text1"/>
          <w14:textFill>
            <w14:solidFill>
              <w14:schemeClr w14:val="tx1"/>
            </w14:solidFill>
          </w14:textFill>
        </w:rPr>
        <w:t>5其他</w:t>
      </w:r>
      <w:bookmarkEnd w:id="195"/>
      <w:bookmarkEnd w:id="196"/>
    </w:p>
    <w:p w14:paraId="17AD1C63">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Ansi="宋体" w:cs="宋体"/>
          <w:b/>
          <w:bCs/>
          <w:color w:val="000000" w:themeColor="text1"/>
          <w:sz w:val="28"/>
          <w:szCs w:val="28"/>
          <w14:textFill>
            <w14:solidFill>
              <w14:schemeClr w14:val="tx1"/>
            </w14:solidFill>
          </w14:textFill>
        </w:rPr>
      </w:pPr>
      <w:r>
        <w:rPr>
          <w:rFonts w:hint="eastAsia" w:hAnsi="宋体" w:cs="宋体"/>
          <w:b/>
          <w:bCs/>
          <w:color w:val="000000" w:themeColor="text1"/>
          <w:sz w:val="28"/>
          <w:szCs w:val="28"/>
          <w14:textFill>
            <w14:solidFill>
              <w14:schemeClr w14:val="tx1"/>
            </w14:solidFill>
          </w14:textFill>
        </w:rPr>
        <w:t xml:space="preserve">1.危废暂存间  </w:t>
      </w:r>
    </w:p>
    <w:p w14:paraId="0E0B8B4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该厂的危废暂存间设置</w:t>
      </w:r>
      <w:r>
        <w:rPr>
          <w:rFonts w:hint="eastAsia" w:hAnsi="宋体" w:cs="宋体"/>
          <w:color w:val="000000" w:themeColor="text1"/>
          <w:sz w:val="28"/>
          <w:szCs w:val="28"/>
          <w:lang w:val="en-US" w:eastAsia="zh-CN"/>
          <w14:textFill>
            <w14:solidFill>
              <w14:schemeClr w14:val="tx1"/>
            </w14:solidFill>
          </w14:textFill>
        </w:rPr>
        <w:t>生产区内北西侧</w:t>
      </w:r>
      <w:r>
        <w:rPr>
          <w:rFonts w:hint="eastAsia" w:hAnsi="宋体" w:cs="宋体"/>
          <w:color w:val="000000" w:themeColor="text1"/>
          <w:sz w:val="28"/>
          <w:szCs w:val="28"/>
          <w14:textFill>
            <w14:solidFill>
              <w14:schemeClr w14:val="tx1"/>
            </w14:solidFill>
          </w14:textFill>
        </w:rPr>
        <w:t>，旁边配备了相应的灭火器材。</w:t>
      </w:r>
    </w:p>
    <w:p w14:paraId="35CFBA60">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Ansi="宋体" w:cs="宋体"/>
          <w:b/>
          <w:bCs/>
          <w:color w:val="000000" w:themeColor="text1"/>
          <w:sz w:val="28"/>
          <w:szCs w:val="28"/>
          <w14:textFill>
            <w14:solidFill>
              <w14:schemeClr w14:val="tx1"/>
            </w14:solidFill>
          </w14:textFill>
        </w:rPr>
      </w:pPr>
      <w:r>
        <w:rPr>
          <w:rFonts w:hint="eastAsia" w:hAnsi="宋体" w:cs="宋体"/>
          <w:b/>
          <w:bCs/>
          <w:color w:val="000000" w:themeColor="text1"/>
          <w:sz w:val="28"/>
          <w:szCs w:val="28"/>
          <w14:textFill>
            <w14:solidFill>
              <w14:schemeClr w14:val="tx1"/>
            </w14:solidFill>
          </w14:textFill>
        </w:rPr>
        <w:t>2.气瓶储存</w:t>
      </w:r>
    </w:p>
    <w:p w14:paraId="0DDE404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该企业主要使用的气瓶为检修</w:t>
      </w:r>
      <w:r>
        <w:rPr>
          <w:rFonts w:hint="default" w:ascii="Times New Roman" w:hAnsi="Times New Roman" w:cs="Times New Roman"/>
          <w:color w:val="000000" w:themeColor="text1"/>
          <w:sz w:val="28"/>
          <w:szCs w:val="28"/>
          <w:lang w:eastAsia="zh-CN"/>
          <w14:textFill>
            <w14:solidFill>
              <w14:schemeClr w14:val="tx1"/>
            </w14:solidFill>
          </w14:textFill>
        </w:rPr>
        <w:t>焊接时使</w:t>
      </w:r>
      <w:r>
        <w:rPr>
          <w:rFonts w:hint="default" w:ascii="Times New Roman" w:hAnsi="Times New Roman" w:cs="Times New Roman"/>
          <w:color w:val="000000" w:themeColor="text1"/>
          <w:sz w:val="28"/>
          <w:szCs w:val="28"/>
          <w14:textFill>
            <w14:solidFill>
              <w14:schemeClr w14:val="tx1"/>
            </w14:solidFill>
          </w14:textFill>
        </w:rPr>
        <w:t>用的乙炔、氧气气瓶，</w:t>
      </w:r>
      <w:r>
        <w:rPr>
          <w:rFonts w:hint="default" w:ascii="Times New Roman" w:hAnsi="Times New Roman" w:cs="Times New Roman"/>
          <w:color w:val="000000" w:themeColor="text1"/>
          <w:sz w:val="28"/>
          <w:szCs w:val="28"/>
          <w:lang w:eastAsia="zh-CN"/>
          <w14:textFill>
            <w14:solidFill>
              <w14:schemeClr w14:val="tx1"/>
            </w14:solidFill>
          </w14:textFill>
        </w:rPr>
        <w:t>平时用量很少，</w:t>
      </w:r>
      <w:r>
        <w:rPr>
          <w:rFonts w:hint="default" w:ascii="Times New Roman" w:hAnsi="Times New Roman" w:cs="Times New Roman"/>
          <w:color w:val="000000" w:themeColor="text1"/>
          <w:sz w:val="28"/>
          <w:szCs w:val="28"/>
          <w14:textFill>
            <w14:solidFill>
              <w14:schemeClr w14:val="tx1"/>
            </w14:solidFill>
          </w14:textFill>
        </w:rPr>
        <w:t>氧气瓶</w:t>
      </w:r>
      <w:r>
        <w:rPr>
          <w:rFonts w:hint="eastAsia"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lang w:eastAsia="zh-CN"/>
          <w14:textFill>
            <w14:solidFill>
              <w14:schemeClr w14:val="tx1"/>
            </w14:solidFill>
          </w14:textFill>
        </w:rPr>
        <w:t>乙炔</w:t>
      </w:r>
      <w:r>
        <w:rPr>
          <w:rFonts w:hint="eastAsia" w:ascii="Times New Roman" w:hAnsi="Times New Roman" w:cs="Times New Roman"/>
          <w:color w:val="000000" w:themeColor="text1"/>
          <w:sz w:val="28"/>
          <w:szCs w:val="28"/>
          <w:lang w:val="en-US" w:eastAsia="zh-CN"/>
          <w14:textFill>
            <w14:solidFill>
              <w14:schemeClr w14:val="tx1"/>
            </w14:solidFill>
          </w14:textFill>
        </w:rPr>
        <w:t>瓶</w:t>
      </w:r>
      <w:r>
        <w:rPr>
          <w:rFonts w:hint="eastAsia" w:ascii="Times New Roman" w:cs="Times New Roman"/>
          <w:color w:val="000000" w:themeColor="text1"/>
          <w:sz w:val="28"/>
          <w:szCs w:val="28"/>
          <w:lang w:val="en-US" w:eastAsia="zh-CN"/>
          <w14:textFill>
            <w14:solidFill>
              <w14:schemeClr w14:val="tx1"/>
            </w14:solidFill>
          </w14:textFill>
        </w:rPr>
        <w:t>各</w:t>
      </w:r>
      <w:r>
        <w:rPr>
          <w:rFonts w:hint="default" w:ascii="Times New Roman" w:hAnsi="Times New Roman" w:cs="Times New Roman"/>
          <w:color w:val="000000" w:themeColor="text1"/>
          <w:sz w:val="28"/>
          <w:szCs w:val="28"/>
          <w14:textFill>
            <w14:solidFill>
              <w14:schemeClr w14:val="tx1"/>
            </w14:solidFill>
          </w14:textFill>
        </w:rPr>
        <w:t>存</w:t>
      </w:r>
      <w:r>
        <w:rPr>
          <w:rFonts w:hint="default" w:ascii="Times New Roman" w:hAnsi="Times New Roman" w:cs="Times New Roman"/>
          <w:color w:val="000000" w:themeColor="text1"/>
          <w:sz w:val="28"/>
          <w:szCs w:val="28"/>
          <w:lang w:eastAsia="zh-CN"/>
          <w14:textFill>
            <w14:solidFill>
              <w14:schemeClr w14:val="tx1"/>
            </w14:solidFill>
          </w14:textFill>
        </w:rPr>
        <w:t>放</w:t>
      </w:r>
      <w:r>
        <w:rPr>
          <w:rFonts w:hint="eastAsia" w:asci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瓶</w:t>
      </w:r>
      <w:r>
        <w:rPr>
          <w:rFonts w:hint="eastAsia"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满足日常正常使用</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空瓶</w:t>
      </w:r>
      <w:r>
        <w:rPr>
          <w:rFonts w:hint="default" w:ascii="Times New Roman" w:hAnsi="Times New Roman" w:cs="Times New Roman"/>
          <w:color w:val="000000" w:themeColor="text1"/>
          <w:sz w:val="28"/>
          <w:szCs w:val="28"/>
          <w:lang w:eastAsia="zh-CN"/>
          <w14:textFill>
            <w14:solidFill>
              <w14:schemeClr w14:val="tx1"/>
            </w14:solidFill>
          </w14:textFill>
        </w:rPr>
        <w:t>与实瓶分开存放在阴凉的地方并设置防倾倒措施</w:t>
      </w:r>
      <w:r>
        <w:rPr>
          <w:rFonts w:hint="default" w:ascii="Times New Roman" w:hAnsi="Times New Roman" w:cs="Times New Roman"/>
          <w:color w:val="000000" w:themeColor="text1"/>
          <w:sz w:val="28"/>
          <w:szCs w:val="28"/>
          <w14:textFill>
            <w14:solidFill>
              <w14:schemeClr w14:val="tx1"/>
            </w14:solidFill>
          </w14:textFill>
        </w:rPr>
        <w:t>。</w:t>
      </w:r>
    </w:p>
    <w:p w14:paraId="5B1CE5A4">
      <w:pPr>
        <w:pStyle w:val="4"/>
        <w:rPr>
          <w:rFonts w:hint="eastAsia" w:ascii="Times New Roman" w:hAnsi="Times New Roman" w:cs="Times New Roman"/>
          <w:color w:val="000000" w:themeColor="text1"/>
          <w14:textFill>
            <w14:solidFill>
              <w14:schemeClr w14:val="tx1"/>
            </w14:solidFill>
          </w14:textFill>
        </w:rPr>
      </w:pPr>
      <w:bookmarkStart w:id="197" w:name="_Toc21"/>
      <w:bookmarkStart w:id="198" w:name="_Toc21306"/>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7</w:t>
      </w:r>
      <w:r>
        <w:rPr>
          <w:rFonts w:hint="eastAsia" w:ascii="Times New Roman" w:hAnsi="Times New Roman" w:cs="Times New Roman"/>
          <w:color w:val="000000" w:themeColor="text1"/>
          <w14:textFill>
            <w14:solidFill>
              <w14:schemeClr w14:val="tx1"/>
            </w14:solidFill>
          </w14:textFill>
        </w:rPr>
        <w:t>安全管理现状</w:t>
      </w:r>
      <w:bookmarkEnd w:id="197"/>
      <w:bookmarkEnd w:id="198"/>
    </w:p>
    <w:p w14:paraId="2CDC35CD">
      <w:pPr>
        <w:pStyle w:val="5"/>
        <w:rPr>
          <w:rFonts w:ascii="Times New Roman" w:hAnsi="Times New Roman"/>
          <w:color w:val="000000" w:themeColor="text1"/>
          <w14:textFill>
            <w14:solidFill>
              <w14:schemeClr w14:val="tx1"/>
            </w14:solidFill>
          </w14:textFill>
        </w:rPr>
      </w:pPr>
      <w:bookmarkStart w:id="199" w:name="_Toc14088"/>
      <w:bookmarkStart w:id="200" w:name="_Toc15389"/>
      <w:bookmarkStart w:id="201" w:name="_Toc10751"/>
      <w:r>
        <w:rPr>
          <w:rFonts w:hint="eastAsia"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7</w:t>
      </w:r>
      <w:r>
        <w:rPr>
          <w:rFonts w:hint="eastAsia" w:ascii="Times New Roman" w:hAnsi="Times New Roman"/>
          <w:color w:val="000000" w:themeColor="text1"/>
          <w14:textFill>
            <w14:solidFill>
              <w14:schemeClr w14:val="tx1"/>
            </w14:solidFill>
          </w14:textFill>
        </w:rPr>
        <w:t>.1</w:t>
      </w:r>
      <w:r>
        <w:rPr>
          <w:rFonts w:hint="eastAsia" w:ascii="Times New Roman" w:hAnsi="Times New Roman"/>
          <w:color w:val="000000" w:themeColor="text1"/>
          <w:lang w:val="en-US" w:eastAsia="zh-CN"/>
          <w14:textFill>
            <w14:solidFill>
              <w14:schemeClr w14:val="tx1"/>
            </w14:solidFill>
          </w14:textFill>
        </w:rPr>
        <w:t>劳动定员及</w:t>
      </w:r>
      <w:r>
        <w:rPr>
          <w:rFonts w:hint="eastAsia" w:ascii="Times New Roman" w:hAnsi="Times New Roman"/>
          <w:color w:val="000000" w:themeColor="text1"/>
          <w14:textFill>
            <w14:solidFill>
              <w14:schemeClr w14:val="tx1"/>
            </w14:solidFill>
          </w14:textFill>
        </w:rPr>
        <w:t>工作制度</w:t>
      </w:r>
      <w:bookmarkEnd w:id="199"/>
      <w:bookmarkEnd w:id="200"/>
      <w:bookmarkEnd w:id="201"/>
    </w:p>
    <w:p w14:paraId="75E3365C">
      <w:pPr>
        <w:tabs>
          <w:tab w:val="left" w:pos="2700"/>
        </w:tabs>
        <w:adjustRightInd w:val="0"/>
        <w:snapToGrid w:val="0"/>
        <w:spacing w:line="500" w:lineRule="exact"/>
        <w:ind w:firstLine="560" w:firstLineChars="200"/>
        <w:rPr>
          <w:rFonts w:ascii="宋体" w:hAnsi="宋体" w:cs="宋体"/>
          <w:color w:val="000000" w:themeColor="text1"/>
          <w:sz w:val="28"/>
          <w:lang w:val="zh-CN"/>
          <w14:textFill>
            <w14:solidFill>
              <w14:schemeClr w14:val="tx1"/>
            </w14:solidFill>
          </w14:textFill>
        </w:rPr>
      </w:pPr>
      <w:bookmarkStart w:id="202" w:name="_Toc1487"/>
      <w:bookmarkStart w:id="203" w:name="_Toc9565"/>
      <w:r>
        <w:rPr>
          <w:rFonts w:hint="eastAsia" w:hAnsi="宋体" w:cs="宋体"/>
          <w:color w:val="000000" w:themeColor="text1"/>
          <w:sz w:val="28"/>
          <w:lang w:val="en-US" w:eastAsia="zh-CN"/>
          <w14:textFill>
            <w14:solidFill>
              <w14:schemeClr w14:val="tx1"/>
            </w14:solidFill>
          </w14:textFill>
        </w:rPr>
        <w:t>公司</w:t>
      </w:r>
      <w:r>
        <w:rPr>
          <w:rFonts w:hint="eastAsia" w:ascii="宋体" w:hAnsi="宋体" w:eastAsia="宋体" w:cs="宋体"/>
          <w:color w:val="000000" w:themeColor="text1"/>
          <w:sz w:val="28"/>
          <w:szCs w:val="28"/>
          <w:lang w:val="en-US" w:eastAsia="zh-CN" w:bidi="ar-SA"/>
          <w14:textFill>
            <w14:solidFill>
              <w14:schemeClr w14:val="tx1"/>
            </w14:solidFill>
          </w14:textFill>
        </w:rPr>
        <w:t>册人员共有</w:t>
      </w:r>
      <w:r>
        <w:rPr>
          <w:rFonts w:hint="eastAsia" w:hAnsi="宋体" w:cs="宋体"/>
          <w:color w:val="000000" w:themeColor="text1"/>
          <w:sz w:val="28"/>
          <w:szCs w:val="28"/>
          <w:lang w:val="en-US" w:eastAsia="zh-CN" w:bidi="ar-SA"/>
          <w14:textFill>
            <w14:solidFill>
              <w14:schemeClr w14:val="tx1"/>
            </w14:solidFill>
          </w14:textFill>
        </w:rPr>
        <w:t>15</w:t>
      </w:r>
      <w:r>
        <w:rPr>
          <w:rFonts w:hint="eastAsia" w:ascii="宋体" w:hAnsi="宋体" w:eastAsia="宋体" w:cs="宋体"/>
          <w:color w:val="000000" w:themeColor="text1"/>
          <w:sz w:val="28"/>
          <w:szCs w:val="28"/>
          <w:lang w:val="en-US" w:eastAsia="zh-CN" w:bidi="ar-SA"/>
          <w14:textFill>
            <w14:solidFill>
              <w14:schemeClr w14:val="tx1"/>
            </w14:solidFill>
          </w14:textFill>
        </w:rPr>
        <w:t>人</w:t>
      </w:r>
      <w:r>
        <w:rPr>
          <w:rFonts w:hint="eastAsia" w:hAnsi="宋体" w:cs="宋体"/>
          <w:color w:val="000000" w:themeColor="text1"/>
          <w:sz w:val="28"/>
          <w:szCs w:val="28"/>
          <w:lang w:val="en-US" w:eastAsia="zh-CN" w:bidi="ar-SA"/>
          <w14:textFill>
            <w14:solidFill>
              <w14:schemeClr w14:val="tx1"/>
            </w14:solidFill>
          </w14:textFill>
        </w:rPr>
        <w:t>，</w:t>
      </w:r>
      <w:r>
        <w:rPr>
          <w:rFonts w:hint="eastAsia" w:ascii="宋体" w:hAnsi="宋体" w:eastAsia="宋体" w:cs="宋体"/>
          <w:color w:val="000000" w:themeColor="text1"/>
          <w:sz w:val="28"/>
          <w14:textFill>
            <w14:solidFill>
              <w14:schemeClr w14:val="tx1"/>
            </w14:solidFill>
          </w14:textFill>
        </w:rPr>
        <w:t>其中管理人员</w:t>
      </w:r>
      <w:r>
        <w:rPr>
          <w:rFonts w:hint="eastAsia" w:ascii="宋体" w:hAnsi="宋体" w:eastAsia="宋体" w:cs="宋体"/>
          <w:color w:val="000000" w:themeColor="text1"/>
          <w:sz w:val="28"/>
          <w:lang w:val="en-US" w:eastAsia="zh-CN"/>
          <w14:textFill>
            <w14:solidFill>
              <w14:schemeClr w14:val="tx1"/>
            </w14:solidFill>
          </w14:textFill>
        </w:rPr>
        <w:t>4</w:t>
      </w:r>
      <w:r>
        <w:rPr>
          <w:rFonts w:hint="eastAsia" w:ascii="宋体" w:hAnsi="宋体" w:eastAsia="宋体" w:cs="宋体"/>
          <w:color w:val="000000" w:themeColor="text1"/>
          <w:sz w:val="28"/>
          <w14:textFill>
            <w14:solidFill>
              <w14:schemeClr w14:val="tx1"/>
            </w14:solidFill>
          </w14:textFill>
        </w:rPr>
        <w:t>人</w:t>
      </w:r>
      <w:r>
        <w:rPr>
          <w:rFonts w:hint="eastAsia" w:ascii="宋体" w:hAnsi="宋体" w:cs="宋体"/>
          <w:color w:val="000000" w:themeColor="text1"/>
          <w:sz w:val="28"/>
          <w14:textFill>
            <w14:solidFill>
              <w14:schemeClr w14:val="tx1"/>
            </w14:solidFill>
          </w14:textFill>
        </w:rPr>
        <w:t>，技术、岗位人员共计1</w:t>
      </w:r>
      <w:r>
        <w:rPr>
          <w:rFonts w:hint="eastAsia" w:ascii="宋体" w:hAnsi="宋体" w:cs="宋体"/>
          <w:color w:val="000000" w:themeColor="text1"/>
          <w:sz w:val="28"/>
          <w:lang w:val="en-US" w:eastAsia="zh-CN"/>
          <w14:textFill>
            <w14:solidFill>
              <w14:schemeClr w14:val="tx1"/>
            </w14:solidFill>
          </w14:textFill>
        </w:rPr>
        <w:t>1</w:t>
      </w:r>
      <w:r>
        <w:rPr>
          <w:rFonts w:hint="eastAsia" w:ascii="宋体" w:hAnsi="宋体" w:cs="宋体"/>
          <w:color w:val="000000" w:themeColor="text1"/>
          <w:sz w:val="28"/>
          <w14:textFill>
            <w14:solidFill>
              <w14:schemeClr w14:val="tx1"/>
            </w14:solidFill>
          </w14:textFill>
        </w:rPr>
        <w:t>人。公司年工作约3</w:t>
      </w:r>
      <w:r>
        <w:rPr>
          <w:rFonts w:hint="eastAsia" w:ascii="宋体" w:hAnsi="宋体" w:cs="宋体"/>
          <w:color w:val="000000" w:themeColor="text1"/>
          <w:sz w:val="28"/>
          <w:lang w:val="en-US" w:eastAsia="zh-CN"/>
          <w14:textFill>
            <w14:solidFill>
              <w14:schemeClr w14:val="tx1"/>
            </w14:solidFill>
          </w14:textFill>
        </w:rPr>
        <w:t>0</w:t>
      </w:r>
      <w:r>
        <w:rPr>
          <w:rFonts w:hint="eastAsia" w:ascii="宋体" w:hAnsi="宋体" w:cs="宋体"/>
          <w:color w:val="000000" w:themeColor="text1"/>
          <w:sz w:val="28"/>
          <w14:textFill>
            <w14:solidFill>
              <w14:schemeClr w14:val="tx1"/>
            </w14:solidFill>
          </w14:textFill>
        </w:rPr>
        <w:t>0天，岗位实行白班制度，每班工作8小时。</w:t>
      </w:r>
    </w:p>
    <w:bookmarkEnd w:id="202"/>
    <w:p w14:paraId="26B55E6F">
      <w:pPr>
        <w:pStyle w:val="5"/>
        <w:rPr>
          <w:rFonts w:ascii="宋体" w:hAnsi="宋体"/>
          <w:color w:val="000000" w:themeColor="text1"/>
          <w14:textFill>
            <w14:solidFill>
              <w14:schemeClr w14:val="tx1"/>
            </w14:solidFill>
          </w14:textFill>
        </w:rPr>
      </w:pPr>
      <w:bookmarkStart w:id="204" w:name="_Toc3994"/>
      <w:bookmarkStart w:id="205" w:name="_Toc20033"/>
      <w:r>
        <w:rPr>
          <w:rFonts w:hint="eastAsia"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7</w:t>
      </w:r>
      <w:r>
        <w:rPr>
          <w:rFonts w:hint="eastAsia" w:ascii="Times New Roman" w:hAnsi="Times New Roman"/>
          <w:color w:val="000000" w:themeColor="text1"/>
          <w14:textFill>
            <w14:solidFill>
              <w14:schemeClr w14:val="tx1"/>
            </w14:solidFill>
          </w14:textFill>
        </w:rPr>
        <w:t>.2安全管理组织机构</w:t>
      </w:r>
      <w:bookmarkEnd w:id="203"/>
      <w:bookmarkEnd w:id="204"/>
      <w:bookmarkEnd w:id="205"/>
    </w:p>
    <w:p w14:paraId="25011B85">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Ansi="宋体"/>
          <w:color w:val="000000" w:themeColor="text1"/>
          <w:sz w:val="28"/>
          <w:szCs w:val="28"/>
          <w14:textFill>
            <w14:solidFill>
              <w14:schemeClr w14:val="tx1"/>
            </w14:solidFill>
          </w14:textFill>
        </w:rPr>
      </w:pPr>
      <w:r>
        <w:rPr>
          <w:rFonts w:hint="eastAsia" w:hAnsi="宋体"/>
          <w:color w:val="000000" w:themeColor="text1"/>
          <w:sz w:val="28"/>
          <w:szCs w:val="28"/>
          <w14:textFill>
            <w14:solidFill>
              <w14:schemeClr w14:val="tx1"/>
            </w14:solidFill>
          </w14:textFill>
        </w:rPr>
        <w:t>企业设置了安全生产领导小组，明确了安全领导小组职责，对生产各个环节的安全工作进行管理。</w:t>
      </w:r>
    </w:p>
    <w:p w14:paraId="34A9681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ascii="宋体" w:hAnsi="宋体"/>
          <w:color w:val="000000" w:themeColor="text1"/>
          <w:sz w:val="28"/>
          <w:szCs w:val="28"/>
          <w14:textFill>
            <w14:solidFill>
              <w14:schemeClr w14:val="tx1"/>
            </w14:solidFill>
          </w14:textFill>
        </w:rPr>
      </w:pPr>
      <w:r>
        <w:rPr>
          <w:rFonts w:hint="eastAsia" w:hAnsi="宋体"/>
          <w:color w:val="000000" w:themeColor="text1"/>
          <w:sz w:val="28"/>
          <w:szCs w:val="28"/>
          <w14:textFill>
            <w14:solidFill>
              <w14:schemeClr w14:val="tx1"/>
            </w14:solidFill>
          </w14:textFill>
        </w:rPr>
        <w:t>公司设置了安全管理组织机构，设置情况如图2-</w:t>
      </w:r>
      <w:r>
        <w:rPr>
          <w:rFonts w:hint="eastAsia" w:hAnsi="宋体"/>
          <w:color w:val="000000" w:themeColor="text1"/>
          <w:sz w:val="28"/>
          <w:szCs w:val="28"/>
          <w:lang w:val="en-US" w:eastAsia="zh-CN"/>
          <w14:textFill>
            <w14:solidFill>
              <w14:schemeClr w14:val="tx1"/>
            </w14:solidFill>
          </w14:textFill>
        </w:rPr>
        <w:t>5</w:t>
      </w:r>
      <w:r>
        <w:rPr>
          <w:rFonts w:hint="eastAsia" w:hAnsi="宋体"/>
          <w:color w:val="000000" w:themeColor="text1"/>
          <w:sz w:val="28"/>
          <w:szCs w:val="28"/>
          <w14:textFill>
            <w14:solidFill>
              <w14:schemeClr w14:val="tx1"/>
            </w14:solidFill>
          </w14:textFill>
        </w:rPr>
        <w:t>所示。</w:t>
      </w:r>
      <w:r>
        <w:rPr>
          <w:color w:val="000000" w:themeColor="text1"/>
          <w:sz w:val="28"/>
          <w14:textFill>
            <w14:solidFill>
              <w14:schemeClr w14:val="tx1"/>
            </w14:solidFill>
          </w14:textFill>
        </w:rPr>
        <mc:AlternateContent>
          <mc:Choice Requires="wps">
            <w:drawing>
              <wp:anchor distT="0" distB="0" distL="114300" distR="114300" simplePos="0" relativeHeight="251661312" behindDoc="1" locked="0" layoutInCell="1" allowOverlap="1">
                <wp:simplePos x="0" y="0"/>
                <wp:positionH relativeFrom="column">
                  <wp:posOffset>210820</wp:posOffset>
                </wp:positionH>
                <wp:positionV relativeFrom="paragraph">
                  <wp:posOffset>37465</wp:posOffset>
                </wp:positionV>
                <wp:extent cx="5257800" cy="2979420"/>
                <wp:effectExtent l="0" t="0" r="0" b="0"/>
                <wp:wrapNone/>
                <wp:docPr id="5"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TextEdit="1"/>
                      </wps:cNvSpPr>
                      <wps:spPr>
                        <a:xfrm>
                          <a:off x="0" y="0"/>
                          <a:ext cx="5257800" cy="2979420"/>
                        </a:xfrm>
                        <a:prstGeom prst="rect">
                          <a:avLst/>
                        </a:prstGeom>
                        <a:noFill/>
                        <a:ln>
                          <a:noFill/>
                        </a:ln>
                        <a:effectLst/>
                      </wps:spPr>
                      <wps:bodyPr upright="1"/>
                    </wps:wsp>
                  </a:graphicData>
                </a:graphic>
              </wp:anchor>
            </w:drawing>
          </mc:Choice>
          <mc:Fallback>
            <w:pict>
              <v:rect id="矩形 1" o:spid="_x0000_s1026" o:spt="1" style="position:absolute;left:0pt;margin-left:16.6pt;margin-top:2.95pt;height:234.6pt;width:414pt;z-index:-251655168;mso-width-relative:page;mso-height-relative:page;" filled="f" stroked="f" coordsize="21600,21600" o:gfxdata="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u31TB2QAAAAgBAAAPAAAAAAAAAAEAIAAAACIAAABkcnMvZG93bnJldi54&#10;bWxQSwECFAAUAAAACACHTuJA0BF99MABAACAAwAADgAAAAAAAAABACAAAAAoAQAAZHJzL2Uyb0Rv&#10;Yy54bWxQSwUGAAAAAAYABgBZAQAAWgUAAAAA&#10;">
                <v:fill on="f" focussize="0,0"/>
                <v:stroke on="f"/>
                <v:imagedata o:title=""/>
                <o:lock v:ext="edit" text="t" aspectratio="t"/>
              </v:rect>
            </w:pict>
          </mc:Fallback>
        </mc:AlternateContent>
      </w:r>
      <w:r>
        <w:rPr>
          <w:rFonts w:hint="eastAsia" w:eastAsiaTheme="minorEastAsia"/>
          <w:color w:val="000000" w:themeColor="text1"/>
          <w14:textFill>
            <w14:solidFill>
              <w14:schemeClr w14:val="tx1"/>
            </w14:solidFill>
          </w14:textFill>
        </w:rPr>
        <w:drawing>
          <wp:inline distT="0" distB="0" distL="114300" distR="114300">
            <wp:extent cx="5573395" cy="2216150"/>
            <wp:effectExtent l="0" t="0" r="4445" b="8890"/>
            <wp:docPr id="3"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wps"/>
                    <pic:cNvPicPr>
                      <a:picLocks noChangeAspect="1"/>
                    </pic:cNvPicPr>
                  </pic:nvPicPr>
                  <pic:blipFill>
                    <a:blip r:embed="rId27"/>
                    <a:stretch>
                      <a:fillRect/>
                    </a:stretch>
                  </pic:blipFill>
                  <pic:spPr>
                    <a:xfrm>
                      <a:off x="0" y="0"/>
                      <a:ext cx="5573395" cy="2216150"/>
                    </a:xfrm>
                    <a:prstGeom prst="rect">
                      <a:avLst/>
                    </a:prstGeom>
                  </pic:spPr>
                </pic:pic>
              </a:graphicData>
            </a:graphic>
          </wp:inline>
        </w:drawing>
      </w:r>
    </w:p>
    <w:p w14:paraId="3EA80449">
      <w:pPr>
        <w:pStyle w:val="9"/>
        <w:bidi w:val="0"/>
        <w:jc w:val="center"/>
        <w:rPr>
          <w:color w:val="000000" w:themeColor="text1"/>
          <w:sz w:val="28"/>
          <w:szCs w:val="28"/>
          <w14:textFill>
            <w14:solidFill>
              <w14:schemeClr w14:val="tx1"/>
            </w14:solidFill>
          </w14:textFill>
        </w:rPr>
        <w:sectPr>
          <w:pgSz w:w="11906" w:h="16838"/>
          <w:pgMar w:top="1587" w:right="1701" w:bottom="1701" w:left="1701" w:header="851" w:footer="992" w:gutter="0"/>
          <w:pgNumType w:fmt="decimal"/>
          <w:cols w:space="720" w:num="1"/>
          <w:docGrid w:type="lines" w:linePitch="330" w:charSpace="0"/>
        </w:sectPr>
      </w:pPr>
      <w:r>
        <w:rPr>
          <w:rFonts w:hint="eastAsia"/>
          <w:color w:val="000000" w:themeColor="text1"/>
          <w:sz w:val="28"/>
          <w:szCs w:val="28"/>
          <w14:textFill>
            <w14:solidFill>
              <w14:schemeClr w14:val="tx1"/>
            </w14:solidFill>
          </w14:textFill>
        </w:rPr>
        <w:t>图2-</w:t>
      </w:r>
      <w:r>
        <w:rPr>
          <w:rFonts w:hint="eastAsia"/>
          <w:color w:val="000000" w:themeColor="text1"/>
          <w:sz w:val="28"/>
          <w:szCs w:val="28"/>
          <w:lang w:val="en-US" w:eastAsia="zh-CN"/>
          <w14:textFill>
            <w14:solidFill>
              <w14:schemeClr w14:val="tx1"/>
            </w14:solidFill>
          </w14:textFill>
        </w:rPr>
        <w:t>5</w:t>
      </w:r>
      <w:r>
        <w:rPr>
          <w:rFonts w:hint="eastAsia"/>
          <w:color w:val="000000" w:themeColor="text1"/>
          <w:sz w:val="28"/>
          <w:szCs w:val="28"/>
          <w14:textFill>
            <w14:solidFill>
              <w14:schemeClr w14:val="tx1"/>
            </w14:solidFill>
          </w14:textFill>
        </w:rPr>
        <w:t xml:space="preserve"> 安全管理组织机构图</w:t>
      </w:r>
      <w:bookmarkStart w:id="206" w:name="_Toc31046"/>
      <w:bookmarkStart w:id="207" w:name="_Toc313524417"/>
      <w:bookmarkStart w:id="208" w:name="_Toc341693591"/>
      <w:bookmarkStart w:id="209" w:name="_Toc314143763"/>
      <w:bookmarkStart w:id="210" w:name="_Toc314238223"/>
    </w:p>
    <w:p w14:paraId="46E7E67E">
      <w:pPr>
        <w:pStyle w:val="5"/>
        <w:rPr>
          <w:rFonts w:ascii="Times New Roman" w:hAnsi="Times New Roman"/>
          <w:color w:val="000000" w:themeColor="text1"/>
          <w14:textFill>
            <w14:solidFill>
              <w14:schemeClr w14:val="tx1"/>
            </w14:solidFill>
          </w14:textFill>
        </w:rPr>
      </w:pPr>
      <w:bookmarkStart w:id="211" w:name="_Toc12102"/>
      <w:bookmarkStart w:id="212" w:name="_Toc28922"/>
      <w:r>
        <w:rPr>
          <w:rFonts w:hint="eastAsia"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7</w:t>
      </w:r>
      <w:r>
        <w:rPr>
          <w:rFonts w:hint="eastAsia" w:ascii="Times New Roman" w:hAnsi="Times New Roman"/>
          <w:color w:val="000000" w:themeColor="text1"/>
          <w14:textFill>
            <w14:solidFill>
              <w14:schemeClr w14:val="tx1"/>
            </w14:solidFill>
          </w14:textFill>
        </w:rPr>
        <w:t>.3安全管理制度、安全生产责任制及安全操作规程</w:t>
      </w:r>
      <w:bookmarkEnd w:id="206"/>
      <w:bookmarkEnd w:id="207"/>
      <w:bookmarkEnd w:id="208"/>
      <w:bookmarkEnd w:id="209"/>
      <w:bookmarkEnd w:id="210"/>
      <w:bookmarkEnd w:id="211"/>
      <w:bookmarkEnd w:id="212"/>
    </w:p>
    <w:p w14:paraId="3720F516">
      <w:pPr>
        <w:keepNext w:val="0"/>
        <w:keepLines w:val="0"/>
        <w:pageBreakBefore w:val="0"/>
        <w:widowControl w:val="0"/>
        <w:kinsoku/>
        <w:wordWrap/>
        <w:overflowPunct/>
        <w:topLinePunct w:val="0"/>
        <w:autoSpaceDE w:val="0"/>
        <w:autoSpaceDN w:val="0"/>
        <w:bidi w:val="0"/>
        <w:adjustRightInd/>
        <w:snapToGrid/>
        <w:spacing w:line="500" w:lineRule="exact"/>
        <w:ind w:firstLine="560" w:firstLineChars="200"/>
        <w:jc w:val="left"/>
        <w:textAlignment w:val="auto"/>
        <w:rPr>
          <w:rFonts w:hAnsi="宋体"/>
          <w:color w:val="000000" w:themeColor="text1"/>
          <w:sz w:val="28"/>
          <w:szCs w:val="28"/>
          <w14:textFill>
            <w14:solidFill>
              <w14:schemeClr w14:val="tx1"/>
            </w14:solidFill>
          </w14:textFill>
        </w:rPr>
      </w:pPr>
      <w:r>
        <w:rPr>
          <w:rFonts w:hint="eastAsia" w:hAnsi="宋体"/>
          <w:color w:val="000000" w:themeColor="text1"/>
          <w:sz w:val="28"/>
          <w:szCs w:val="28"/>
          <w14:textFill>
            <w14:solidFill>
              <w14:schemeClr w14:val="tx1"/>
            </w14:solidFill>
          </w14:textFill>
        </w:rPr>
        <w:t>根据国家法律、法规、规定的要求，公司结合该厂的实际情况和生产管理需要，制订有以下主要安全管理制度：</w:t>
      </w:r>
    </w:p>
    <w:p w14:paraId="5D587042">
      <w:pPr>
        <w:spacing w:line="360" w:lineRule="auto"/>
        <w:ind w:firstLine="480" w:firstLineChars="200"/>
        <w:jc w:val="center"/>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表2-</w:t>
      </w:r>
      <w:r>
        <w:rPr>
          <w:rFonts w:hint="eastAsia" w:hAnsi="宋体"/>
          <w:color w:val="000000" w:themeColor="text1"/>
          <w:lang w:val="en-US" w:eastAsia="zh-CN"/>
          <w14:textFill>
            <w14:solidFill>
              <w14:schemeClr w14:val="tx1"/>
            </w14:solidFill>
          </w14:textFill>
        </w:rPr>
        <w:t>6</w:t>
      </w:r>
      <w:r>
        <w:rPr>
          <w:rFonts w:hint="eastAsia" w:hAnsi="宋体"/>
          <w:color w:val="000000" w:themeColor="text1"/>
          <w14:textFill>
            <w14:solidFill>
              <w14:schemeClr w14:val="tx1"/>
            </w14:solidFill>
          </w14:textFill>
        </w:rPr>
        <w:t xml:space="preserve"> 公司制定的主要安全管理制度一览表</w:t>
      </w:r>
    </w:p>
    <w:tbl>
      <w:tblPr>
        <w:tblStyle w:val="5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5"/>
        <w:gridCol w:w="3431"/>
        <w:gridCol w:w="574"/>
        <w:gridCol w:w="4119"/>
      </w:tblGrid>
      <w:tr w14:paraId="4CD53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232" w:type="pct"/>
            <w:noWrap/>
            <w:vAlign w:val="center"/>
          </w:tcPr>
          <w:p w14:paraId="47DAFA10">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080C2C46">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安全生产责任制</w:t>
            </w:r>
          </w:p>
        </w:tc>
        <w:tc>
          <w:tcPr>
            <w:tcW w:w="337" w:type="pct"/>
            <w:noWrap/>
            <w:vAlign w:val="center"/>
          </w:tcPr>
          <w:p w14:paraId="26DBACED">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13.</w:t>
            </w:r>
          </w:p>
        </w:tc>
        <w:tc>
          <w:tcPr>
            <w:tcW w:w="2416" w:type="pct"/>
            <w:noWrap/>
            <w:vAlign w:val="center"/>
          </w:tcPr>
          <w:p w14:paraId="38CAB8F6">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13" w:name="_Toc27568"/>
            <w:r>
              <w:rPr>
                <w:rFonts w:hint="eastAsia" w:asciiTheme="minorEastAsia" w:hAnsiTheme="minorEastAsia" w:eastAsiaTheme="minorEastAsia" w:cstheme="minorEastAsia"/>
                <w:color w:val="000000" w:themeColor="text1"/>
                <w:sz w:val="21"/>
                <w:szCs w:val="21"/>
                <w14:textFill>
                  <w14:solidFill>
                    <w14:schemeClr w14:val="tx1"/>
                  </w14:solidFill>
                </w14:textFill>
              </w:rPr>
              <w:t>危险作业管理制度</w:t>
            </w:r>
            <w:bookmarkEnd w:id="213"/>
          </w:p>
        </w:tc>
      </w:tr>
      <w:tr w14:paraId="61FE4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noWrap/>
            <w:vAlign w:val="center"/>
          </w:tcPr>
          <w:p w14:paraId="0CADD451">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16C79E31">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14" w:name="_Toc10028"/>
            <w:r>
              <w:rPr>
                <w:rFonts w:hint="eastAsia" w:asciiTheme="minorEastAsia" w:hAnsiTheme="minorEastAsia" w:eastAsiaTheme="minorEastAsia" w:cstheme="minorEastAsia"/>
                <w:color w:val="000000" w:themeColor="text1"/>
                <w:sz w:val="21"/>
                <w:szCs w:val="21"/>
                <w14:textFill>
                  <w14:solidFill>
                    <w14:schemeClr w14:val="tx1"/>
                  </w14:solidFill>
                </w14:textFill>
              </w:rPr>
              <w:t>主要负责人安全生产职责</w:t>
            </w:r>
            <w:bookmarkEnd w:id="214"/>
          </w:p>
        </w:tc>
        <w:tc>
          <w:tcPr>
            <w:tcW w:w="337" w:type="pct"/>
            <w:noWrap/>
            <w:vAlign w:val="center"/>
          </w:tcPr>
          <w:p w14:paraId="6C2D1269">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14.</w:t>
            </w:r>
          </w:p>
        </w:tc>
        <w:tc>
          <w:tcPr>
            <w:tcW w:w="2416" w:type="pct"/>
            <w:noWrap/>
            <w:vAlign w:val="center"/>
          </w:tcPr>
          <w:p w14:paraId="008AE478">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15" w:name="_Toc544"/>
            <w:r>
              <w:rPr>
                <w:rFonts w:hint="eastAsia" w:asciiTheme="minorEastAsia" w:hAnsiTheme="minorEastAsia" w:eastAsiaTheme="minorEastAsia" w:cstheme="minorEastAsia"/>
                <w:color w:val="000000" w:themeColor="text1"/>
                <w:sz w:val="21"/>
                <w:szCs w:val="21"/>
                <w14:textFill>
                  <w14:solidFill>
                    <w14:schemeClr w14:val="tx1"/>
                  </w14:solidFill>
                </w14:textFill>
              </w:rPr>
              <w:t>防护用品管理制度</w:t>
            </w:r>
            <w:bookmarkEnd w:id="215"/>
          </w:p>
        </w:tc>
      </w:tr>
      <w:tr w14:paraId="147EE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noWrap/>
            <w:vAlign w:val="center"/>
          </w:tcPr>
          <w:p w14:paraId="0E561B1A">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3EDABBE4">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16" w:name="_Toc9757"/>
            <w:r>
              <w:rPr>
                <w:rFonts w:hint="eastAsia" w:asciiTheme="minorEastAsia" w:hAnsiTheme="minorEastAsia" w:eastAsiaTheme="minorEastAsia" w:cstheme="minorEastAsia"/>
                <w:color w:val="000000" w:themeColor="text1"/>
                <w:sz w:val="21"/>
                <w:szCs w:val="21"/>
                <w14:textFill>
                  <w14:solidFill>
                    <w14:schemeClr w14:val="tx1"/>
                  </w14:solidFill>
                </w14:textFill>
              </w:rPr>
              <w:t>安全员岗位安全生产职责</w:t>
            </w:r>
            <w:bookmarkEnd w:id="216"/>
          </w:p>
        </w:tc>
        <w:tc>
          <w:tcPr>
            <w:tcW w:w="337" w:type="pct"/>
            <w:noWrap/>
            <w:vAlign w:val="center"/>
          </w:tcPr>
          <w:p w14:paraId="47B6D392">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15.</w:t>
            </w:r>
          </w:p>
        </w:tc>
        <w:tc>
          <w:tcPr>
            <w:tcW w:w="2416" w:type="pct"/>
            <w:noWrap/>
            <w:vAlign w:val="center"/>
          </w:tcPr>
          <w:p w14:paraId="14B2A9E4">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17" w:name="_Toc12236"/>
            <w:r>
              <w:rPr>
                <w:rFonts w:hint="eastAsia" w:asciiTheme="minorEastAsia" w:hAnsiTheme="minorEastAsia" w:eastAsiaTheme="minorEastAsia" w:cstheme="minorEastAsia"/>
                <w:color w:val="000000" w:themeColor="text1"/>
                <w:sz w:val="21"/>
                <w:szCs w:val="21"/>
                <w14:textFill>
                  <w14:solidFill>
                    <w14:schemeClr w14:val="tx1"/>
                  </w14:solidFill>
                </w14:textFill>
              </w:rPr>
              <w:t>有限空间作业安全责任制度</w:t>
            </w:r>
            <w:bookmarkEnd w:id="217"/>
          </w:p>
        </w:tc>
      </w:tr>
      <w:tr w14:paraId="40B83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2" w:type="pct"/>
            <w:noWrap/>
            <w:vAlign w:val="center"/>
          </w:tcPr>
          <w:p w14:paraId="12AD4630">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28777F29">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18" w:name="_Toc29585"/>
            <w:r>
              <w:rPr>
                <w:rFonts w:hint="eastAsia" w:asciiTheme="minorEastAsia" w:hAnsiTheme="minorEastAsia" w:eastAsiaTheme="minorEastAsia" w:cstheme="minorEastAsia"/>
                <w:color w:val="000000" w:themeColor="text1"/>
                <w:sz w:val="21"/>
                <w:szCs w:val="21"/>
                <w14:textFill>
                  <w14:solidFill>
                    <w14:schemeClr w14:val="tx1"/>
                  </w14:solidFill>
                </w14:textFill>
              </w:rPr>
              <w:t>安全生产领导小组安全生产职责</w:t>
            </w:r>
            <w:bookmarkEnd w:id="218"/>
          </w:p>
        </w:tc>
        <w:tc>
          <w:tcPr>
            <w:tcW w:w="337" w:type="pct"/>
            <w:noWrap/>
            <w:vAlign w:val="center"/>
          </w:tcPr>
          <w:p w14:paraId="17992F97">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16.</w:t>
            </w:r>
          </w:p>
        </w:tc>
        <w:tc>
          <w:tcPr>
            <w:tcW w:w="2416" w:type="pct"/>
            <w:noWrap/>
            <w:vAlign w:val="center"/>
          </w:tcPr>
          <w:p w14:paraId="01565F7D">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19" w:name="_Toc25410"/>
            <w:r>
              <w:rPr>
                <w:rFonts w:hint="eastAsia" w:asciiTheme="minorEastAsia" w:hAnsiTheme="minorEastAsia" w:eastAsiaTheme="minorEastAsia" w:cstheme="minorEastAsia"/>
                <w:color w:val="000000" w:themeColor="text1"/>
                <w:sz w:val="21"/>
                <w:szCs w:val="21"/>
                <w14:textFill>
                  <w14:solidFill>
                    <w14:schemeClr w14:val="tx1"/>
                  </w14:solidFill>
                </w14:textFill>
              </w:rPr>
              <w:t>有限空间作业审批制度</w:t>
            </w:r>
            <w:bookmarkEnd w:id="219"/>
          </w:p>
        </w:tc>
      </w:tr>
      <w:tr w14:paraId="587B8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2" w:type="pct"/>
            <w:noWrap/>
            <w:vAlign w:val="center"/>
          </w:tcPr>
          <w:p w14:paraId="44B532F8">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3579F676">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20" w:name="_Toc12175"/>
            <w:bookmarkStart w:id="221" w:name="_Toc13671"/>
            <w:bookmarkStart w:id="222" w:name="_Toc5919"/>
            <w:r>
              <w:rPr>
                <w:rFonts w:hint="eastAsia" w:asciiTheme="minorEastAsia" w:hAnsiTheme="minorEastAsia" w:eastAsiaTheme="minorEastAsia" w:cstheme="minorEastAsia"/>
                <w:color w:val="000000" w:themeColor="text1"/>
                <w:sz w:val="21"/>
                <w:szCs w:val="21"/>
                <w14:textFill>
                  <w14:solidFill>
                    <w14:schemeClr w14:val="tx1"/>
                  </w14:solidFill>
                </w14:textFill>
              </w:rPr>
              <w:t>办公室安全生产职责</w:t>
            </w:r>
            <w:bookmarkEnd w:id="220"/>
            <w:bookmarkEnd w:id="221"/>
            <w:bookmarkEnd w:id="222"/>
          </w:p>
        </w:tc>
        <w:tc>
          <w:tcPr>
            <w:tcW w:w="337" w:type="pct"/>
            <w:noWrap/>
            <w:vAlign w:val="center"/>
          </w:tcPr>
          <w:p w14:paraId="2485CAD7">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17.</w:t>
            </w:r>
          </w:p>
        </w:tc>
        <w:tc>
          <w:tcPr>
            <w:tcW w:w="2416" w:type="pct"/>
            <w:noWrap/>
            <w:vAlign w:val="center"/>
          </w:tcPr>
          <w:p w14:paraId="747DA09D">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23" w:name="_Toc9510"/>
            <w:r>
              <w:rPr>
                <w:rFonts w:hint="eastAsia" w:asciiTheme="minorEastAsia" w:hAnsiTheme="minorEastAsia" w:eastAsiaTheme="minorEastAsia" w:cstheme="minorEastAsia"/>
                <w:color w:val="000000" w:themeColor="text1"/>
                <w:sz w:val="21"/>
                <w:szCs w:val="21"/>
                <w14:textFill>
                  <w14:solidFill>
                    <w14:schemeClr w14:val="tx1"/>
                  </w14:solidFill>
                </w14:textFill>
              </w:rPr>
              <w:t>有限空间作业安全培训制度</w:t>
            </w:r>
            <w:bookmarkEnd w:id="223"/>
          </w:p>
        </w:tc>
      </w:tr>
      <w:tr w14:paraId="36018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noWrap/>
            <w:vAlign w:val="center"/>
          </w:tcPr>
          <w:p w14:paraId="28701157">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1215DC70">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24" w:name="_Toc17652"/>
            <w:r>
              <w:rPr>
                <w:rFonts w:hint="eastAsia" w:asciiTheme="minorEastAsia" w:hAnsiTheme="minorEastAsia" w:eastAsiaTheme="minorEastAsia" w:cstheme="minorEastAsia"/>
                <w:color w:val="000000" w:themeColor="text1"/>
                <w:sz w:val="21"/>
                <w:szCs w:val="21"/>
                <w14:textFill>
                  <w14:solidFill>
                    <w14:schemeClr w14:val="tx1"/>
                  </w14:solidFill>
                </w14:textFill>
              </w:rPr>
              <w:t>安全生产例会制度</w:t>
            </w:r>
            <w:bookmarkEnd w:id="224"/>
          </w:p>
        </w:tc>
        <w:tc>
          <w:tcPr>
            <w:tcW w:w="337" w:type="pct"/>
            <w:noWrap/>
            <w:vAlign w:val="center"/>
          </w:tcPr>
          <w:p w14:paraId="12C463AC">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18.</w:t>
            </w:r>
          </w:p>
        </w:tc>
        <w:tc>
          <w:tcPr>
            <w:tcW w:w="2416" w:type="pct"/>
            <w:noWrap/>
            <w:vAlign w:val="center"/>
          </w:tcPr>
          <w:p w14:paraId="062CD4FC">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25" w:name="_Toc21912"/>
            <w:r>
              <w:rPr>
                <w:rFonts w:hint="eastAsia" w:asciiTheme="minorEastAsia" w:hAnsiTheme="minorEastAsia" w:eastAsiaTheme="minorEastAsia" w:cstheme="minorEastAsia"/>
                <w:color w:val="000000" w:themeColor="text1"/>
                <w:sz w:val="21"/>
                <w:szCs w:val="21"/>
                <w14:textFill>
                  <w14:solidFill>
                    <w14:schemeClr w14:val="tx1"/>
                  </w14:solidFill>
                </w14:textFill>
              </w:rPr>
              <w:t>有限空间作业应急管理制度</w:t>
            </w:r>
            <w:bookmarkEnd w:id="225"/>
          </w:p>
        </w:tc>
      </w:tr>
      <w:tr w14:paraId="6029A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noWrap/>
            <w:vAlign w:val="center"/>
          </w:tcPr>
          <w:p w14:paraId="72EC716C">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4D7820C5">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26" w:name="_Toc17751"/>
            <w:r>
              <w:rPr>
                <w:rFonts w:hint="eastAsia" w:asciiTheme="minorEastAsia" w:hAnsiTheme="minorEastAsia" w:eastAsiaTheme="minorEastAsia" w:cstheme="minorEastAsia"/>
                <w:color w:val="000000" w:themeColor="text1"/>
                <w:sz w:val="21"/>
                <w:szCs w:val="21"/>
                <w14:textFill>
                  <w14:solidFill>
                    <w14:schemeClr w14:val="tx1"/>
                  </w14:solidFill>
                </w14:textFill>
              </w:rPr>
              <w:t>安全生产奖惩制度</w:t>
            </w:r>
            <w:bookmarkEnd w:id="226"/>
          </w:p>
        </w:tc>
        <w:tc>
          <w:tcPr>
            <w:tcW w:w="337" w:type="pct"/>
            <w:noWrap/>
            <w:vAlign w:val="center"/>
          </w:tcPr>
          <w:p w14:paraId="0AD33431">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19.</w:t>
            </w:r>
          </w:p>
        </w:tc>
        <w:tc>
          <w:tcPr>
            <w:tcW w:w="2416" w:type="pct"/>
            <w:noWrap/>
            <w:vAlign w:val="center"/>
          </w:tcPr>
          <w:p w14:paraId="54CD0840">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27" w:name="_Toc279"/>
            <w:r>
              <w:rPr>
                <w:rFonts w:hint="eastAsia" w:asciiTheme="minorEastAsia" w:hAnsiTheme="minorEastAsia" w:eastAsiaTheme="minorEastAsia" w:cstheme="minorEastAsia"/>
                <w:color w:val="000000" w:themeColor="text1"/>
                <w:sz w:val="21"/>
                <w:szCs w:val="21"/>
                <w14:textFill>
                  <w14:solidFill>
                    <w14:schemeClr w14:val="tx1"/>
                  </w14:solidFill>
                </w14:textFill>
              </w:rPr>
              <w:t>安全生产风险分级管理控制制度</w:t>
            </w:r>
            <w:bookmarkEnd w:id="227"/>
          </w:p>
        </w:tc>
      </w:tr>
      <w:tr w14:paraId="795E0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noWrap/>
            <w:vAlign w:val="center"/>
          </w:tcPr>
          <w:p w14:paraId="0769EBE0">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10E29E28">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28" w:name="_Toc27754"/>
            <w:r>
              <w:rPr>
                <w:rFonts w:hint="eastAsia" w:asciiTheme="minorEastAsia" w:hAnsiTheme="minorEastAsia" w:eastAsiaTheme="minorEastAsia" w:cstheme="minorEastAsia"/>
                <w:color w:val="000000" w:themeColor="text1"/>
                <w:sz w:val="21"/>
                <w:szCs w:val="21"/>
                <w14:textFill>
                  <w14:solidFill>
                    <w14:schemeClr w14:val="tx1"/>
                  </w14:solidFill>
                </w14:textFill>
              </w:rPr>
              <w:t>安全生产教育培训制度</w:t>
            </w:r>
            <w:bookmarkEnd w:id="228"/>
          </w:p>
        </w:tc>
        <w:tc>
          <w:tcPr>
            <w:tcW w:w="337" w:type="pct"/>
            <w:noWrap/>
            <w:vAlign w:val="center"/>
          </w:tcPr>
          <w:p w14:paraId="34C7C4F6">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20.</w:t>
            </w:r>
          </w:p>
        </w:tc>
        <w:tc>
          <w:tcPr>
            <w:tcW w:w="2416" w:type="pct"/>
            <w:noWrap/>
            <w:vAlign w:val="center"/>
          </w:tcPr>
          <w:p w14:paraId="7A0E4B37">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安全生产事故报告及处理制度</w:t>
            </w:r>
          </w:p>
        </w:tc>
      </w:tr>
      <w:tr w14:paraId="350ED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noWrap/>
            <w:vAlign w:val="center"/>
          </w:tcPr>
          <w:p w14:paraId="10775E5D">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2811BEDD">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29" w:name="_Toc175"/>
            <w:r>
              <w:rPr>
                <w:rFonts w:hint="eastAsia" w:asciiTheme="minorEastAsia" w:hAnsiTheme="minorEastAsia" w:eastAsiaTheme="minorEastAsia" w:cstheme="minorEastAsia"/>
                <w:color w:val="000000" w:themeColor="text1"/>
                <w:sz w:val="21"/>
                <w:szCs w:val="21"/>
                <w14:textFill>
                  <w14:solidFill>
                    <w14:schemeClr w14:val="tx1"/>
                  </w14:solidFill>
                </w14:textFill>
              </w:rPr>
              <w:t>生产经营场所安全管理制度</w:t>
            </w:r>
            <w:bookmarkEnd w:id="229"/>
          </w:p>
        </w:tc>
        <w:tc>
          <w:tcPr>
            <w:tcW w:w="337" w:type="pct"/>
            <w:noWrap/>
            <w:vAlign w:val="center"/>
          </w:tcPr>
          <w:p w14:paraId="4A938A18">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21.</w:t>
            </w:r>
          </w:p>
        </w:tc>
        <w:tc>
          <w:tcPr>
            <w:tcW w:w="2416" w:type="pct"/>
            <w:noWrap/>
            <w:vAlign w:val="center"/>
          </w:tcPr>
          <w:p w14:paraId="02B78D8A">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安全生产事故报告及处理制度</w:t>
            </w:r>
          </w:p>
        </w:tc>
      </w:tr>
      <w:tr w14:paraId="08B2B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noWrap/>
            <w:vAlign w:val="center"/>
          </w:tcPr>
          <w:p w14:paraId="5F71250B">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47403FB4">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30" w:name="_Toc24787"/>
            <w:r>
              <w:rPr>
                <w:rFonts w:hint="eastAsia" w:asciiTheme="minorEastAsia" w:hAnsiTheme="minorEastAsia" w:eastAsiaTheme="minorEastAsia" w:cstheme="minorEastAsia"/>
                <w:color w:val="000000" w:themeColor="text1"/>
                <w:sz w:val="21"/>
                <w:szCs w:val="21"/>
                <w14:textFill>
                  <w14:solidFill>
                    <w14:schemeClr w14:val="tx1"/>
                  </w14:solidFill>
                </w14:textFill>
              </w:rPr>
              <w:t>安全生产责任、问责制度</w:t>
            </w:r>
            <w:bookmarkEnd w:id="230"/>
          </w:p>
        </w:tc>
        <w:tc>
          <w:tcPr>
            <w:tcW w:w="337" w:type="pct"/>
            <w:noWrap/>
            <w:vAlign w:val="center"/>
          </w:tcPr>
          <w:p w14:paraId="437E1C4F">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22.</w:t>
            </w:r>
          </w:p>
        </w:tc>
        <w:tc>
          <w:tcPr>
            <w:tcW w:w="2416" w:type="pct"/>
            <w:noWrap/>
            <w:vAlign w:val="center"/>
          </w:tcPr>
          <w:p w14:paraId="1A860CC3">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危险源管理制度</w:t>
            </w:r>
          </w:p>
        </w:tc>
      </w:tr>
      <w:tr w14:paraId="3C85E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noWrap/>
            <w:vAlign w:val="center"/>
          </w:tcPr>
          <w:p w14:paraId="16956CE4">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43A9A98C">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bookmarkStart w:id="231" w:name="_Toc32067"/>
            <w:r>
              <w:rPr>
                <w:rFonts w:hint="eastAsia" w:asciiTheme="minorEastAsia" w:hAnsiTheme="minorEastAsia" w:eastAsiaTheme="minorEastAsia" w:cstheme="minorEastAsia"/>
                <w:color w:val="000000" w:themeColor="text1"/>
                <w:sz w:val="21"/>
                <w:szCs w:val="21"/>
                <w14:textFill>
                  <w14:solidFill>
                    <w14:schemeClr w14:val="tx1"/>
                  </w14:solidFill>
                </w14:textFill>
              </w:rPr>
              <w:t>设施设备安全管理制度</w:t>
            </w:r>
            <w:bookmarkEnd w:id="231"/>
          </w:p>
        </w:tc>
        <w:tc>
          <w:tcPr>
            <w:tcW w:w="337" w:type="pct"/>
            <w:noWrap/>
            <w:vAlign w:val="center"/>
          </w:tcPr>
          <w:p w14:paraId="45411D1D">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23.</w:t>
            </w:r>
          </w:p>
        </w:tc>
        <w:tc>
          <w:tcPr>
            <w:tcW w:w="2416" w:type="pct"/>
            <w:noWrap/>
            <w:vAlign w:val="center"/>
          </w:tcPr>
          <w:p w14:paraId="330D4153">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安全教育培训制度</w:t>
            </w:r>
          </w:p>
        </w:tc>
      </w:tr>
      <w:tr w14:paraId="0910D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2" w:type="pct"/>
            <w:noWrap/>
            <w:vAlign w:val="center"/>
          </w:tcPr>
          <w:p w14:paraId="224807DC">
            <w:pPr>
              <w:numPr>
                <w:ilvl w:val="0"/>
                <w:numId w:val="8"/>
              </w:num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013" w:type="pct"/>
            <w:noWrap/>
            <w:vAlign w:val="center"/>
          </w:tcPr>
          <w:p w14:paraId="3A02E719">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事故隐患排查治理制度</w:t>
            </w:r>
          </w:p>
        </w:tc>
        <w:tc>
          <w:tcPr>
            <w:tcW w:w="337" w:type="pct"/>
            <w:noWrap/>
            <w:vAlign w:val="center"/>
          </w:tcPr>
          <w:p w14:paraId="4147C0C1">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c>
          <w:tcPr>
            <w:tcW w:w="2416" w:type="pct"/>
            <w:noWrap/>
            <w:vAlign w:val="center"/>
          </w:tcPr>
          <w:p w14:paraId="7B7A3AAA">
            <w:pPr>
              <w:spacing w:line="400" w:lineRule="exact"/>
              <w:rPr>
                <w:rFonts w:asciiTheme="minorEastAsia" w:hAnsiTheme="minorEastAsia" w:eastAsiaTheme="minorEastAsia" w:cstheme="minorEastAsia"/>
                <w:color w:val="000000" w:themeColor="text1"/>
                <w:sz w:val="21"/>
                <w:szCs w:val="21"/>
                <w14:textFill>
                  <w14:solidFill>
                    <w14:schemeClr w14:val="tx1"/>
                  </w14:solidFill>
                </w14:textFill>
              </w:rPr>
            </w:pPr>
          </w:p>
        </w:tc>
      </w:tr>
    </w:tbl>
    <w:p w14:paraId="5C4D6A42">
      <w:pPr>
        <w:spacing w:line="500" w:lineRule="exact"/>
        <w:ind w:firstLine="560" w:firstLineChars="200"/>
        <w:rPr>
          <w:rFonts w:hAnsi="宋体"/>
          <w:color w:val="000000" w:themeColor="text1"/>
          <w:sz w:val="28"/>
          <w:szCs w:val="28"/>
          <w14:textFill>
            <w14:solidFill>
              <w14:schemeClr w14:val="tx1"/>
            </w14:solidFill>
          </w14:textFill>
        </w:rPr>
      </w:pPr>
      <w:r>
        <w:rPr>
          <w:rFonts w:hint="eastAsia" w:hAnsi="宋体"/>
          <w:color w:val="000000" w:themeColor="text1"/>
          <w:sz w:val="28"/>
          <w:szCs w:val="28"/>
          <w14:textFill>
            <w14:solidFill>
              <w14:schemeClr w14:val="tx1"/>
            </w14:solidFill>
          </w14:textFill>
        </w:rPr>
        <w:t>公司制定了各级、各岗位人员安全生产责任制，主要有：</w:t>
      </w:r>
    </w:p>
    <w:p w14:paraId="274FC6FF">
      <w:pPr>
        <w:spacing w:line="360" w:lineRule="auto"/>
        <w:ind w:firstLine="482" w:firstLineChars="200"/>
        <w:jc w:val="center"/>
        <w:rPr>
          <w:b/>
          <w:bCs/>
          <w:color w:val="000000" w:themeColor="text1"/>
          <w14:textFill>
            <w14:solidFill>
              <w14:schemeClr w14:val="tx1"/>
            </w14:solidFill>
          </w14:textFill>
        </w:rPr>
      </w:pPr>
      <w:r>
        <w:rPr>
          <w:rFonts w:hint="eastAsia" w:hAnsi="宋体"/>
          <w:b/>
          <w:bCs/>
          <w:color w:val="000000" w:themeColor="text1"/>
          <w14:textFill>
            <w14:solidFill>
              <w14:schemeClr w14:val="tx1"/>
            </w14:solidFill>
          </w14:textFill>
        </w:rPr>
        <w:t>表2-</w:t>
      </w:r>
      <w:r>
        <w:rPr>
          <w:rFonts w:hint="eastAsia" w:hAnsi="宋体"/>
          <w:b/>
          <w:bCs/>
          <w:color w:val="000000" w:themeColor="text1"/>
          <w:lang w:val="en-US" w:eastAsia="zh-CN"/>
          <w14:textFill>
            <w14:solidFill>
              <w14:schemeClr w14:val="tx1"/>
            </w14:solidFill>
          </w14:textFill>
        </w:rPr>
        <w:t>7</w:t>
      </w:r>
      <w:r>
        <w:rPr>
          <w:rFonts w:hint="eastAsia" w:hAnsi="宋体"/>
          <w:b/>
          <w:bCs/>
          <w:color w:val="000000" w:themeColor="text1"/>
          <w14:textFill>
            <w14:solidFill>
              <w14:schemeClr w14:val="tx1"/>
            </w14:solidFill>
          </w14:textFill>
        </w:rPr>
        <w:t xml:space="preserve"> 公司制定的主要安全生产责任制度一览表</w:t>
      </w:r>
    </w:p>
    <w:tbl>
      <w:tblPr>
        <w:tblStyle w:val="5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3642"/>
        <w:gridCol w:w="695"/>
        <w:gridCol w:w="3570"/>
      </w:tblGrid>
      <w:tr w14:paraId="4FDB1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noWrap/>
            <w:vAlign w:val="center"/>
          </w:tcPr>
          <w:p w14:paraId="1556F857">
            <w:pPr>
              <w:numPr>
                <w:ilvl w:val="0"/>
                <w:numId w:val="9"/>
              </w:numPr>
              <w:spacing w:line="400" w:lineRule="exact"/>
              <w:rPr>
                <w:color w:val="000000" w:themeColor="text1"/>
                <w:sz w:val="21"/>
                <w:szCs w:val="21"/>
                <w14:textFill>
                  <w14:solidFill>
                    <w14:schemeClr w14:val="tx1"/>
                  </w14:solidFill>
                </w14:textFill>
              </w:rPr>
            </w:pPr>
          </w:p>
        </w:tc>
        <w:tc>
          <w:tcPr>
            <w:tcW w:w="2137" w:type="pct"/>
            <w:noWrap/>
            <w:vAlign w:val="center"/>
          </w:tcPr>
          <w:p w14:paraId="28740272">
            <w:pPr>
              <w:spacing w:line="400" w:lineRule="exact"/>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主要负责人（</w:t>
            </w:r>
            <w:r>
              <w:rPr>
                <w:rFonts w:hint="eastAsia"/>
                <w:color w:val="000000" w:themeColor="text1"/>
                <w:sz w:val="21"/>
                <w:szCs w:val="21"/>
                <w14:textFill>
                  <w14:solidFill>
                    <w14:schemeClr w14:val="tx1"/>
                  </w14:solidFill>
                </w14:textFill>
              </w:rPr>
              <w:t>法人</w:t>
            </w:r>
            <w:r>
              <w:rPr>
                <w:rFonts w:hint="eastAsia"/>
                <w:color w:val="000000" w:themeColor="text1"/>
                <w:sz w:val="21"/>
                <w:szCs w:val="21"/>
                <w:lang w:val="en-US" w:eastAsia="zh-CN"/>
                <w14:textFill>
                  <w14:solidFill>
                    <w14:schemeClr w14:val="tx1"/>
                  </w14:solidFill>
                </w14:textFill>
              </w:rPr>
              <w:t>）</w:t>
            </w:r>
            <w:r>
              <w:rPr>
                <w:color w:val="000000" w:themeColor="text1"/>
                <w:sz w:val="21"/>
                <w:szCs w:val="21"/>
                <w14:textFill>
                  <w14:solidFill>
                    <w14:schemeClr w14:val="tx1"/>
                  </w14:solidFill>
                </w14:textFill>
              </w:rPr>
              <w:t>安全</w:t>
            </w:r>
            <w:r>
              <w:rPr>
                <w:rFonts w:hint="eastAsia"/>
                <w:color w:val="000000" w:themeColor="text1"/>
                <w:sz w:val="21"/>
                <w:szCs w:val="21"/>
                <w14:textFill>
                  <w14:solidFill>
                    <w14:schemeClr w14:val="tx1"/>
                  </w14:solidFill>
                </w14:textFill>
              </w:rPr>
              <w:t>生产</w:t>
            </w:r>
            <w:r>
              <w:rPr>
                <w:rFonts w:hint="eastAsia"/>
                <w:color w:val="000000" w:themeColor="text1"/>
                <w:sz w:val="21"/>
                <w:szCs w:val="21"/>
                <w:lang w:val="en-US" w:eastAsia="zh-CN"/>
                <w14:textFill>
                  <w14:solidFill>
                    <w14:schemeClr w14:val="tx1"/>
                  </w14:solidFill>
                </w14:textFill>
              </w:rPr>
              <w:t>职责</w:t>
            </w:r>
          </w:p>
        </w:tc>
        <w:tc>
          <w:tcPr>
            <w:tcW w:w="408" w:type="pct"/>
            <w:noWrap/>
            <w:vAlign w:val="center"/>
          </w:tcPr>
          <w:p w14:paraId="29CAA3E8">
            <w:pPr>
              <w:numPr>
                <w:ilvl w:val="0"/>
                <w:numId w:val="9"/>
              </w:numPr>
              <w:spacing w:line="400" w:lineRule="exact"/>
              <w:rPr>
                <w:color w:val="000000" w:themeColor="text1"/>
                <w:sz w:val="21"/>
                <w:szCs w:val="21"/>
                <w14:textFill>
                  <w14:solidFill>
                    <w14:schemeClr w14:val="tx1"/>
                  </w14:solidFill>
                </w14:textFill>
              </w:rPr>
            </w:pPr>
          </w:p>
        </w:tc>
        <w:tc>
          <w:tcPr>
            <w:tcW w:w="2094" w:type="pct"/>
            <w:noWrap/>
            <w:vAlign w:val="center"/>
          </w:tcPr>
          <w:p w14:paraId="2F26A1B0">
            <w:pPr>
              <w:spacing w:line="400" w:lineRule="exact"/>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安全生产管理人员安全生产职责</w:t>
            </w:r>
          </w:p>
        </w:tc>
      </w:tr>
      <w:tr w14:paraId="35E61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noWrap/>
            <w:vAlign w:val="center"/>
          </w:tcPr>
          <w:p w14:paraId="031E4B8F">
            <w:pPr>
              <w:numPr>
                <w:ilvl w:val="0"/>
                <w:numId w:val="9"/>
              </w:numPr>
              <w:spacing w:line="400" w:lineRule="exact"/>
              <w:rPr>
                <w:color w:val="000000" w:themeColor="text1"/>
                <w:sz w:val="21"/>
                <w:szCs w:val="21"/>
                <w14:textFill>
                  <w14:solidFill>
                    <w14:schemeClr w14:val="tx1"/>
                  </w14:solidFill>
                </w14:textFill>
              </w:rPr>
            </w:pPr>
          </w:p>
        </w:tc>
        <w:tc>
          <w:tcPr>
            <w:tcW w:w="2137" w:type="pct"/>
            <w:noWrap/>
            <w:vAlign w:val="center"/>
          </w:tcPr>
          <w:p w14:paraId="1EE22E39">
            <w:pPr>
              <w:spacing w:line="460" w:lineRule="exact"/>
              <w:rPr>
                <w:rFonts w:hint="default" w:eastAsia="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14:textFill>
                  <w14:solidFill>
                    <w14:schemeClr w14:val="tx1"/>
                  </w14:solidFill>
                </w14:textFill>
              </w:rPr>
              <w:t>车间主任安全</w:t>
            </w:r>
            <w:r>
              <w:rPr>
                <w:rFonts w:hint="eastAsia" w:hAnsi="宋体" w:cs="宋体"/>
                <w:color w:val="000000" w:themeColor="text1"/>
                <w:sz w:val="21"/>
                <w:szCs w:val="21"/>
                <w:lang w:val="en-US" w:eastAsia="zh-CN"/>
                <w14:textFill>
                  <w14:solidFill>
                    <w14:schemeClr w14:val="tx1"/>
                  </w14:solidFill>
                </w14:textFill>
              </w:rPr>
              <w:t>生产职责</w:t>
            </w:r>
          </w:p>
        </w:tc>
        <w:tc>
          <w:tcPr>
            <w:tcW w:w="408" w:type="pct"/>
            <w:noWrap/>
            <w:vAlign w:val="center"/>
          </w:tcPr>
          <w:p w14:paraId="389A8A0F">
            <w:pPr>
              <w:numPr>
                <w:ilvl w:val="0"/>
                <w:numId w:val="9"/>
              </w:numPr>
              <w:spacing w:line="400" w:lineRule="exact"/>
              <w:rPr>
                <w:color w:val="000000" w:themeColor="text1"/>
                <w:sz w:val="21"/>
                <w:szCs w:val="21"/>
                <w14:textFill>
                  <w14:solidFill>
                    <w14:schemeClr w14:val="tx1"/>
                  </w14:solidFill>
                </w14:textFill>
              </w:rPr>
            </w:pPr>
          </w:p>
        </w:tc>
        <w:tc>
          <w:tcPr>
            <w:tcW w:w="2094" w:type="pct"/>
            <w:noWrap/>
            <w:vAlign w:val="center"/>
          </w:tcPr>
          <w:p w14:paraId="4BCE6A67">
            <w:pPr>
              <w:spacing w:line="400" w:lineRule="exact"/>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员工安全生产</w:t>
            </w:r>
            <w:r>
              <w:rPr>
                <w:rFonts w:hint="eastAsia"/>
                <w:color w:val="000000" w:themeColor="text1"/>
                <w:sz w:val="21"/>
                <w:szCs w:val="21"/>
                <w14:textFill>
                  <w14:solidFill>
                    <w14:schemeClr w14:val="tx1"/>
                  </w14:solidFill>
                </w14:textFill>
              </w:rPr>
              <w:t>职责</w:t>
            </w:r>
          </w:p>
        </w:tc>
      </w:tr>
      <w:tr w14:paraId="103D2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noWrap/>
            <w:vAlign w:val="center"/>
          </w:tcPr>
          <w:p w14:paraId="4D8477A2">
            <w:pPr>
              <w:numPr>
                <w:ilvl w:val="0"/>
                <w:numId w:val="9"/>
              </w:numPr>
              <w:spacing w:line="400" w:lineRule="exact"/>
              <w:rPr>
                <w:color w:val="000000" w:themeColor="text1"/>
                <w:sz w:val="21"/>
                <w:szCs w:val="21"/>
                <w14:textFill>
                  <w14:solidFill>
                    <w14:schemeClr w14:val="tx1"/>
                  </w14:solidFill>
                </w14:textFill>
              </w:rPr>
            </w:pPr>
          </w:p>
        </w:tc>
        <w:tc>
          <w:tcPr>
            <w:tcW w:w="2137" w:type="pct"/>
            <w:noWrap/>
            <w:vAlign w:val="center"/>
          </w:tcPr>
          <w:p w14:paraId="6DC80815">
            <w:pPr>
              <w:spacing w:line="400" w:lineRule="exact"/>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办公室安全生产</w:t>
            </w:r>
            <w:r>
              <w:rPr>
                <w:rFonts w:hint="eastAsia"/>
                <w:color w:val="000000" w:themeColor="text1"/>
                <w:sz w:val="21"/>
                <w:szCs w:val="21"/>
                <w14:textFill>
                  <w14:solidFill>
                    <w14:schemeClr w14:val="tx1"/>
                  </w14:solidFill>
                </w14:textFill>
              </w:rPr>
              <w:t>职责</w:t>
            </w:r>
          </w:p>
        </w:tc>
        <w:tc>
          <w:tcPr>
            <w:tcW w:w="408" w:type="pct"/>
            <w:noWrap/>
            <w:vAlign w:val="center"/>
          </w:tcPr>
          <w:p w14:paraId="472A3AB3">
            <w:pPr>
              <w:numPr>
                <w:ilvl w:val="0"/>
                <w:numId w:val="9"/>
              </w:numPr>
              <w:spacing w:line="400" w:lineRule="exact"/>
              <w:rPr>
                <w:color w:val="000000" w:themeColor="text1"/>
                <w:sz w:val="21"/>
                <w:szCs w:val="21"/>
                <w14:textFill>
                  <w14:solidFill>
                    <w14:schemeClr w14:val="tx1"/>
                  </w14:solidFill>
                </w14:textFill>
              </w:rPr>
            </w:pPr>
          </w:p>
        </w:tc>
        <w:tc>
          <w:tcPr>
            <w:tcW w:w="2094" w:type="pct"/>
            <w:noWrap/>
            <w:vAlign w:val="center"/>
          </w:tcPr>
          <w:p w14:paraId="1D2151C6">
            <w:pPr>
              <w:spacing w:line="400" w:lineRule="exact"/>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机修工安全生产职责</w:t>
            </w:r>
          </w:p>
        </w:tc>
      </w:tr>
      <w:tr w14:paraId="30EDD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noWrap/>
            <w:vAlign w:val="center"/>
          </w:tcPr>
          <w:p w14:paraId="38BE7EB2">
            <w:pPr>
              <w:numPr>
                <w:ilvl w:val="0"/>
                <w:numId w:val="9"/>
              </w:numPr>
              <w:spacing w:line="400" w:lineRule="exact"/>
              <w:rPr>
                <w:color w:val="000000" w:themeColor="text1"/>
                <w:sz w:val="21"/>
                <w:szCs w:val="21"/>
                <w14:textFill>
                  <w14:solidFill>
                    <w14:schemeClr w14:val="tx1"/>
                  </w14:solidFill>
                </w14:textFill>
              </w:rPr>
            </w:pPr>
          </w:p>
        </w:tc>
        <w:tc>
          <w:tcPr>
            <w:tcW w:w="2137" w:type="pct"/>
            <w:noWrap/>
            <w:vAlign w:val="center"/>
          </w:tcPr>
          <w:p w14:paraId="7DB10B61">
            <w:pPr>
              <w:spacing w:line="400" w:lineRule="exact"/>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电</w:t>
            </w:r>
            <w:r>
              <w:rPr>
                <w:color w:val="000000" w:themeColor="text1"/>
                <w:sz w:val="21"/>
                <w:szCs w:val="21"/>
                <w14:textFill>
                  <w14:solidFill>
                    <w14:schemeClr w14:val="tx1"/>
                  </w14:solidFill>
                </w14:textFill>
              </w:rPr>
              <w:t>工安全</w:t>
            </w:r>
            <w:r>
              <w:rPr>
                <w:rFonts w:hint="eastAsia"/>
                <w:color w:val="000000" w:themeColor="text1"/>
                <w:sz w:val="21"/>
                <w:szCs w:val="21"/>
                <w:lang w:val="en-US" w:eastAsia="zh-CN"/>
                <w14:textFill>
                  <w14:solidFill>
                    <w14:schemeClr w14:val="tx1"/>
                  </w14:solidFill>
                </w14:textFill>
              </w:rPr>
              <w:t>生产</w:t>
            </w:r>
            <w:r>
              <w:rPr>
                <w:rFonts w:hint="eastAsia"/>
                <w:color w:val="000000" w:themeColor="text1"/>
                <w:sz w:val="21"/>
                <w:szCs w:val="21"/>
                <w14:textFill>
                  <w14:solidFill>
                    <w14:schemeClr w14:val="tx1"/>
                  </w14:solidFill>
                </w14:textFill>
              </w:rPr>
              <w:t>职责</w:t>
            </w:r>
          </w:p>
        </w:tc>
        <w:tc>
          <w:tcPr>
            <w:tcW w:w="408" w:type="pct"/>
            <w:noWrap/>
            <w:vAlign w:val="center"/>
          </w:tcPr>
          <w:p w14:paraId="5C1BB58D">
            <w:pPr>
              <w:numPr>
                <w:ilvl w:val="0"/>
                <w:numId w:val="9"/>
              </w:numPr>
              <w:spacing w:line="400" w:lineRule="exact"/>
              <w:rPr>
                <w:color w:val="000000" w:themeColor="text1"/>
                <w:sz w:val="21"/>
                <w:szCs w:val="21"/>
                <w14:textFill>
                  <w14:solidFill>
                    <w14:schemeClr w14:val="tx1"/>
                  </w14:solidFill>
                </w14:textFill>
              </w:rPr>
            </w:pPr>
          </w:p>
        </w:tc>
        <w:tc>
          <w:tcPr>
            <w:tcW w:w="2094" w:type="pct"/>
            <w:noWrap/>
            <w:vAlign w:val="center"/>
          </w:tcPr>
          <w:p w14:paraId="7AD151F6">
            <w:pPr>
              <w:spacing w:line="400" w:lineRule="exact"/>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焊工</w:t>
            </w:r>
            <w:r>
              <w:rPr>
                <w:color w:val="000000" w:themeColor="text1"/>
                <w:sz w:val="21"/>
                <w:szCs w:val="21"/>
                <w14:textFill>
                  <w14:solidFill>
                    <w14:schemeClr w14:val="tx1"/>
                  </w14:solidFill>
                </w14:textFill>
              </w:rPr>
              <w:t>安全</w:t>
            </w:r>
            <w:r>
              <w:rPr>
                <w:rFonts w:hint="eastAsia"/>
                <w:color w:val="000000" w:themeColor="text1"/>
                <w:sz w:val="21"/>
                <w:szCs w:val="21"/>
                <w:lang w:val="en-US" w:eastAsia="zh-CN"/>
                <w14:textFill>
                  <w14:solidFill>
                    <w14:schemeClr w14:val="tx1"/>
                  </w14:solidFill>
                </w14:textFill>
              </w:rPr>
              <w:t>生产</w:t>
            </w:r>
            <w:r>
              <w:rPr>
                <w:rFonts w:hint="eastAsia"/>
                <w:color w:val="000000" w:themeColor="text1"/>
                <w:sz w:val="21"/>
                <w:szCs w:val="21"/>
                <w14:textFill>
                  <w14:solidFill>
                    <w14:schemeClr w14:val="tx1"/>
                  </w14:solidFill>
                </w14:textFill>
              </w:rPr>
              <w:t>职责</w:t>
            </w:r>
          </w:p>
        </w:tc>
      </w:tr>
      <w:tr w14:paraId="78FC4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noWrap/>
            <w:vAlign w:val="center"/>
          </w:tcPr>
          <w:p w14:paraId="26B3E554">
            <w:pPr>
              <w:numPr>
                <w:ilvl w:val="0"/>
                <w:numId w:val="9"/>
              </w:numPr>
              <w:spacing w:line="400" w:lineRule="exact"/>
              <w:rPr>
                <w:color w:val="000000" w:themeColor="text1"/>
                <w:sz w:val="21"/>
                <w:szCs w:val="21"/>
                <w14:textFill>
                  <w14:solidFill>
                    <w14:schemeClr w14:val="tx1"/>
                  </w14:solidFill>
                </w14:textFill>
              </w:rPr>
            </w:pPr>
          </w:p>
        </w:tc>
        <w:tc>
          <w:tcPr>
            <w:tcW w:w="2137" w:type="pct"/>
            <w:noWrap/>
            <w:vAlign w:val="center"/>
          </w:tcPr>
          <w:p w14:paraId="5580A7CB">
            <w:pPr>
              <w:spacing w:line="40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叉车</w:t>
            </w:r>
            <w:r>
              <w:rPr>
                <w:rFonts w:hint="eastAsia"/>
                <w:color w:val="000000" w:themeColor="text1"/>
                <w:sz w:val="21"/>
                <w:szCs w:val="21"/>
                <w:lang w:val="en-US" w:eastAsia="zh-CN"/>
                <w14:textFill>
                  <w14:solidFill>
                    <w14:schemeClr w14:val="tx1"/>
                  </w14:solidFill>
                </w14:textFill>
              </w:rPr>
              <w:t>司机</w:t>
            </w:r>
            <w:r>
              <w:rPr>
                <w:color w:val="000000" w:themeColor="text1"/>
                <w:sz w:val="21"/>
                <w:szCs w:val="21"/>
                <w14:textFill>
                  <w14:solidFill>
                    <w14:schemeClr w14:val="tx1"/>
                  </w14:solidFill>
                </w14:textFill>
              </w:rPr>
              <w:t>安全</w:t>
            </w:r>
            <w:r>
              <w:rPr>
                <w:rFonts w:hint="eastAsia"/>
                <w:color w:val="000000" w:themeColor="text1"/>
                <w:sz w:val="21"/>
                <w:szCs w:val="21"/>
                <w:lang w:val="en-US" w:eastAsia="zh-CN"/>
                <w14:textFill>
                  <w14:solidFill>
                    <w14:schemeClr w14:val="tx1"/>
                  </w14:solidFill>
                </w14:textFill>
              </w:rPr>
              <w:t>生产</w:t>
            </w:r>
            <w:r>
              <w:rPr>
                <w:rFonts w:hint="eastAsia"/>
                <w:color w:val="000000" w:themeColor="text1"/>
                <w:sz w:val="21"/>
                <w:szCs w:val="21"/>
                <w14:textFill>
                  <w14:solidFill>
                    <w14:schemeClr w14:val="tx1"/>
                  </w14:solidFill>
                </w14:textFill>
              </w:rPr>
              <w:t>职责</w:t>
            </w:r>
          </w:p>
        </w:tc>
        <w:tc>
          <w:tcPr>
            <w:tcW w:w="408" w:type="pct"/>
            <w:noWrap/>
            <w:vAlign w:val="center"/>
          </w:tcPr>
          <w:p w14:paraId="5B2BE865">
            <w:pPr>
              <w:numPr>
                <w:ilvl w:val="0"/>
                <w:numId w:val="9"/>
              </w:numPr>
              <w:spacing w:line="400" w:lineRule="exact"/>
              <w:rPr>
                <w:color w:val="000000" w:themeColor="text1"/>
                <w:sz w:val="21"/>
                <w:szCs w:val="21"/>
                <w14:textFill>
                  <w14:solidFill>
                    <w14:schemeClr w14:val="tx1"/>
                  </w14:solidFill>
                </w14:textFill>
              </w:rPr>
            </w:pPr>
          </w:p>
        </w:tc>
        <w:tc>
          <w:tcPr>
            <w:tcW w:w="2094" w:type="pct"/>
            <w:noWrap/>
            <w:vAlign w:val="center"/>
          </w:tcPr>
          <w:p w14:paraId="19096470">
            <w:pPr>
              <w:spacing w:line="400" w:lineRule="exact"/>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行车司机安全职责</w:t>
            </w:r>
          </w:p>
        </w:tc>
      </w:tr>
    </w:tbl>
    <w:p w14:paraId="07374006">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center"/>
        <w:textAlignment w:val="auto"/>
        <w:rPr>
          <w:rFonts w:hAnsi="宋体"/>
          <w:color w:val="000000" w:themeColor="text1"/>
          <w:sz w:val="28"/>
          <w:szCs w:val="28"/>
          <w14:textFill>
            <w14:solidFill>
              <w14:schemeClr w14:val="tx1"/>
            </w14:solidFill>
          </w14:textFill>
        </w:rPr>
      </w:pPr>
      <w:r>
        <w:rPr>
          <w:rFonts w:hint="eastAsia" w:hAnsi="宋体"/>
          <w:color w:val="000000" w:themeColor="text1"/>
          <w:sz w:val="28"/>
          <w:szCs w:val="28"/>
          <w14:textFill>
            <w14:solidFill>
              <w14:schemeClr w14:val="tx1"/>
            </w14:solidFill>
          </w14:textFill>
        </w:rPr>
        <w:t>根据工艺技术要求和工作特点，公司制定有各岗位、各工种得安</w:t>
      </w:r>
    </w:p>
    <w:p w14:paraId="0F2497BB">
      <w:pPr>
        <w:keepNext w:val="0"/>
        <w:keepLines w:val="0"/>
        <w:pageBreakBefore w:val="0"/>
        <w:widowControl w:val="0"/>
        <w:kinsoku/>
        <w:wordWrap/>
        <w:overflowPunct/>
        <w:topLinePunct w:val="0"/>
        <w:autoSpaceDE/>
        <w:autoSpaceDN/>
        <w:bidi w:val="0"/>
        <w:adjustRightInd/>
        <w:snapToGrid/>
        <w:spacing w:line="500" w:lineRule="exact"/>
        <w:textAlignment w:val="auto"/>
        <w:rPr>
          <w:color w:val="000000" w:themeColor="text1"/>
          <w14:textFill>
            <w14:solidFill>
              <w14:schemeClr w14:val="tx1"/>
            </w14:solidFill>
          </w14:textFill>
        </w:rPr>
      </w:pPr>
      <w:r>
        <w:rPr>
          <w:rFonts w:hint="eastAsia" w:hAnsi="宋体"/>
          <w:color w:val="000000" w:themeColor="text1"/>
          <w:sz w:val="28"/>
          <w:szCs w:val="28"/>
          <w14:textFill>
            <w14:solidFill>
              <w14:schemeClr w14:val="tx1"/>
            </w14:solidFill>
          </w14:textFill>
        </w:rPr>
        <w:t>全操作规程，对员工在生产作业时正确安全操作做了详细规定：</w:t>
      </w:r>
    </w:p>
    <w:p w14:paraId="0A9FDA0C">
      <w:pPr>
        <w:spacing w:line="360" w:lineRule="auto"/>
        <w:ind w:firstLine="482" w:firstLineChars="200"/>
        <w:jc w:val="center"/>
        <w:rPr>
          <w:rFonts w:hint="eastAsia"/>
          <w:color w:val="000000" w:themeColor="text1"/>
          <w14:textFill>
            <w14:solidFill>
              <w14:schemeClr w14:val="tx1"/>
            </w14:solidFill>
          </w14:textFill>
        </w:rPr>
      </w:pPr>
      <w:r>
        <w:rPr>
          <w:rFonts w:hint="eastAsia" w:ascii="宋体" w:hAnsi="宋体" w:eastAsia="宋体" w:cs="Times New Roman"/>
          <w:b/>
          <w:bCs/>
          <w:color w:val="000000" w:themeColor="text1"/>
          <w14:textFill>
            <w14:solidFill>
              <w14:schemeClr w14:val="tx1"/>
            </w14:solidFill>
          </w14:textFill>
        </w:rPr>
        <w:t>表2-</w:t>
      </w:r>
      <w:r>
        <w:rPr>
          <w:rFonts w:hint="eastAsia" w:hAnsi="宋体" w:cs="Times New Roman"/>
          <w:b/>
          <w:bCs/>
          <w:color w:val="000000" w:themeColor="text1"/>
          <w:lang w:val="en-US" w:eastAsia="zh-CN"/>
          <w14:textFill>
            <w14:solidFill>
              <w14:schemeClr w14:val="tx1"/>
            </w14:solidFill>
          </w14:textFill>
        </w:rPr>
        <w:t>8</w:t>
      </w:r>
      <w:r>
        <w:rPr>
          <w:rFonts w:hint="eastAsia" w:ascii="宋体" w:hAnsi="宋体" w:eastAsia="宋体" w:cs="Times New Roman"/>
          <w:b/>
          <w:bCs/>
          <w:color w:val="000000" w:themeColor="text1"/>
          <w14:textFill>
            <w14:solidFill>
              <w14:schemeClr w14:val="tx1"/>
            </w14:solidFill>
          </w14:textFill>
        </w:rPr>
        <w:t xml:space="preserve"> 公司制定的主要岗位安全操作规程一览表</w:t>
      </w:r>
    </w:p>
    <w:tbl>
      <w:tblPr>
        <w:tblStyle w:val="5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3540"/>
        <w:gridCol w:w="827"/>
        <w:gridCol w:w="3354"/>
      </w:tblGrid>
      <w:tr w14:paraId="276A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469" w:type="pct"/>
            <w:noWrap/>
            <w:vAlign w:val="center"/>
          </w:tcPr>
          <w:p w14:paraId="44864B27">
            <w:pPr>
              <w:keepNext w:val="0"/>
              <w:keepLines w:val="0"/>
              <w:pageBreakBefore w:val="0"/>
              <w:widowControl w:val="0"/>
              <w:numPr>
                <w:ilvl w:val="0"/>
                <w:numId w:val="1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2077" w:type="pct"/>
            <w:noWrap/>
            <w:vAlign w:val="center"/>
          </w:tcPr>
          <w:p w14:paraId="1C0F6AB7">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轮碾机岗位</w:t>
            </w:r>
            <w:r>
              <w:rPr>
                <w:rFonts w:hint="eastAsia" w:ascii="宋体" w:hAnsi="宋体" w:eastAsia="宋体" w:cs="宋体"/>
                <w:color w:val="000000" w:themeColor="text1"/>
                <w:sz w:val="21"/>
                <w:szCs w:val="21"/>
                <w14:textFill>
                  <w14:solidFill>
                    <w14:schemeClr w14:val="tx1"/>
                  </w14:solidFill>
                </w14:textFill>
              </w:rPr>
              <w:t>操作规程</w:t>
            </w:r>
          </w:p>
        </w:tc>
        <w:tc>
          <w:tcPr>
            <w:tcW w:w="485" w:type="pct"/>
            <w:noWrap/>
            <w:vAlign w:val="center"/>
          </w:tcPr>
          <w:p w14:paraId="552E8327">
            <w:pPr>
              <w:keepNext w:val="0"/>
              <w:keepLines w:val="0"/>
              <w:pageBreakBefore w:val="0"/>
              <w:widowControl w:val="0"/>
              <w:numPr>
                <w:ilvl w:val="0"/>
                <w:numId w:val="1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1967" w:type="pct"/>
            <w:noWrap/>
            <w:vAlign w:val="center"/>
          </w:tcPr>
          <w:p w14:paraId="697D68D7">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叉车岗位操作规程</w:t>
            </w:r>
          </w:p>
        </w:tc>
      </w:tr>
      <w:tr w14:paraId="2FBD6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pct"/>
            <w:noWrap/>
            <w:vAlign w:val="center"/>
          </w:tcPr>
          <w:p w14:paraId="03D2A120">
            <w:pPr>
              <w:keepNext w:val="0"/>
              <w:keepLines w:val="0"/>
              <w:pageBreakBefore w:val="0"/>
              <w:widowControl w:val="0"/>
              <w:numPr>
                <w:ilvl w:val="0"/>
                <w:numId w:val="1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2077" w:type="pct"/>
            <w:noWrap/>
            <w:vAlign w:val="center"/>
          </w:tcPr>
          <w:p w14:paraId="1F1E1BB6">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40" w:left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行车岗位操作规程</w:t>
            </w:r>
          </w:p>
        </w:tc>
        <w:tc>
          <w:tcPr>
            <w:tcW w:w="485" w:type="pct"/>
            <w:noWrap/>
            <w:vAlign w:val="center"/>
          </w:tcPr>
          <w:p w14:paraId="301E01DD">
            <w:pPr>
              <w:keepNext w:val="0"/>
              <w:keepLines w:val="0"/>
              <w:pageBreakBefore w:val="0"/>
              <w:widowControl w:val="0"/>
              <w:numPr>
                <w:ilvl w:val="0"/>
                <w:numId w:val="1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1967" w:type="pct"/>
            <w:noWrap/>
            <w:vAlign w:val="center"/>
          </w:tcPr>
          <w:p w14:paraId="2E772EB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40" w:leftChars="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电工岗位操作规程</w:t>
            </w:r>
          </w:p>
        </w:tc>
      </w:tr>
      <w:tr w14:paraId="2B10C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pct"/>
            <w:noWrap/>
            <w:vAlign w:val="center"/>
          </w:tcPr>
          <w:p w14:paraId="712FDCE3">
            <w:pPr>
              <w:keepNext w:val="0"/>
              <w:keepLines w:val="0"/>
              <w:pageBreakBefore w:val="0"/>
              <w:widowControl w:val="0"/>
              <w:numPr>
                <w:ilvl w:val="0"/>
                <w:numId w:val="1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2077" w:type="pct"/>
            <w:noWrap/>
            <w:vAlign w:val="center"/>
          </w:tcPr>
          <w:p w14:paraId="077DB9D9">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40" w:left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破碎机</w:t>
            </w:r>
            <w:r>
              <w:rPr>
                <w:rFonts w:hint="eastAsia" w:ascii="宋体" w:hAnsi="宋体" w:eastAsia="宋体" w:cs="宋体"/>
                <w:color w:val="000000" w:themeColor="text1"/>
                <w:sz w:val="21"/>
                <w:szCs w:val="21"/>
                <w14:textFill>
                  <w14:solidFill>
                    <w14:schemeClr w14:val="tx1"/>
                  </w14:solidFill>
                </w14:textFill>
              </w:rPr>
              <w:t>岗位操作规程</w:t>
            </w:r>
          </w:p>
        </w:tc>
        <w:tc>
          <w:tcPr>
            <w:tcW w:w="485" w:type="pct"/>
            <w:noWrap/>
            <w:vAlign w:val="center"/>
          </w:tcPr>
          <w:p w14:paraId="62DF66E2">
            <w:pPr>
              <w:keepNext w:val="0"/>
              <w:keepLines w:val="0"/>
              <w:pageBreakBefore w:val="0"/>
              <w:widowControl w:val="0"/>
              <w:numPr>
                <w:ilvl w:val="0"/>
                <w:numId w:val="1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1967" w:type="pct"/>
            <w:noWrap/>
            <w:vAlign w:val="center"/>
          </w:tcPr>
          <w:p w14:paraId="560E6C9A">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40" w:left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松解机</w:t>
            </w:r>
            <w:r>
              <w:rPr>
                <w:rFonts w:hint="eastAsia" w:ascii="宋体" w:hAnsi="宋体" w:eastAsia="宋体" w:cs="宋体"/>
                <w:color w:val="000000" w:themeColor="text1"/>
                <w:sz w:val="21"/>
                <w:szCs w:val="21"/>
                <w14:textFill>
                  <w14:solidFill>
                    <w14:schemeClr w14:val="tx1"/>
                  </w14:solidFill>
                </w14:textFill>
              </w:rPr>
              <w:t>操作规程</w:t>
            </w:r>
          </w:p>
        </w:tc>
      </w:tr>
      <w:tr w14:paraId="2A020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pct"/>
            <w:noWrap/>
            <w:vAlign w:val="center"/>
          </w:tcPr>
          <w:p w14:paraId="50522B91">
            <w:pPr>
              <w:keepNext w:val="0"/>
              <w:keepLines w:val="0"/>
              <w:pageBreakBefore w:val="0"/>
              <w:widowControl w:val="0"/>
              <w:numPr>
                <w:ilvl w:val="0"/>
                <w:numId w:val="1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2077" w:type="pct"/>
            <w:noWrap/>
            <w:vAlign w:val="center"/>
          </w:tcPr>
          <w:p w14:paraId="059217EC">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40" w:left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成型机</w:t>
            </w:r>
            <w:r>
              <w:rPr>
                <w:rFonts w:hint="eastAsia" w:ascii="宋体" w:hAnsi="宋体" w:eastAsia="宋体" w:cs="宋体"/>
                <w:color w:val="000000" w:themeColor="text1"/>
                <w:sz w:val="21"/>
                <w:szCs w:val="21"/>
                <w14:textFill>
                  <w14:solidFill>
                    <w14:schemeClr w14:val="tx1"/>
                  </w14:solidFill>
                </w14:textFill>
              </w:rPr>
              <w:t>岗位操作规程</w:t>
            </w:r>
          </w:p>
        </w:tc>
        <w:tc>
          <w:tcPr>
            <w:tcW w:w="485" w:type="pct"/>
            <w:noWrap/>
            <w:vAlign w:val="center"/>
          </w:tcPr>
          <w:p w14:paraId="2A84B531">
            <w:pPr>
              <w:keepNext w:val="0"/>
              <w:keepLines w:val="0"/>
              <w:pageBreakBefore w:val="0"/>
              <w:widowControl w:val="0"/>
              <w:numPr>
                <w:ilvl w:val="0"/>
                <w:numId w:val="1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1967" w:type="pct"/>
            <w:noWrap/>
            <w:vAlign w:val="center"/>
          </w:tcPr>
          <w:p w14:paraId="3D666E7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240" w:leftChars="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机修工</w:t>
            </w:r>
            <w:r>
              <w:rPr>
                <w:rFonts w:hint="eastAsia" w:ascii="宋体" w:hAnsi="宋体" w:eastAsia="宋体" w:cs="宋体"/>
                <w:color w:val="000000" w:themeColor="text1"/>
                <w:sz w:val="21"/>
                <w:szCs w:val="21"/>
                <w14:textFill>
                  <w14:solidFill>
                    <w14:schemeClr w14:val="tx1"/>
                  </w14:solidFill>
                </w14:textFill>
              </w:rPr>
              <w:t>岗位操作规程</w:t>
            </w:r>
          </w:p>
        </w:tc>
      </w:tr>
      <w:tr w14:paraId="5A208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pct"/>
            <w:noWrap/>
            <w:vAlign w:val="center"/>
          </w:tcPr>
          <w:p w14:paraId="54470D79">
            <w:pPr>
              <w:keepNext w:val="0"/>
              <w:keepLines w:val="0"/>
              <w:pageBreakBefore w:val="0"/>
              <w:widowControl w:val="0"/>
              <w:numPr>
                <w:ilvl w:val="0"/>
                <w:numId w:val="1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tc>
        <w:tc>
          <w:tcPr>
            <w:tcW w:w="4530" w:type="pct"/>
            <w:gridSpan w:val="3"/>
            <w:noWrap/>
            <w:vAlign w:val="center"/>
          </w:tcPr>
          <w:p w14:paraId="6DC1E0DF">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配料工</w:t>
            </w:r>
            <w:r>
              <w:rPr>
                <w:rFonts w:hint="eastAsia" w:ascii="宋体" w:hAnsi="宋体" w:eastAsia="宋体" w:cs="宋体"/>
                <w:color w:val="000000" w:themeColor="text1"/>
                <w:sz w:val="21"/>
                <w:szCs w:val="21"/>
                <w14:textFill>
                  <w14:solidFill>
                    <w14:schemeClr w14:val="tx1"/>
                  </w14:solidFill>
                </w14:textFill>
              </w:rPr>
              <w:t>岗位操作规程</w:t>
            </w:r>
          </w:p>
        </w:tc>
      </w:tr>
    </w:tbl>
    <w:p w14:paraId="05E35BDB">
      <w:pPr>
        <w:pStyle w:val="5"/>
        <w:rPr>
          <w:rFonts w:asciiTheme="minorEastAsia" w:hAnsiTheme="minorEastAsia" w:eastAsiaTheme="minorEastAsia"/>
          <w:color w:val="000000" w:themeColor="text1"/>
          <w14:textFill>
            <w14:solidFill>
              <w14:schemeClr w14:val="tx1"/>
            </w14:solidFill>
          </w14:textFill>
        </w:rPr>
      </w:pPr>
      <w:bookmarkStart w:id="232" w:name="_Toc31434"/>
      <w:bookmarkStart w:id="233" w:name="_Toc17375"/>
      <w:bookmarkStart w:id="234" w:name="_Toc32451"/>
      <w:r>
        <w:rPr>
          <w:rFonts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7</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4人员持证</w:t>
      </w:r>
      <w:r>
        <w:rPr>
          <w:rFonts w:ascii="Times New Roman" w:hAnsi="Times New Roman"/>
          <w:color w:val="000000" w:themeColor="text1"/>
          <w14:textFill>
            <w14:solidFill>
              <w14:schemeClr w14:val="tx1"/>
            </w14:solidFill>
          </w14:textFill>
        </w:rPr>
        <w:t>上岗情况</w:t>
      </w:r>
      <w:bookmarkEnd w:id="232"/>
      <w:bookmarkEnd w:id="233"/>
      <w:bookmarkEnd w:id="234"/>
      <w:bookmarkStart w:id="235" w:name="_Toc13628"/>
      <w:bookmarkStart w:id="236" w:name="_Toc313453487"/>
    </w:p>
    <w:p w14:paraId="19BB4C85">
      <w:pPr>
        <w:keepNext w:val="0"/>
        <w:keepLines w:val="0"/>
        <w:pageBreakBefore w:val="0"/>
        <w:widowControl w:val="0"/>
        <w:tabs>
          <w:tab w:val="left" w:pos="270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lang w:eastAsia="zh-CN"/>
          <w14:textFill>
            <w14:solidFill>
              <w14:schemeClr w14:val="tx1"/>
            </w14:solidFill>
          </w14:textFill>
        </w:rPr>
      </w:pPr>
      <w:r>
        <w:rPr>
          <w:rFonts w:hint="eastAsia" w:ascii="宋体" w:hAnsi="宋体" w:cs="宋体"/>
          <w:color w:val="000000" w:themeColor="text1"/>
          <w:sz w:val="28"/>
          <w14:textFill>
            <w14:solidFill>
              <w14:schemeClr w14:val="tx1"/>
            </w14:solidFill>
          </w14:textFill>
        </w:rPr>
        <w:t>公司主要负责人、安全管理人员均取得了安全培训合格证书，叉车</w:t>
      </w:r>
      <w:r>
        <w:rPr>
          <w:rFonts w:hint="eastAsia" w:hAnsi="宋体" w:cs="宋体"/>
          <w:color w:val="000000" w:themeColor="text1"/>
          <w:sz w:val="28"/>
          <w:lang w:eastAsia="zh-CN"/>
          <w14:textFill>
            <w14:solidFill>
              <w14:schemeClr w14:val="tx1"/>
            </w14:solidFill>
          </w14:textFill>
        </w:rPr>
        <w:t>、</w:t>
      </w:r>
      <w:r>
        <w:rPr>
          <w:rFonts w:hint="eastAsia" w:hAnsi="宋体" w:cs="宋体"/>
          <w:color w:val="000000" w:themeColor="text1"/>
          <w:sz w:val="28"/>
          <w:lang w:val="en-US" w:eastAsia="zh-CN"/>
          <w14:textFill>
            <w14:solidFill>
              <w14:schemeClr w14:val="tx1"/>
            </w14:solidFill>
          </w14:textFill>
        </w:rPr>
        <w:t>行车</w:t>
      </w:r>
      <w:r>
        <w:rPr>
          <w:rFonts w:hint="eastAsia" w:ascii="宋体" w:hAnsi="宋体" w:cs="宋体"/>
          <w:color w:val="000000" w:themeColor="text1"/>
          <w:sz w:val="28"/>
          <w14:textFill>
            <w14:solidFill>
              <w14:schemeClr w14:val="tx1"/>
            </w14:solidFill>
          </w14:textFill>
        </w:rPr>
        <w:t>作业人员已取操作证，</w:t>
      </w:r>
      <w:r>
        <w:rPr>
          <w:rFonts w:hint="eastAsia" w:ascii="宋体" w:hAnsi="宋体" w:cs="宋体"/>
          <w:color w:val="000000" w:themeColor="text1"/>
          <w:sz w:val="28"/>
          <w:lang w:val="en-US" w:eastAsia="zh-CN"/>
          <w14:textFill>
            <w14:solidFill>
              <w14:schemeClr w14:val="tx1"/>
            </w14:solidFill>
          </w14:textFill>
        </w:rPr>
        <w:t>电工、焊工外委。</w:t>
      </w:r>
      <w:r>
        <w:rPr>
          <w:rFonts w:hint="eastAsia" w:ascii="宋体" w:hAnsi="宋体" w:cs="宋体"/>
          <w:color w:val="000000" w:themeColor="text1"/>
          <w:sz w:val="28"/>
          <w14:textFill>
            <w14:solidFill>
              <w14:schemeClr w14:val="tx1"/>
            </w14:solidFill>
          </w14:textFill>
        </w:rPr>
        <w:t>人员持证情况见下表</w:t>
      </w:r>
      <w:r>
        <w:rPr>
          <w:rFonts w:hint="eastAsia" w:ascii="宋体" w:hAnsi="宋体" w:cs="宋体"/>
          <w:color w:val="000000" w:themeColor="text1"/>
          <w:sz w:val="28"/>
          <w:lang w:val="en-US" w:eastAsia="zh-CN"/>
          <w14:textFill>
            <w14:solidFill>
              <w14:schemeClr w14:val="tx1"/>
            </w14:solidFill>
          </w14:textFill>
        </w:rPr>
        <w:t>2-</w:t>
      </w:r>
      <w:r>
        <w:rPr>
          <w:rFonts w:hint="eastAsia" w:hAnsi="宋体" w:cs="宋体"/>
          <w:color w:val="000000" w:themeColor="text1"/>
          <w:sz w:val="28"/>
          <w:lang w:val="en-US" w:eastAsia="zh-CN"/>
          <w14:textFill>
            <w14:solidFill>
              <w14:schemeClr w14:val="tx1"/>
            </w14:solidFill>
          </w14:textFill>
        </w:rPr>
        <w:t>9</w:t>
      </w:r>
      <w:r>
        <w:rPr>
          <w:rFonts w:hint="eastAsia" w:ascii="宋体" w:hAnsi="宋体" w:cs="宋体"/>
          <w:color w:val="000000" w:themeColor="text1"/>
          <w:sz w:val="28"/>
          <w:lang w:val="en-US" w:eastAsia="zh-CN"/>
          <w14:textFill>
            <w14:solidFill>
              <w14:schemeClr w14:val="tx1"/>
            </w14:solidFill>
          </w14:textFill>
        </w:rPr>
        <w:t>。</w:t>
      </w:r>
    </w:p>
    <w:p w14:paraId="5E5517E0">
      <w:pPr>
        <w:adjustRightInd w:val="0"/>
        <w:snapToGrid w:val="0"/>
        <w:spacing w:line="360" w:lineRule="auto"/>
        <w:jc w:val="center"/>
        <w:rPr>
          <w:rFonts w:hint="eastAsia" w:ascii="宋体" w:hAnsi="宋体" w:eastAsia="宋体" w:cs="宋体"/>
          <w:b/>
          <w:bCs w:val="0"/>
          <w:color w:val="000000" w:themeColor="text1"/>
          <w:szCs w:val="21"/>
          <w14:textFill>
            <w14:solidFill>
              <w14:schemeClr w14:val="tx1"/>
            </w14:solidFill>
          </w14:textFill>
        </w:rPr>
      </w:pPr>
      <w:r>
        <w:rPr>
          <w:rFonts w:hint="eastAsia" w:ascii="宋体" w:hAnsi="宋体" w:eastAsia="宋体" w:cs="宋体"/>
          <w:b/>
          <w:bCs w:val="0"/>
          <w:color w:val="000000" w:themeColor="text1"/>
          <w:szCs w:val="21"/>
          <w14:textFill>
            <w14:solidFill>
              <w14:schemeClr w14:val="tx1"/>
            </w14:solidFill>
          </w14:textFill>
        </w:rPr>
        <w:t>表2-</w:t>
      </w:r>
      <w:r>
        <w:rPr>
          <w:rFonts w:hint="eastAsia" w:hAnsi="宋体" w:cs="宋体"/>
          <w:b/>
          <w:bCs w:val="0"/>
          <w:color w:val="000000" w:themeColor="text1"/>
          <w:szCs w:val="21"/>
          <w:lang w:val="en-US" w:eastAsia="zh-CN"/>
          <w14:textFill>
            <w14:solidFill>
              <w14:schemeClr w14:val="tx1"/>
            </w14:solidFill>
          </w14:textFill>
        </w:rPr>
        <w:t>9</w:t>
      </w:r>
      <w:r>
        <w:rPr>
          <w:rFonts w:hint="eastAsia" w:ascii="宋体" w:hAnsi="宋体" w:eastAsia="宋体" w:cs="宋体"/>
          <w:b/>
          <w:bCs w:val="0"/>
          <w:color w:val="000000" w:themeColor="text1"/>
          <w:szCs w:val="21"/>
          <w14:textFill>
            <w14:solidFill>
              <w14:schemeClr w14:val="tx1"/>
            </w14:solidFill>
          </w14:textFill>
        </w:rPr>
        <w:t xml:space="preserve"> 持证人员一览表</w:t>
      </w:r>
    </w:p>
    <w:tbl>
      <w:tblPr>
        <w:tblStyle w:val="5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026"/>
        <w:gridCol w:w="1159"/>
        <w:gridCol w:w="2210"/>
        <w:gridCol w:w="2124"/>
        <w:gridCol w:w="1553"/>
      </w:tblGrid>
      <w:tr w14:paraId="6BC46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blHeader/>
          <w:jc w:val="center"/>
        </w:trPr>
        <w:tc>
          <w:tcPr>
            <w:tcW w:w="262" w:type="pct"/>
            <w:tcBorders>
              <w:left w:val="single" w:color="auto" w:sz="4" w:space="0"/>
            </w:tcBorders>
            <w:vAlign w:val="center"/>
          </w:tcPr>
          <w:p w14:paraId="621B9F2B">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b/>
                <w:color w:val="000000" w:themeColor="text1"/>
                <w:sz w:val="21"/>
                <w:szCs w:val="21"/>
                <w14:textFill>
                  <w14:solidFill>
                    <w14:schemeClr w14:val="tx1"/>
                  </w14:solidFill>
                </w14:textFill>
              </w:rPr>
            </w:pPr>
            <w:r>
              <w:rPr>
                <w:rFonts w:hint="eastAsia" w:ascii="宋体" w:hAnsi="宋体" w:cs="宋体"/>
                <w:b/>
                <w:color w:val="000000" w:themeColor="text1"/>
                <w:sz w:val="21"/>
                <w:szCs w:val="21"/>
                <w14:textFill>
                  <w14:solidFill>
                    <w14:schemeClr w14:val="tx1"/>
                  </w14:solidFill>
                </w14:textFill>
              </w:rPr>
              <w:t>序号</w:t>
            </w:r>
          </w:p>
        </w:tc>
        <w:tc>
          <w:tcPr>
            <w:tcW w:w="602" w:type="pct"/>
            <w:tcBorders>
              <w:left w:val="single" w:color="auto" w:sz="4" w:space="0"/>
            </w:tcBorders>
            <w:vAlign w:val="center"/>
          </w:tcPr>
          <w:p w14:paraId="302B7A83">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b/>
                <w:color w:val="000000" w:themeColor="text1"/>
                <w:sz w:val="21"/>
                <w:szCs w:val="21"/>
                <w14:textFill>
                  <w14:solidFill>
                    <w14:schemeClr w14:val="tx1"/>
                  </w14:solidFill>
                </w14:textFill>
              </w:rPr>
            </w:pPr>
            <w:r>
              <w:rPr>
                <w:rFonts w:hint="eastAsia" w:ascii="宋体" w:hAnsi="宋体" w:cs="宋体"/>
                <w:b/>
                <w:color w:val="000000" w:themeColor="text1"/>
                <w:sz w:val="21"/>
                <w:szCs w:val="21"/>
                <w14:textFill>
                  <w14:solidFill>
                    <w14:schemeClr w14:val="tx1"/>
                  </w14:solidFill>
                </w14:textFill>
              </w:rPr>
              <w:t>姓名</w:t>
            </w:r>
          </w:p>
        </w:tc>
        <w:tc>
          <w:tcPr>
            <w:tcW w:w="680" w:type="pct"/>
            <w:vAlign w:val="center"/>
          </w:tcPr>
          <w:p w14:paraId="107EE98C">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cs="宋体"/>
                <w:b/>
                <w:color w:val="000000" w:themeColor="text1"/>
                <w:sz w:val="21"/>
                <w:szCs w:val="21"/>
                <w14:textFill>
                  <w14:solidFill>
                    <w14:schemeClr w14:val="tx1"/>
                  </w14:solidFill>
                </w14:textFill>
              </w:rPr>
              <w:t>职务/</w:t>
            </w:r>
            <w:r>
              <w:rPr>
                <w:rFonts w:hint="eastAsia" w:hAnsi="宋体" w:cs="宋体"/>
                <w:b/>
                <w:color w:val="000000" w:themeColor="text1"/>
                <w:sz w:val="21"/>
                <w:szCs w:val="21"/>
                <w:lang w:val="en-US" w:eastAsia="zh-CN"/>
                <w14:textFill>
                  <w14:solidFill>
                    <w14:schemeClr w14:val="tx1"/>
                  </w14:solidFill>
                </w14:textFill>
              </w:rPr>
              <w:t>类型</w:t>
            </w:r>
          </w:p>
        </w:tc>
        <w:tc>
          <w:tcPr>
            <w:tcW w:w="1297" w:type="pct"/>
            <w:vAlign w:val="center"/>
          </w:tcPr>
          <w:p w14:paraId="7EBB88E1">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b/>
                <w:color w:val="000000" w:themeColor="text1"/>
                <w:sz w:val="21"/>
                <w:szCs w:val="21"/>
                <w14:textFill>
                  <w14:solidFill>
                    <w14:schemeClr w14:val="tx1"/>
                  </w14:solidFill>
                </w14:textFill>
              </w:rPr>
            </w:pPr>
            <w:r>
              <w:rPr>
                <w:rFonts w:hint="eastAsia" w:ascii="宋体" w:hAnsi="宋体" w:cs="宋体"/>
                <w:b/>
                <w:color w:val="000000" w:themeColor="text1"/>
                <w:sz w:val="21"/>
                <w:szCs w:val="21"/>
                <w14:textFill>
                  <w14:solidFill>
                    <w14:schemeClr w14:val="tx1"/>
                  </w14:solidFill>
                </w14:textFill>
              </w:rPr>
              <w:t>证书编号</w:t>
            </w:r>
          </w:p>
        </w:tc>
        <w:tc>
          <w:tcPr>
            <w:tcW w:w="1246" w:type="pct"/>
            <w:vAlign w:val="center"/>
          </w:tcPr>
          <w:p w14:paraId="357AC425">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b/>
                <w:color w:val="000000" w:themeColor="text1"/>
                <w:sz w:val="21"/>
                <w:szCs w:val="21"/>
                <w14:textFill>
                  <w14:solidFill>
                    <w14:schemeClr w14:val="tx1"/>
                  </w14:solidFill>
                </w14:textFill>
              </w:rPr>
            </w:pPr>
            <w:r>
              <w:rPr>
                <w:rFonts w:hint="eastAsia" w:ascii="宋体" w:hAnsi="宋体" w:cs="宋体"/>
                <w:b/>
                <w:color w:val="000000" w:themeColor="text1"/>
                <w:sz w:val="21"/>
                <w:szCs w:val="21"/>
                <w14:textFill>
                  <w14:solidFill>
                    <w14:schemeClr w14:val="tx1"/>
                  </w14:solidFill>
                </w14:textFill>
              </w:rPr>
              <w:t>有效期限</w:t>
            </w:r>
          </w:p>
        </w:tc>
        <w:tc>
          <w:tcPr>
            <w:tcW w:w="911" w:type="pct"/>
            <w:vAlign w:val="center"/>
          </w:tcPr>
          <w:p w14:paraId="4D899EA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b/>
                <w:color w:val="000000" w:themeColor="text1"/>
                <w:sz w:val="21"/>
                <w:szCs w:val="21"/>
                <w:lang w:val="en-US" w:eastAsia="zh-CN"/>
                <w14:textFill>
                  <w14:solidFill>
                    <w14:schemeClr w14:val="tx1"/>
                  </w14:solidFill>
                </w14:textFill>
              </w:rPr>
            </w:pPr>
            <w:r>
              <w:rPr>
                <w:rFonts w:hint="eastAsia" w:hAnsi="宋体" w:cs="宋体"/>
                <w:b/>
                <w:color w:val="000000" w:themeColor="text1"/>
                <w:sz w:val="21"/>
                <w:szCs w:val="21"/>
                <w:lang w:val="en-US" w:eastAsia="zh-CN"/>
                <w14:textFill>
                  <w14:solidFill>
                    <w14:schemeClr w14:val="tx1"/>
                  </w14:solidFill>
                </w14:textFill>
              </w:rPr>
              <w:t>发证单位</w:t>
            </w:r>
          </w:p>
        </w:tc>
      </w:tr>
      <w:tr w14:paraId="2D073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2" w:type="pct"/>
            <w:tcBorders>
              <w:left w:val="single" w:color="auto" w:sz="4" w:space="0"/>
            </w:tcBorders>
            <w:vAlign w:val="center"/>
          </w:tcPr>
          <w:p w14:paraId="36299F2E">
            <w:pPr>
              <w:keepNext w:val="0"/>
              <w:keepLines w:val="0"/>
              <w:pageBreakBefore w:val="0"/>
              <w:widowControl w:val="0"/>
              <w:numPr>
                <w:ilvl w:val="0"/>
                <w:numId w:val="11"/>
              </w:numPr>
              <w:tabs>
                <w:tab w:val="left" w:pos="180"/>
              </w:tabs>
              <w:kinsoku/>
              <w:wordWrap/>
              <w:overflowPunct/>
              <w:topLinePunct w:val="0"/>
              <w:autoSpaceDE/>
              <w:autoSpaceDN/>
              <w:bidi w:val="0"/>
              <w:adjustRightInd w:val="0"/>
              <w:snapToGrid w:val="0"/>
              <w:ind w:left="0"/>
              <w:jc w:val="center"/>
              <w:textAlignment w:val="auto"/>
              <w:rPr>
                <w:rFonts w:ascii="宋体" w:hAnsi="宋体" w:cs="宋体"/>
                <w:color w:val="000000" w:themeColor="text1"/>
                <w:kern w:val="0"/>
                <w:sz w:val="21"/>
                <w:szCs w:val="21"/>
                <w14:textFill>
                  <w14:solidFill>
                    <w14:schemeClr w14:val="tx1"/>
                  </w14:solidFill>
                </w14:textFill>
              </w:rPr>
            </w:pPr>
          </w:p>
        </w:tc>
        <w:tc>
          <w:tcPr>
            <w:tcW w:w="602" w:type="pct"/>
            <w:tcBorders>
              <w:left w:val="single" w:color="auto" w:sz="4" w:space="0"/>
            </w:tcBorders>
            <w:vAlign w:val="center"/>
          </w:tcPr>
          <w:p w14:paraId="2E074B8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王金明</w:t>
            </w:r>
          </w:p>
        </w:tc>
        <w:tc>
          <w:tcPr>
            <w:tcW w:w="680" w:type="pct"/>
            <w:vAlign w:val="center"/>
          </w:tcPr>
          <w:p w14:paraId="0EDEBBFF">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主要负责人</w:t>
            </w:r>
          </w:p>
        </w:tc>
        <w:tc>
          <w:tcPr>
            <w:tcW w:w="1297" w:type="pct"/>
            <w:vAlign w:val="center"/>
          </w:tcPr>
          <w:p w14:paraId="51B5CF9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350126196503258051</w:t>
            </w:r>
          </w:p>
        </w:tc>
        <w:tc>
          <w:tcPr>
            <w:tcW w:w="1246" w:type="pct"/>
            <w:vAlign w:val="center"/>
          </w:tcPr>
          <w:p w14:paraId="3B2087D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2024.7.1-2027.6.30</w:t>
            </w:r>
          </w:p>
        </w:tc>
        <w:tc>
          <w:tcPr>
            <w:tcW w:w="911" w:type="pct"/>
            <w:vAlign w:val="center"/>
          </w:tcPr>
          <w:p w14:paraId="0242F55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hAnsi="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云南凯风安全环保技术工程有限公司</w:t>
            </w:r>
          </w:p>
        </w:tc>
      </w:tr>
      <w:tr w14:paraId="3ECBE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2" w:type="pct"/>
            <w:tcBorders>
              <w:left w:val="single" w:color="auto" w:sz="4" w:space="0"/>
            </w:tcBorders>
            <w:vAlign w:val="center"/>
          </w:tcPr>
          <w:p w14:paraId="6A8D18E9">
            <w:pPr>
              <w:keepNext w:val="0"/>
              <w:keepLines w:val="0"/>
              <w:pageBreakBefore w:val="0"/>
              <w:widowControl w:val="0"/>
              <w:numPr>
                <w:ilvl w:val="0"/>
                <w:numId w:val="11"/>
              </w:numPr>
              <w:tabs>
                <w:tab w:val="left" w:pos="180"/>
              </w:tabs>
              <w:kinsoku/>
              <w:wordWrap/>
              <w:overflowPunct/>
              <w:topLinePunct w:val="0"/>
              <w:autoSpaceDE/>
              <w:autoSpaceDN/>
              <w:bidi w:val="0"/>
              <w:adjustRightInd w:val="0"/>
              <w:snapToGrid w:val="0"/>
              <w:ind w:left="0"/>
              <w:jc w:val="center"/>
              <w:textAlignment w:val="auto"/>
              <w:rPr>
                <w:rFonts w:ascii="宋体" w:hAnsi="宋体" w:cs="宋体"/>
                <w:color w:val="000000" w:themeColor="text1"/>
                <w:kern w:val="0"/>
                <w:sz w:val="21"/>
                <w:szCs w:val="21"/>
                <w14:textFill>
                  <w14:solidFill>
                    <w14:schemeClr w14:val="tx1"/>
                  </w14:solidFill>
                </w14:textFill>
              </w:rPr>
            </w:pPr>
          </w:p>
        </w:tc>
        <w:tc>
          <w:tcPr>
            <w:tcW w:w="602" w:type="pct"/>
            <w:tcBorders>
              <w:left w:val="single" w:color="auto" w:sz="4" w:space="0"/>
            </w:tcBorders>
            <w:vAlign w:val="center"/>
          </w:tcPr>
          <w:p w14:paraId="3887A39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王凯程</w:t>
            </w:r>
          </w:p>
        </w:tc>
        <w:tc>
          <w:tcPr>
            <w:tcW w:w="680" w:type="pct"/>
            <w:vAlign w:val="center"/>
          </w:tcPr>
          <w:p w14:paraId="6D5B4F4E">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安全</w:t>
            </w:r>
            <w:r>
              <w:rPr>
                <w:rFonts w:hint="eastAsia" w:hAnsi="宋体" w:cs="宋体"/>
                <w:color w:val="000000" w:themeColor="text1"/>
                <w:sz w:val="21"/>
                <w:szCs w:val="21"/>
                <w:lang w:val="en-US" w:eastAsia="zh-CN"/>
                <w14:textFill>
                  <w14:solidFill>
                    <w14:schemeClr w14:val="tx1"/>
                  </w14:solidFill>
                </w14:textFill>
              </w:rPr>
              <w:t>生产</w:t>
            </w:r>
            <w:r>
              <w:rPr>
                <w:rFonts w:hint="eastAsia" w:ascii="宋体" w:hAnsi="宋体" w:cs="宋体"/>
                <w:color w:val="000000" w:themeColor="text1"/>
                <w:sz w:val="21"/>
                <w:szCs w:val="21"/>
                <w14:textFill>
                  <w14:solidFill>
                    <w14:schemeClr w14:val="tx1"/>
                  </w14:solidFill>
                </w14:textFill>
              </w:rPr>
              <w:t>管理</w:t>
            </w:r>
            <w:r>
              <w:rPr>
                <w:rFonts w:hint="eastAsia" w:hAnsi="宋体" w:cs="宋体"/>
                <w:color w:val="000000" w:themeColor="text1"/>
                <w:sz w:val="21"/>
                <w:szCs w:val="21"/>
                <w:lang w:val="en-US" w:eastAsia="zh-CN"/>
                <w14:textFill>
                  <w14:solidFill>
                    <w14:schemeClr w14:val="tx1"/>
                  </w14:solidFill>
                </w14:textFill>
              </w:rPr>
              <w:t>人</w:t>
            </w:r>
            <w:r>
              <w:rPr>
                <w:rFonts w:hint="eastAsia" w:ascii="宋体" w:hAnsi="宋体" w:cs="宋体"/>
                <w:color w:val="000000" w:themeColor="text1"/>
                <w:sz w:val="21"/>
                <w:szCs w:val="21"/>
                <w14:textFill>
                  <w14:solidFill>
                    <w14:schemeClr w14:val="tx1"/>
                  </w14:solidFill>
                </w14:textFill>
              </w:rPr>
              <w:t>员</w:t>
            </w:r>
          </w:p>
        </w:tc>
        <w:tc>
          <w:tcPr>
            <w:tcW w:w="1297" w:type="pct"/>
            <w:vAlign w:val="center"/>
          </w:tcPr>
          <w:p w14:paraId="7DF74F2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532727199701120318</w:t>
            </w:r>
          </w:p>
        </w:tc>
        <w:tc>
          <w:tcPr>
            <w:tcW w:w="1246" w:type="pct"/>
            <w:vAlign w:val="center"/>
          </w:tcPr>
          <w:p w14:paraId="3145E539">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2024.7.1-2027.6.30</w:t>
            </w:r>
          </w:p>
        </w:tc>
        <w:tc>
          <w:tcPr>
            <w:tcW w:w="911" w:type="pct"/>
            <w:vAlign w:val="center"/>
          </w:tcPr>
          <w:p w14:paraId="3A5A7A0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hAnsi="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云南凯风安全环保技术工程有限公司</w:t>
            </w:r>
          </w:p>
        </w:tc>
      </w:tr>
      <w:tr w14:paraId="769AA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2" w:type="pct"/>
            <w:tcBorders>
              <w:left w:val="single" w:color="auto" w:sz="4" w:space="0"/>
            </w:tcBorders>
            <w:vAlign w:val="center"/>
          </w:tcPr>
          <w:p w14:paraId="3DB7A797">
            <w:pPr>
              <w:keepNext w:val="0"/>
              <w:keepLines w:val="0"/>
              <w:pageBreakBefore w:val="0"/>
              <w:widowControl w:val="0"/>
              <w:numPr>
                <w:ilvl w:val="0"/>
                <w:numId w:val="11"/>
              </w:numPr>
              <w:tabs>
                <w:tab w:val="left" w:pos="180"/>
              </w:tabs>
              <w:kinsoku/>
              <w:wordWrap/>
              <w:overflowPunct/>
              <w:topLinePunct w:val="0"/>
              <w:autoSpaceDE/>
              <w:autoSpaceDN/>
              <w:bidi w:val="0"/>
              <w:adjustRightInd w:val="0"/>
              <w:snapToGrid w:val="0"/>
              <w:ind w:left="0"/>
              <w:jc w:val="center"/>
              <w:textAlignment w:val="auto"/>
              <w:rPr>
                <w:rFonts w:ascii="宋体" w:hAnsi="宋体" w:cs="宋体"/>
                <w:color w:val="000000" w:themeColor="text1"/>
                <w:kern w:val="0"/>
                <w:sz w:val="21"/>
                <w:szCs w:val="21"/>
                <w14:textFill>
                  <w14:solidFill>
                    <w14:schemeClr w14:val="tx1"/>
                  </w14:solidFill>
                </w14:textFill>
              </w:rPr>
            </w:pPr>
          </w:p>
        </w:tc>
        <w:tc>
          <w:tcPr>
            <w:tcW w:w="602" w:type="pct"/>
            <w:tcBorders>
              <w:left w:val="single" w:color="auto" w:sz="4" w:space="0"/>
            </w:tcBorders>
            <w:vAlign w:val="center"/>
          </w:tcPr>
          <w:p w14:paraId="44426ADF">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张明美</w:t>
            </w:r>
          </w:p>
        </w:tc>
        <w:tc>
          <w:tcPr>
            <w:tcW w:w="680" w:type="pct"/>
            <w:vAlign w:val="center"/>
          </w:tcPr>
          <w:p w14:paraId="2BA22ACA">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叉车</w:t>
            </w:r>
          </w:p>
        </w:tc>
        <w:tc>
          <w:tcPr>
            <w:tcW w:w="1297" w:type="pct"/>
            <w:vAlign w:val="center"/>
          </w:tcPr>
          <w:p w14:paraId="3A691754">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532324119960101172X</w:t>
            </w:r>
          </w:p>
        </w:tc>
        <w:tc>
          <w:tcPr>
            <w:tcW w:w="1246" w:type="pct"/>
            <w:vAlign w:val="center"/>
          </w:tcPr>
          <w:p w14:paraId="13CF4F3B">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2023.06-2027.05</w:t>
            </w:r>
          </w:p>
        </w:tc>
        <w:tc>
          <w:tcPr>
            <w:tcW w:w="911" w:type="pct"/>
            <w:vAlign w:val="center"/>
          </w:tcPr>
          <w:p w14:paraId="116A5B1C">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昆明市市场监督管理局空港经济区分局</w:t>
            </w:r>
          </w:p>
        </w:tc>
      </w:tr>
      <w:tr w14:paraId="5CD25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62" w:type="pct"/>
            <w:tcBorders>
              <w:left w:val="single" w:color="auto" w:sz="4" w:space="0"/>
            </w:tcBorders>
            <w:vAlign w:val="center"/>
          </w:tcPr>
          <w:p w14:paraId="2AFB967C">
            <w:pPr>
              <w:keepNext w:val="0"/>
              <w:keepLines w:val="0"/>
              <w:pageBreakBefore w:val="0"/>
              <w:widowControl w:val="0"/>
              <w:numPr>
                <w:ilvl w:val="0"/>
                <w:numId w:val="11"/>
              </w:numPr>
              <w:tabs>
                <w:tab w:val="left" w:pos="180"/>
              </w:tabs>
              <w:kinsoku/>
              <w:wordWrap/>
              <w:overflowPunct/>
              <w:topLinePunct w:val="0"/>
              <w:autoSpaceDE/>
              <w:autoSpaceDN/>
              <w:bidi w:val="0"/>
              <w:adjustRightInd w:val="0"/>
              <w:snapToGrid w:val="0"/>
              <w:ind w:left="0"/>
              <w:jc w:val="center"/>
              <w:textAlignment w:val="auto"/>
              <w:rPr>
                <w:rFonts w:ascii="宋体" w:hAnsi="宋体" w:cs="宋体"/>
                <w:color w:val="000000" w:themeColor="text1"/>
                <w:kern w:val="0"/>
                <w:sz w:val="21"/>
                <w:szCs w:val="21"/>
                <w14:textFill>
                  <w14:solidFill>
                    <w14:schemeClr w14:val="tx1"/>
                  </w14:solidFill>
                </w14:textFill>
              </w:rPr>
            </w:pPr>
          </w:p>
        </w:tc>
        <w:tc>
          <w:tcPr>
            <w:tcW w:w="602" w:type="pct"/>
            <w:tcBorders>
              <w:left w:val="single" w:color="auto" w:sz="4" w:space="0"/>
            </w:tcBorders>
            <w:vAlign w:val="center"/>
          </w:tcPr>
          <w:p w14:paraId="046B4A28">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王凯程</w:t>
            </w:r>
          </w:p>
        </w:tc>
        <w:tc>
          <w:tcPr>
            <w:tcW w:w="680" w:type="pct"/>
            <w:vAlign w:val="center"/>
          </w:tcPr>
          <w:p w14:paraId="0D4A9AD4">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行车</w:t>
            </w:r>
          </w:p>
        </w:tc>
        <w:tc>
          <w:tcPr>
            <w:tcW w:w="1297" w:type="pct"/>
            <w:vAlign w:val="center"/>
          </w:tcPr>
          <w:p w14:paraId="08F48496">
            <w:pPr>
              <w:keepNext w:val="0"/>
              <w:keepLines w:val="0"/>
              <w:pageBreakBefore w:val="0"/>
              <w:widowControl w:val="0"/>
              <w:kinsoku/>
              <w:wordWrap/>
              <w:overflowPunct/>
              <w:topLinePunct w:val="0"/>
              <w:autoSpaceDE/>
              <w:autoSpaceDN/>
              <w:bidi w:val="0"/>
              <w:adjustRightInd w:val="0"/>
              <w:snapToGrid w:val="0"/>
              <w:jc w:val="center"/>
              <w:textAlignment w:val="auto"/>
              <w:rPr>
                <w:rFonts w:ascii="宋体" w:hAnsi="宋体" w:cs="宋体"/>
                <w:color w:val="000000" w:themeColor="text1"/>
                <w:sz w:val="21"/>
                <w:szCs w:val="21"/>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532727199701120318</w:t>
            </w:r>
          </w:p>
        </w:tc>
        <w:tc>
          <w:tcPr>
            <w:tcW w:w="1246" w:type="pct"/>
            <w:vAlign w:val="center"/>
          </w:tcPr>
          <w:p w14:paraId="6EC3586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2023.12-2027.11</w:t>
            </w:r>
          </w:p>
        </w:tc>
        <w:tc>
          <w:tcPr>
            <w:tcW w:w="911" w:type="pct"/>
            <w:vAlign w:val="center"/>
          </w:tcPr>
          <w:p w14:paraId="75691DE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昆明市官渡区市场监督管理局</w:t>
            </w:r>
          </w:p>
        </w:tc>
      </w:tr>
    </w:tbl>
    <w:p w14:paraId="236E1A68">
      <w:pPr>
        <w:pStyle w:val="5"/>
        <w:rPr>
          <w:rFonts w:ascii="Times New Roman" w:hAnsi="Times New Roman"/>
          <w:color w:val="000000" w:themeColor="text1"/>
          <w14:textFill>
            <w14:solidFill>
              <w14:schemeClr w14:val="tx1"/>
            </w14:solidFill>
          </w14:textFill>
        </w:rPr>
      </w:pPr>
      <w:bookmarkStart w:id="237" w:name="_Toc13201"/>
      <w:bookmarkStart w:id="238" w:name="_Toc17977"/>
      <w:r>
        <w:rPr>
          <w:rFonts w:ascii="Times New Roman" w:hAnsi="Times New Roman"/>
          <w:color w:val="000000" w:themeColor="text1"/>
          <w:lang w:eastAsia="en-US"/>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7</w:t>
      </w:r>
      <w:r>
        <w:rPr>
          <w:rFonts w:ascii="Times New Roman" w:hAnsi="Times New Roman"/>
          <w:color w:val="000000" w:themeColor="text1"/>
          <w:lang w:eastAsia="en-US"/>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lang w:eastAsia="en-US"/>
          <w14:textFill>
            <w14:solidFill>
              <w14:schemeClr w14:val="tx1"/>
            </w14:solidFill>
          </w14:textFill>
        </w:rPr>
        <w:t>安全管理</w:t>
      </w:r>
      <w:r>
        <w:rPr>
          <w:rFonts w:ascii="Times New Roman" w:hAnsi="Times New Roman"/>
          <w:color w:val="000000" w:themeColor="text1"/>
          <w14:textFill>
            <w14:solidFill>
              <w14:schemeClr w14:val="tx1"/>
            </w14:solidFill>
          </w14:textFill>
        </w:rPr>
        <w:t>台账、</w:t>
      </w:r>
      <w:r>
        <w:rPr>
          <w:rFonts w:ascii="Times New Roman" w:hAnsi="Times New Roman"/>
          <w:color w:val="000000" w:themeColor="text1"/>
          <w:lang w:eastAsia="en-US"/>
          <w14:textFill>
            <w14:solidFill>
              <w14:schemeClr w14:val="tx1"/>
            </w14:solidFill>
          </w14:textFill>
        </w:rPr>
        <w:t>记录</w:t>
      </w:r>
      <w:bookmarkEnd w:id="235"/>
      <w:bookmarkEnd w:id="237"/>
      <w:bookmarkEnd w:id="238"/>
    </w:p>
    <w:p w14:paraId="5118B7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color w:val="000000" w:themeColor="text1"/>
          <w:sz w:val="28"/>
          <w:szCs w:val="28"/>
          <w14:textFill>
            <w14:solidFill>
              <w14:schemeClr w14:val="tx1"/>
            </w14:solidFill>
          </w14:textFill>
        </w:rPr>
      </w:pPr>
      <w:r>
        <w:rPr>
          <w:rFonts w:hint="eastAsia" w:ascii="Times New Roman"/>
          <w:color w:val="000000" w:themeColor="text1"/>
          <w:sz w:val="28"/>
          <w:szCs w:val="28"/>
          <w14:textFill>
            <w14:solidFill>
              <w14:schemeClr w14:val="tx1"/>
            </w14:solidFill>
          </w14:textFill>
        </w:rPr>
        <w:t>经现场检查</w:t>
      </w:r>
      <w:r>
        <w:rPr>
          <w:rFonts w:ascii="Times New Roman"/>
          <w:color w:val="000000" w:themeColor="text1"/>
          <w:sz w:val="28"/>
          <w:szCs w:val="28"/>
          <w14:textFill>
            <w14:solidFill>
              <w14:schemeClr w14:val="tx1"/>
            </w14:solidFill>
          </w14:textFill>
        </w:rPr>
        <w:t>，</w:t>
      </w:r>
      <w:r>
        <w:rPr>
          <w:rFonts w:hint="eastAsia" w:ascii="Times New Roman"/>
          <w:color w:val="000000" w:themeColor="text1"/>
          <w:sz w:val="28"/>
          <w:szCs w:val="28"/>
          <w14:textFill>
            <w14:solidFill>
              <w14:schemeClr w14:val="tx1"/>
            </w14:solidFill>
          </w14:textFill>
        </w:rPr>
        <w:t>企业</w:t>
      </w:r>
      <w:r>
        <w:rPr>
          <w:rFonts w:ascii="Times New Roman"/>
          <w:color w:val="000000" w:themeColor="text1"/>
          <w:sz w:val="28"/>
          <w:szCs w:val="28"/>
          <w14:textFill>
            <w14:solidFill>
              <w14:schemeClr w14:val="tx1"/>
            </w14:solidFill>
          </w14:textFill>
        </w:rPr>
        <w:t>建立了安全教育培训记录、</w:t>
      </w:r>
      <w:r>
        <w:rPr>
          <w:rFonts w:hint="eastAsia" w:ascii="Times New Roman"/>
          <w:color w:val="000000" w:themeColor="text1"/>
          <w:sz w:val="28"/>
          <w:szCs w:val="28"/>
          <w14:textFill>
            <w14:solidFill>
              <w14:schemeClr w14:val="tx1"/>
            </w14:solidFill>
          </w14:textFill>
        </w:rPr>
        <w:t>设备日常巡检隐患记录</w:t>
      </w:r>
      <w:r>
        <w:rPr>
          <w:rFonts w:ascii="Times New Roman"/>
          <w:color w:val="000000" w:themeColor="text1"/>
          <w:sz w:val="28"/>
          <w:szCs w:val="28"/>
          <w14:textFill>
            <w14:solidFill>
              <w14:schemeClr w14:val="tx1"/>
            </w14:solidFill>
          </w14:textFill>
        </w:rPr>
        <w:t>台账、劳保用品发放</w:t>
      </w:r>
      <w:r>
        <w:rPr>
          <w:rFonts w:hint="eastAsia" w:ascii="Times New Roman"/>
          <w:color w:val="000000" w:themeColor="text1"/>
          <w:sz w:val="28"/>
          <w:szCs w:val="28"/>
          <w14:textFill>
            <w14:solidFill>
              <w14:schemeClr w14:val="tx1"/>
            </w14:solidFill>
          </w14:textFill>
        </w:rPr>
        <w:t>记录</w:t>
      </w:r>
      <w:r>
        <w:rPr>
          <w:rFonts w:ascii="Times New Roman"/>
          <w:color w:val="000000" w:themeColor="text1"/>
          <w:sz w:val="28"/>
          <w:szCs w:val="28"/>
          <w14:textFill>
            <w14:solidFill>
              <w14:schemeClr w14:val="tx1"/>
            </w14:solidFill>
          </w14:textFill>
        </w:rPr>
        <w:t>等一系列安全管理记录。</w:t>
      </w:r>
    </w:p>
    <w:p w14:paraId="2D3FE96E">
      <w:pPr>
        <w:pStyle w:val="5"/>
        <w:rPr>
          <w:rFonts w:ascii="Times New Roman" w:hAnsi="Times New Roman"/>
          <w:color w:val="000000" w:themeColor="text1"/>
          <w14:textFill>
            <w14:solidFill>
              <w14:schemeClr w14:val="tx1"/>
            </w14:solidFill>
          </w14:textFill>
        </w:rPr>
      </w:pPr>
      <w:bookmarkStart w:id="239" w:name="_Toc6281"/>
      <w:bookmarkStart w:id="240" w:name="_Toc9846"/>
      <w:bookmarkStart w:id="241" w:name="_Toc25940"/>
      <w:r>
        <w:rPr>
          <w:rFonts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7</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ascii="Times New Roman" w:hAnsi="Times New Roman"/>
          <w:color w:val="000000" w:themeColor="text1"/>
          <w14:textFill>
            <w14:solidFill>
              <w14:schemeClr w14:val="tx1"/>
            </w14:solidFill>
          </w14:textFill>
        </w:rPr>
        <w:t>安全投入</w:t>
      </w:r>
      <w:bookmarkEnd w:id="239"/>
      <w:bookmarkEnd w:id="240"/>
      <w:bookmarkEnd w:id="241"/>
    </w:p>
    <w:p w14:paraId="5EB67B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企业建立了安全费用提取及使用台账，安全费用按照《企业安全生产费用提取和使用管理办法》（〔2022〕136号）规定，提取的安全费用在成本中列支，并严格按照安全生产费用管理制度进行审核和提取。企业安全生产费用主要用于安全生产检查、评价、安全咨询服务、安全生产宣传、教育、培训等支出；完善、改造和维护安全防护设施设备支出，包括作业场所的监控、监测、防火、防机械伤害、防坠落等设施设备支出；配备、维护、保养应急救援器材、设备；配备和更新现场安全标识及作业人员安全防护用品支出；安全设施及特种设备检测检验支出等。企业职业安全卫生投入费用主要用于防护设施建设与维护、个人劳动防护用品购买、职业卫生宣传培训、员工健康监护等。</w:t>
      </w:r>
    </w:p>
    <w:p w14:paraId="1F6378F3">
      <w:pPr>
        <w:pStyle w:val="71"/>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outlineLvl w:val="9"/>
        <w:rPr>
          <w:rFonts w:hint="eastAsia" w:ascii="宋体" w:hAnsi="宋体" w:cs="宋体"/>
          <w:b w:val="0"/>
          <w:bCs/>
          <w:color w:val="000000" w:themeColor="text1"/>
          <w:kern w:val="2"/>
          <w:sz w:val="28"/>
          <w:szCs w:val="28"/>
          <w14:textFill>
            <w14:solidFill>
              <w14:schemeClr w14:val="tx1"/>
            </w14:solidFill>
          </w14:textFill>
        </w:rPr>
      </w:pPr>
      <w:r>
        <w:rPr>
          <w:rFonts w:hint="eastAsia" w:ascii="宋体" w:hAnsi="宋体" w:cs="宋体"/>
          <w:b w:val="0"/>
          <w:bCs/>
          <w:color w:val="000000" w:themeColor="text1"/>
          <w:kern w:val="2"/>
          <w:sz w:val="28"/>
          <w:szCs w:val="28"/>
          <w14:textFill>
            <w14:solidFill>
              <w14:schemeClr w14:val="tx1"/>
            </w14:solidFill>
          </w14:textFill>
        </w:rPr>
        <w:t>企业202</w:t>
      </w:r>
      <w:r>
        <w:rPr>
          <w:rFonts w:hint="eastAsia" w:ascii="宋体" w:hAnsi="宋体" w:cs="宋体"/>
          <w:b w:val="0"/>
          <w:bCs/>
          <w:color w:val="000000" w:themeColor="text1"/>
          <w:kern w:val="2"/>
          <w:sz w:val="28"/>
          <w:szCs w:val="28"/>
          <w:lang w:val="en-US" w:eastAsia="zh-CN"/>
          <w14:textFill>
            <w14:solidFill>
              <w14:schemeClr w14:val="tx1"/>
            </w14:solidFill>
          </w14:textFill>
        </w:rPr>
        <w:t>4年1-8月</w:t>
      </w:r>
      <w:r>
        <w:rPr>
          <w:rFonts w:hint="eastAsia" w:ascii="宋体" w:hAnsi="宋体" w:cs="宋体"/>
          <w:b w:val="0"/>
          <w:bCs/>
          <w:color w:val="000000" w:themeColor="text1"/>
          <w:kern w:val="2"/>
          <w:sz w:val="28"/>
          <w:szCs w:val="28"/>
          <w14:textFill>
            <w14:solidFill>
              <w14:schemeClr w14:val="tx1"/>
            </w14:solidFill>
          </w14:textFill>
        </w:rPr>
        <w:t>安全专项资金投入，主要用于警示标识的维护保养更新、应急救援物资、消防器材的维护保养及更新以及人员安全教育培训、劳动防护用品的购置及安全隐患整改投入等。投入明细见下表。</w:t>
      </w:r>
    </w:p>
    <w:p w14:paraId="45A1E5D9">
      <w:pPr>
        <w:pStyle w:val="71"/>
        <w:keepNext w:val="0"/>
        <w:keepLines w:val="0"/>
        <w:pageBreakBefore w:val="0"/>
        <w:widowControl w:val="0"/>
        <w:kinsoku/>
        <w:wordWrap/>
        <w:overflowPunct/>
        <w:topLinePunct w:val="0"/>
        <w:autoSpaceDE/>
        <w:autoSpaceDN/>
        <w:bidi w:val="0"/>
        <w:adjustRightInd w:val="0"/>
        <w:snapToGrid w:val="0"/>
        <w:spacing w:line="500" w:lineRule="exact"/>
        <w:ind w:firstLine="560"/>
        <w:jc w:val="center"/>
        <w:textAlignment w:val="auto"/>
        <w:outlineLvl w:val="9"/>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表2-</w:t>
      </w:r>
      <w:r>
        <w:rPr>
          <w:rFonts w:hint="eastAsia" w:ascii="宋体" w:hAnsi="宋体" w:cs="宋体"/>
          <w:color w:val="000000" w:themeColor="text1"/>
          <w:szCs w:val="21"/>
          <w:lang w:val="en-US" w:eastAsia="zh-CN"/>
          <w14:textFill>
            <w14:solidFill>
              <w14:schemeClr w14:val="tx1"/>
            </w14:solidFill>
          </w14:textFill>
        </w:rPr>
        <w:t>10</w:t>
      </w:r>
      <w:r>
        <w:rPr>
          <w:rFonts w:hint="eastAsia" w:ascii="宋体" w:hAnsi="宋体" w:cs="宋体"/>
          <w:color w:val="000000" w:themeColor="text1"/>
          <w:szCs w:val="21"/>
          <w14:textFill>
            <w14:solidFill>
              <w14:schemeClr w14:val="tx1"/>
            </w14:solidFill>
          </w14:textFill>
        </w:rPr>
        <w:t xml:space="preserve"> 202</w:t>
      </w:r>
      <w:r>
        <w:rPr>
          <w:rFonts w:hint="eastAsia" w:ascii="宋体" w:hAnsi="宋体" w:cs="宋体"/>
          <w:color w:val="000000" w:themeColor="text1"/>
          <w:szCs w:val="21"/>
          <w:lang w:val="en-US" w:eastAsia="zh-CN"/>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年度安全费用投入明细</w:t>
      </w:r>
    </w:p>
    <w:tbl>
      <w:tblPr>
        <w:tblStyle w:val="54"/>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459"/>
        <w:gridCol w:w="2385"/>
        <w:gridCol w:w="2088"/>
      </w:tblGrid>
      <w:tr w14:paraId="35ABD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1008" w:type="dxa"/>
            <w:vAlign w:val="center"/>
          </w:tcPr>
          <w:p w14:paraId="315582ED">
            <w:pPr>
              <w:tabs>
                <w:tab w:val="left" w:pos="2700"/>
              </w:tabs>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序号</w:t>
            </w:r>
          </w:p>
        </w:tc>
        <w:tc>
          <w:tcPr>
            <w:tcW w:w="3459" w:type="dxa"/>
            <w:vAlign w:val="center"/>
          </w:tcPr>
          <w:p w14:paraId="526FE2E5">
            <w:pPr>
              <w:tabs>
                <w:tab w:val="left" w:pos="2700"/>
              </w:tabs>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项目</w:t>
            </w:r>
          </w:p>
        </w:tc>
        <w:tc>
          <w:tcPr>
            <w:tcW w:w="2385" w:type="dxa"/>
            <w:vAlign w:val="center"/>
          </w:tcPr>
          <w:p w14:paraId="7F75426F">
            <w:pPr>
              <w:tabs>
                <w:tab w:val="left" w:pos="2700"/>
              </w:tabs>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支出费用（</w:t>
            </w:r>
            <w:r>
              <w:rPr>
                <w:rFonts w:hint="eastAsia" w:ascii="宋体" w:hAnsi="宋体" w:eastAsia="宋体" w:cs="宋体"/>
                <w:b/>
                <w:bCs/>
                <w:color w:val="000000" w:themeColor="text1"/>
                <w:szCs w:val="21"/>
                <w:lang w:val="en-US" w:eastAsia="zh-CN"/>
                <w14:textFill>
                  <w14:solidFill>
                    <w14:schemeClr w14:val="tx1"/>
                  </w14:solidFill>
                </w14:textFill>
              </w:rPr>
              <w:t>万</w:t>
            </w:r>
            <w:r>
              <w:rPr>
                <w:rFonts w:hint="eastAsia" w:ascii="宋体" w:hAnsi="宋体" w:eastAsia="宋体" w:cs="宋体"/>
                <w:b/>
                <w:bCs/>
                <w:color w:val="000000" w:themeColor="text1"/>
                <w:szCs w:val="21"/>
                <w14:textFill>
                  <w14:solidFill>
                    <w14:schemeClr w14:val="tx1"/>
                  </w14:solidFill>
                </w14:textFill>
              </w:rPr>
              <w:t>元）</w:t>
            </w:r>
          </w:p>
        </w:tc>
        <w:tc>
          <w:tcPr>
            <w:tcW w:w="2088" w:type="dxa"/>
            <w:vAlign w:val="center"/>
          </w:tcPr>
          <w:p w14:paraId="5CDAF820">
            <w:pPr>
              <w:tabs>
                <w:tab w:val="left" w:pos="2700"/>
              </w:tabs>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备注</w:t>
            </w:r>
          </w:p>
        </w:tc>
      </w:tr>
      <w:tr w14:paraId="328CF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0CA08B2B">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3459" w:type="dxa"/>
            <w:shd w:val="clear" w:color="auto" w:fill="auto"/>
            <w:vAlign w:val="center"/>
          </w:tcPr>
          <w:p w14:paraId="48CD3AD6">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警示标志更新设置</w:t>
            </w:r>
          </w:p>
        </w:tc>
        <w:tc>
          <w:tcPr>
            <w:tcW w:w="2385" w:type="dxa"/>
            <w:shd w:val="clear" w:color="auto" w:fill="auto"/>
            <w:vAlign w:val="center"/>
          </w:tcPr>
          <w:p w14:paraId="38280A46">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 w:val="24"/>
                <w:szCs w:val="21"/>
                <w:lang w:val="en-US" w:eastAsia="zh-CN" w:bidi="ar-SA"/>
                <w14:textFill>
                  <w14:solidFill>
                    <w14:schemeClr w14:val="tx1"/>
                  </w14:solidFill>
                </w14:textFill>
              </w:rPr>
              <w:t>0.2</w:t>
            </w:r>
          </w:p>
        </w:tc>
        <w:tc>
          <w:tcPr>
            <w:tcW w:w="2088" w:type="dxa"/>
            <w:vAlign w:val="center"/>
          </w:tcPr>
          <w:p w14:paraId="55765D3C">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23D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27ECB1F7">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3459" w:type="dxa"/>
            <w:shd w:val="clear" w:color="auto" w:fill="auto"/>
            <w:vAlign w:val="center"/>
          </w:tcPr>
          <w:p w14:paraId="6CB7127D">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劳动防护用品配备</w:t>
            </w:r>
          </w:p>
        </w:tc>
        <w:tc>
          <w:tcPr>
            <w:tcW w:w="2385" w:type="dxa"/>
            <w:shd w:val="clear" w:color="auto" w:fill="auto"/>
            <w:vAlign w:val="center"/>
          </w:tcPr>
          <w:p w14:paraId="1073A556">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0.3</w:t>
            </w:r>
          </w:p>
        </w:tc>
        <w:tc>
          <w:tcPr>
            <w:tcW w:w="2088" w:type="dxa"/>
            <w:vAlign w:val="center"/>
          </w:tcPr>
          <w:p w14:paraId="3312C623">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52A11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451598DE">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3459" w:type="dxa"/>
            <w:shd w:val="clear" w:color="auto" w:fill="auto"/>
            <w:vAlign w:val="center"/>
          </w:tcPr>
          <w:p w14:paraId="26863A70">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安全培训、应急演练</w:t>
            </w:r>
          </w:p>
        </w:tc>
        <w:tc>
          <w:tcPr>
            <w:tcW w:w="2385" w:type="dxa"/>
            <w:shd w:val="clear" w:color="auto" w:fill="auto"/>
            <w:vAlign w:val="center"/>
          </w:tcPr>
          <w:p w14:paraId="2640ED54">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0.2</w:t>
            </w:r>
          </w:p>
        </w:tc>
        <w:tc>
          <w:tcPr>
            <w:tcW w:w="2088" w:type="dxa"/>
            <w:vAlign w:val="center"/>
          </w:tcPr>
          <w:p w14:paraId="1B689D2D">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311D9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2A744454">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p>
        </w:tc>
        <w:tc>
          <w:tcPr>
            <w:tcW w:w="3459" w:type="dxa"/>
            <w:shd w:val="clear" w:color="auto" w:fill="auto"/>
            <w:vAlign w:val="center"/>
          </w:tcPr>
          <w:p w14:paraId="387A83B5">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应急救援物资、消防器材配备</w:t>
            </w:r>
          </w:p>
        </w:tc>
        <w:tc>
          <w:tcPr>
            <w:tcW w:w="2385" w:type="dxa"/>
            <w:shd w:val="clear" w:color="auto" w:fill="auto"/>
            <w:vAlign w:val="center"/>
          </w:tcPr>
          <w:p w14:paraId="73B55EB1">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0.8</w:t>
            </w:r>
          </w:p>
        </w:tc>
        <w:tc>
          <w:tcPr>
            <w:tcW w:w="2088" w:type="dxa"/>
            <w:vAlign w:val="center"/>
          </w:tcPr>
          <w:p w14:paraId="4655B87C">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175F3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25460846">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5</w:t>
            </w:r>
          </w:p>
        </w:tc>
        <w:tc>
          <w:tcPr>
            <w:tcW w:w="3459" w:type="dxa"/>
            <w:shd w:val="clear" w:color="auto" w:fill="auto"/>
            <w:vAlign w:val="center"/>
          </w:tcPr>
          <w:p w14:paraId="6F042D13">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安全隐患整改投入</w:t>
            </w:r>
          </w:p>
        </w:tc>
        <w:tc>
          <w:tcPr>
            <w:tcW w:w="2385" w:type="dxa"/>
            <w:shd w:val="clear" w:color="auto" w:fill="auto"/>
            <w:vAlign w:val="center"/>
          </w:tcPr>
          <w:p w14:paraId="7FA26384">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5.0</w:t>
            </w:r>
          </w:p>
        </w:tc>
        <w:tc>
          <w:tcPr>
            <w:tcW w:w="2088" w:type="dxa"/>
            <w:vAlign w:val="center"/>
          </w:tcPr>
          <w:p w14:paraId="3F344585">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75131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4A91119F">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6</w:t>
            </w:r>
          </w:p>
        </w:tc>
        <w:tc>
          <w:tcPr>
            <w:tcW w:w="3459" w:type="dxa"/>
            <w:shd w:val="clear" w:color="auto" w:fill="auto"/>
            <w:vAlign w:val="center"/>
          </w:tcPr>
          <w:p w14:paraId="44F0A651">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应急预案编制</w:t>
            </w:r>
          </w:p>
        </w:tc>
        <w:tc>
          <w:tcPr>
            <w:tcW w:w="2385" w:type="dxa"/>
            <w:shd w:val="clear" w:color="auto" w:fill="auto"/>
            <w:vAlign w:val="center"/>
          </w:tcPr>
          <w:p w14:paraId="64DA93A8">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0.7</w:t>
            </w:r>
          </w:p>
        </w:tc>
        <w:tc>
          <w:tcPr>
            <w:tcW w:w="2088" w:type="dxa"/>
            <w:vAlign w:val="center"/>
          </w:tcPr>
          <w:p w14:paraId="2B061F87">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5EF97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469642BB">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7</w:t>
            </w:r>
          </w:p>
        </w:tc>
        <w:tc>
          <w:tcPr>
            <w:tcW w:w="3459" w:type="dxa"/>
            <w:shd w:val="clear" w:color="auto" w:fill="auto"/>
            <w:vAlign w:val="center"/>
          </w:tcPr>
          <w:p w14:paraId="61AF373B">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安全评价</w:t>
            </w:r>
          </w:p>
        </w:tc>
        <w:tc>
          <w:tcPr>
            <w:tcW w:w="2385" w:type="dxa"/>
            <w:shd w:val="clear" w:color="auto" w:fill="auto"/>
            <w:vAlign w:val="center"/>
          </w:tcPr>
          <w:p w14:paraId="78953F98">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1.6</w:t>
            </w:r>
          </w:p>
        </w:tc>
        <w:tc>
          <w:tcPr>
            <w:tcW w:w="2088" w:type="dxa"/>
            <w:vAlign w:val="center"/>
          </w:tcPr>
          <w:p w14:paraId="2F3CFDDE">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703A0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36617964">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8</w:t>
            </w:r>
          </w:p>
        </w:tc>
        <w:tc>
          <w:tcPr>
            <w:tcW w:w="3459" w:type="dxa"/>
            <w:shd w:val="clear" w:color="auto" w:fill="auto"/>
            <w:vAlign w:val="center"/>
          </w:tcPr>
          <w:p w14:paraId="6E79D0D2">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防雷检测</w:t>
            </w:r>
          </w:p>
        </w:tc>
        <w:tc>
          <w:tcPr>
            <w:tcW w:w="2385" w:type="dxa"/>
            <w:shd w:val="clear" w:color="auto" w:fill="auto"/>
            <w:vAlign w:val="center"/>
          </w:tcPr>
          <w:p w14:paraId="0026BCD6">
            <w:pPr>
              <w:tabs>
                <w:tab w:val="left" w:pos="2700"/>
              </w:tabs>
              <w:adjustRightInd w:val="0"/>
              <w:snapToGrid w:val="0"/>
              <w:jc w:val="center"/>
              <w:rPr>
                <w:rFonts w:hint="eastAsia" w:ascii="宋体" w:hAnsi="宋体" w:eastAsia="宋体" w:cs="宋体"/>
                <w:color w:val="000000" w:themeColor="text1"/>
                <w:sz w:val="24"/>
                <w:szCs w:val="21"/>
                <w:lang w:val="en-US" w:eastAsia="zh-CN" w:bidi="ar-SA"/>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0.25</w:t>
            </w:r>
          </w:p>
        </w:tc>
        <w:tc>
          <w:tcPr>
            <w:tcW w:w="2088" w:type="dxa"/>
            <w:vAlign w:val="center"/>
          </w:tcPr>
          <w:p w14:paraId="7D13C108">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r w14:paraId="12E91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8" w:type="dxa"/>
            <w:vAlign w:val="center"/>
          </w:tcPr>
          <w:p w14:paraId="1BCD1D02">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10</w:t>
            </w:r>
          </w:p>
        </w:tc>
        <w:tc>
          <w:tcPr>
            <w:tcW w:w="3459" w:type="dxa"/>
            <w:vAlign w:val="center"/>
          </w:tcPr>
          <w:p w14:paraId="5875C34D">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合计</w:t>
            </w:r>
          </w:p>
        </w:tc>
        <w:tc>
          <w:tcPr>
            <w:tcW w:w="2385" w:type="dxa"/>
            <w:vAlign w:val="center"/>
          </w:tcPr>
          <w:p w14:paraId="0B9A770F">
            <w:pPr>
              <w:tabs>
                <w:tab w:val="left" w:pos="2700"/>
              </w:tabs>
              <w:adjustRightInd w:val="0"/>
              <w:snapToGrid w:val="0"/>
              <w:jc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9.05</w:t>
            </w:r>
          </w:p>
        </w:tc>
        <w:tc>
          <w:tcPr>
            <w:tcW w:w="2088" w:type="dxa"/>
            <w:vAlign w:val="center"/>
          </w:tcPr>
          <w:p w14:paraId="52E1C9AC">
            <w:pPr>
              <w:tabs>
                <w:tab w:val="left" w:pos="2700"/>
              </w:tabs>
              <w:adjustRightInd w:val="0"/>
              <w:snapToGrid w:val="0"/>
              <w:jc w:val="center"/>
              <w:rPr>
                <w:rFonts w:hint="eastAsia" w:ascii="宋体" w:hAnsi="宋体" w:eastAsia="宋体" w:cs="宋体"/>
                <w:color w:val="000000" w:themeColor="text1"/>
                <w:szCs w:val="21"/>
                <w14:textFill>
                  <w14:solidFill>
                    <w14:schemeClr w14:val="tx1"/>
                  </w14:solidFill>
                </w14:textFill>
              </w:rPr>
            </w:pPr>
          </w:p>
        </w:tc>
      </w:tr>
    </w:tbl>
    <w:p w14:paraId="53E84F04">
      <w:pPr>
        <w:pStyle w:val="5"/>
        <w:rPr>
          <w:rFonts w:hint="eastAsia" w:ascii="Times New Roman" w:hAnsi="Times New Roman" w:cs="Times New Roman"/>
          <w:color w:val="000000" w:themeColor="text1"/>
          <w14:textFill>
            <w14:solidFill>
              <w14:schemeClr w14:val="tx1"/>
            </w14:solidFill>
          </w14:textFill>
        </w:rPr>
      </w:pPr>
      <w:bookmarkStart w:id="242" w:name="_Toc17317"/>
      <w:bookmarkStart w:id="243" w:name="_Toc26761"/>
      <w:bookmarkStart w:id="244" w:name="_Toc4030"/>
      <w:r>
        <w:rPr>
          <w:rFonts w:hint="eastAsia" w:ascii="Times New Roman" w:hAnsi="Times New Roman" w:cs="Times New Roman"/>
          <w:color w:val="000000" w:themeColor="text1"/>
          <w14:textFill>
            <w14:solidFill>
              <w14:schemeClr w14:val="tx1"/>
            </w14:solidFill>
          </w14:textFill>
        </w:rPr>
        <w:t>2.</w:t>
      </w:r>
      <w:r>
        <w:rPr>
          <w:rFonts w:hint="eastAsia" w:ascii="Times New Roman" w:hAnsi="Times New Roman" w:cs="Times New Roman"/>
          <w:color w:val="000000" w:themeColor="text1"/>
          <w:lang w:val="en-US" w:eastAsia="zh-CN"/>
          <w14:textFill>
            <w14:solidFill>
              <w14:schemeClr w14:val="tx1"/>
            </w14:solidFill>
          </w14:textFill>
        </w:rPr>
        <w:t>7</w:t>
      </w:r>
      <w:r>
        <w:rPr>
          <w:rFonts w:hint="eastAsia" w:ascii="Times New Roman" w:hAnsi="Times New Roman" w:cs="Times New Roman"/>
          <w:color w:val="000000" w:themeColor="text1"/>
          <w14:textFill>
            <w14:solidFill>
              <w14:schemeClr w14:val="tx1"/>
            </w14:solidFill>
          </w14:textFill>
        </w:rPr>
        <w:t>.7安全警示、标志</w:t>
      </w:r>
      <w:bookmarkEnd w:id="242"/>
      <w:bookmarkEnd w:id="243"/>
      <w:bookmarkEnd w:id="244"/>
    </w:p>
    <w:p w14:paraId="1BE7A7BE">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通过评价人员现场检查落实：该企业在主要机电设备、危险场所设置了安全警示标志，所设置的安全警示标志不完善，已通过和企业交流，进一步的进行整改。现场检查时，企业设置的安全警示标志主要为“当心起重伤害”、“当心</w:t>
      </w:r>
      <w:r>
        <w:rPr>
          <w:rFonts w:hint="eastAsia" w:hAnsi="宋体" w:cs="宋体"/>
          <w:color w:val="000000" w:themeColor="text1"/>
          <w:sz w:val="28"/>
          <w:szCs w:val="28"/>
          <w:lang w:val="en-US" w:eastAsia="zh-CN"/>
          <w14:textFill>
            <w14:solidFill>
              <w14:schemeClr w14:val="tx1"/>
            </w14:solidFill>
          </w14:textFill>
        </w:rPr>
        <w:t>触电</w:t>
      </w:r>
      <w:r>
        <w:rPr>
          <w:rFonts w:hint="eastAsia" w:hAnsi="宋体" w:cs="宋体"/>
          <w:color w:val="000000" w:themeColor="text1"/>
          <w:sz w:val="28"/>
          <w:szCs w:val="28"/>
          <w14:textFill>
            <w14:solidFill>
              <w14:schemeClr w14:val="tx1"/>
            </w14:solidFill>
          </w14:textFill>
        </w:rPr>
        <w:t>”、“设备运行中，禁止靠近”、“当心碰头”、“注意安全” 、“进入工作车间，必须戴好安全帽”、等安全警示标志。</w:t>
      </w:r>
    </w:p>
    <w:p w14:paraId="25A7BED5">
      <w:pPr>
        <w:pStyle w:val="5"/>
        <w:spacing w:line="360" w:lineRule="auto"/>
        <w:rPr>
          <w:rFonts w:ascii="宋体" w:hAnsi="宋体" w:eastAsia="宋体" w:cs="宋体"/>
          <w:color w:val="000000" w:themeColor="text1"/>
          <w14:textFill>
            <w14:solidFill>
              <w14:schemeClr w14:val="tx1"/>
            </w14:solidFill>
          </w14:textFill>
        </w:rPr>
      </w:pPr>
      <w:bookmarkStart w:id="245" w:name="bookmark3"/>
      <w:bookmarkStart w:id="246" w:name="_Toc15033"/>
      <w:bookmarkStart w:id="247" w:name="_Toc4541"/>
      <w:bookmarkStart w:id="248" w:name="_Toc191"/>
      <w:r>
        <w:rPr>
          <w:rFonts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7</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ascii="Times New Roman" w:hAnsi="Times New Roman"/>
          <w:color w:val="000000" w:themeColor="text1"/>
          <w14:textFill>
            <w14:solidFill>
              <w14:schemeClr w14:val="tx1"/>
            </w14:solidFill>
          </w14:textFill>
        </w:rPr>
        <w:t>应急救援预案</w:t>
      </w:r>
      <w:bookmarkEnd w:id="245"/>
      <w:bookmarkEnd w:id="246"/>
      <w:bookmarkEnd w:id="247"/>
      <w:bookmarkEnd w:id="248"/>
    </w:p>
    <w:p w14:paraId="67DEDE4B">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该企业已编制了《</w:t>
      </w:r>
      <w:r>
        <w:rPr>
          <w:rFonts w:hint="eastAsia" w:hAnsi="宋体" w:cs="宋体"/>
          <w:color w:val="000000" w:themeColor="text1"/>
          <w:sz w:val="28"/>
          <w:szCs w:val="28"/>
          <w:lang w:val="en-US" w:eastAsia="zh-CN"/>
          <w14:textFill>
            <w14:solidFill>
              <w14:schemeClr w14:val="tx1"/>
            </w14:solidFill>
          </w14:textFill>
        </w:rPr>
        <w:t>南华昆轻树脂瓦开发有限</w:t>
      </w:r>
      <w:r>
        <w:rPr>
          <w:rFonts w:hint="eastAsia" w:hAnsi="宋体" w:cs="宋体"/>
          <w:color w:val="000000" w:themeColor="text1"/>
          <w:sz w:val="28"/>
          <w:szCs w:val="28"/>
          <w14:textFill>
            <w14:solidFill>
              <w14:schemeClr w14:val="tx1"/>
            </w14:solidFill>
          </w14:textFill>
        </w:rPr>
        <w:t>公司生产安全事故应急预案》，预案中明确了应急救援领导小组及职责和分工、事故的应急措施等内容。企业根据需要，配备了应急物资。</w:t>
      </w:r>
    </w:p>
    <w:p w14:paraId="2F78F3D7">
      <w:pPr>
        <w:keepNext w:val="0"/>
        <w:keepLines w:val="0"/>
        <w:pageBreakBefore w:val="0"/>
        <w:widowControl w:val="0"/>
        <w:tabs>
          <w:tab w:val="left" w:pos="425"/>
        </w:tabs>
        <w:kinsoku/>
        <w:wordWrap/>
        <w:overflowPunct/>
        <w:topLinePunct w:val="0"/>
        <w:autoSpaceDE/>
        <w:autoSpaceDN/>
        <w:bidi w:val="0"/>
        <w:adjustRightInd/>
        <w:snapToGrid/>
        <w:spacing w:line="500" w:lineRule="exact"/>
        <w:ind w:firstLine="560" w:firstLineChars="200"/>
        <w:textAlignment w:val="auto"/>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该企业的应急预案已经过专家评审，于202</w:t>
      </w:r>
      <w:r>
        <w:rPr>
          <w:rFonts w:hint="eastAsia" w:hAnsi="宋体" w:cs="宋体"/>
          <w:color w:val="000000" w:themeColor="text1"/>
          <w:sz w:val="28"/>
          <w:szCs w:val="28"/>
          <w:lang w:val="en-US" w:eastAsia="zh-CN"/>
          <w14:textFill>
            <w14:solidFill>
              <w14:schemeClr w14:val="tx1"/>
            </w14:solidFill>
          </w14:textFill>
        </w:rPr>
        <w:t>4</w:t>
      </w:r>
      <w:r>
        <w:rPr>
          <w:rFonts w:hint="eastAsia" w:hAnsi="宋体" w:cs="宋体"/>
          <w:color w:val="000000" w:themeColor="text1"/>
          <w:sz w:val="28"/>
          <w:szCs w:val="28"/>
          <w14:textFill>
            <w14:solidFill>
              <w14:schemeClr w14:val="tx1"/>
            </w14:solidFill>
          </w14:textFill>
        </w:rPr>
        <w:t>年</w:t>
      </w:r>
      <w:r>
        <w:rPr>
          <w:rFonts w:hint="eastAsia" w:hAnsi="宋体" w:cs="宋体"/>
          <w:color w:val="000000" w:themeColor="text1"/>
          <w:sz w:val="28"/>
          <w:szCs w:val="28"/>
          <w:lang w:val="en-US" w:eastAsia="zh-CN"/>
          <w14:textFill>
            <w14:solidFill>
              <w14:schemeClr w14:val="tx1"/>
            </w14:solidFill>
          </w14:textFill>
        </w:rPr>
        <w:t>9</w:t>
      </w:r>
      <w:r>
        <w:rPr>
          <w:rFonts w:hint="eastAsia" w:hAnsi="宋体" w:cs="宋体"/>
          <w:color w:val="000000" w:themeColor="text1"/>
          <w:sz w:val="28"/>
          <w:szCs w:val="28"/>
          <w14:textFill>
            <w14:solidFill>
              <w14:schemeClr w14:val="tx1"/>
            </w14:solidFill>
          </w14:textFill>
        </w:rPr>
        <w:t>月</w:t>
      </w:r>
      <w:r>
        <w:rPr>
          <w:rFonts w:hint="eastAsia" w:hAnsi="宋体" w:cs="宋体"/>
          <w:color w:val="000000" w:themeColor="text1"/>
          <w:sz w:val="28"/>
          <w:szCs w:val="28"/>
          <w:lang w:val="en-US" w:eastAsia="zh-CN"/>
          <w14:textFill>
            <w14:solidFill>
              <w14:schemeClr w14:val="tx1"/>
            </w14:solidFill>
          </w14:textFill>
        </w:rPr>
        <w:t>6</w:t>
      </w:r>
      <w:r>
        <w:rPr>
          <w:rFonts w:hint="eastAsia" w:hAnsi="宋体" w:cs="宋体"/>
          <w:color w:val="000000" w:themeColor="text1"/>
          <w:sz w:val="28"/>
          <w:szCs w:val="28"/>
          <w14:textFill>
            <w14:solidFill>
              <w14:schemeClr w14:val="tx1"/>
            </w14:solidFill>
          </w14:textFill>
        </w:rPr>
        <w:t>日到</w:t>
      </w:r>
      <w:r>
        <w:rPr>
          <w:rFonts w:hint="eastAsia" w:hAnsi="宋体" w:cs="宋体"/>
          <w:color w:val="000000" w:themeColor="text1"/>
          <w:sz w:val="28"/>
          <w:szCs w:val="28"/>
          <w:lang w:val="en-US" w:eastAsia="zh-CN"/>
          <w14:textFill>
            <w14:solidFill>
              <w14:schemeClr w14:val="tx1"/>
            </w14:solidFill>
          </w14:textFill>
        </w:rPr>
        <w:t>南华县</w:t>
      </w:r>
      <w:r>
        <w:rPr>
          <w:rFonts w:hint="eastAsia" w:hAnsi="宋体" w:cs="宋体"/>
          <w:color w:val="000000" w:themeColor="text1"/>
          <w:sz w:val="28"/>
          <w:szCs w:val="28"/>
          <w14:textFill>
            <w14:solidFill>
              <w14:schemeClr w14:val="tx1"/>
            </w14:solidFill>
          </w14:textFill>
        </w:rPr>
        <w:t>应急管理局进行备案，备案号5323</w:t>
      </w:r>
      <w:r>
        <w:rPr>
          <w:rFonts w:hint="eastAsia" w:hAnsi="宋体" w:cs="宋体"/>
          <w:color w:val="000000" w:themeColor="text1"/>
          <w:sz w:val="28"/>
          <w:szCs w:val="28"/>
          <w:lang w:val="en-US" w:eastAsia="zh-CN"/>
          <w14:textFill>
            <w14:solidFill>
              <w14:schemeClr w14:val="tx1"/>
            </w14:solidFill>
          </w14:textFill>
        </w:rPr>
        <w:t>24</w:t>
      </w:r>
      <w:r>
        <w:rPr>
          <w:rFonts w:hint="eastAsia" w:hAnsi="宋体" w:cs="宋体"/>
          <w:color w:val="000000" w:themeColor="text1"/>
          <w:sz w:val="28"/>
          <w:szCs w:val="28"/>
          <w14:textFill>
            <w14:solidFill>
              <w14:schemeClr w14:val="tx1"/>
            </w14:solidFill>
          </w14:textFill>
        </w:rPr>
        <w:t>202</w:t>
      </w:r>
      <w:r>
        <w:rPr>
          <w:rFonts w:hint="eastAsia" w:hAnsi="宋体" w:cs="宋体"/>
          <w:color w:val="000000" w:themeColor="text1"/>
          <w:sz w:val="28"/>
          <w:szCs w:val="28"/>
          <w:lang w:val="en-US" w:eastAsia="zh-CN"/>
          <w14:textFill>
            <w14:solidFill>
              <w14:schemeClr w14:val="tx1"/>
            </w14:solidFill>
          </w14:textFill>
        </w:rPr>
        <w:t>40021</w:t>
      </w:r>
      <w:r>
        <w:rPr>
          <w:rFonts w:hint="eastAsia" w:hAnsi="宋体" w:cs="宋体"/>
          <w:color w:val="000000" w:themeColor="text1"/>
          <w:sz w:val="28"/>
          <w:szCs w:val="28"/>
          <w14:textFill>
            <w14:solidFill>
              <w14:schemeClr w14:val="tx1"/>
            </w14:solidFill>
          </w14:textFill>
        </w:rPr>
        <w:t>，但未进行应急演练，需在往后的生产中进行完善。</w:t>
      </w:r>
    </w:p>
    <w:p w14:paraId="6701AAD2">
      <w:pPr>
        <w:pStyle w:val="5"/>
        <w:spacing w:line="360" w:lineRule="auto"/>
        <w:rPr>
          <w:rFonts w:ascii="Times New Roman" w:hAnsi="Times New Roman"/>
          <w:color w:val="000000" w:themeColor="text1"/>
          <w14:textFill>
            <w14:solidFill>
              <w14:schemeClr w14:val="tx1"/>
            </w14:solidFill>
          </w14:textFill>
        </w:rPr>
      </w:pPr>
      <w:bookmarkStart w:id="249" w:name="_Toc314238227"/>
      <w:bookmarkStart w:id="250" w:name="_Toc341693595"/>
      <w:bookmarkStart w:id="251" w:name="_Toc314143767"/>
      <w:bookmarkStart w:id="252" w:name="_Toc313524421"/>
      <w:bookmarkStart w:id="253" w:name="_Toc18844"/>
      <w:bookmarkStart w:id="254" w:name="_Toc225"/>
      <w:bookmarkStart w:id="255" w:name="_Toc1711"/>
      <w:r>
        <w:rPr>
          <w:rFonts w:hint="eastAsia"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7</w:t>
      </w:r>
      <w:r>
        <w:rPr>
          <w:rFonts w:hint="eastAsia" w:ascii="Times New Roman" w:hAnsi="Times New Roman"/>
          <w:color w:val="000000" w:themeColor="text1"/>
          <w14:textFill>
            <w14:solidFill>
              <w14:schemeClr w14:val="tx1"/>
            </w14:solidFill>
          </w14:textFill>
        </w:rPr>
        <w:t>.</w:t>
      </w:r>
      <w:bookmarkEnd w:id="249"/>
      <w:bookmarkEnd w:id="250"/>
      <w:bookmarkEnd w:id="251"/>
      <w:bookmarkEnd w:id="252"/>
      <w:r>
        <w:rPr>
          <w:rFonts w:hint="eastAsia" w:ascii="Times New Roman" w:hAnsi="Times New Roman"/>
          <w:color w:val="000000" w:themeColor="text1"/>
          <w14:textFill>
            <w14:solidFill>
              <w14:schemeClr w14:val="tx1"/>
            </w14:solidFill>
          </w14:textFill>
        </w:rPr>
        <w:t>9保险缴纳情况</w:t>
      </w:r>
      <w:bookmarkEnd w:id="253"/>
      <w:bookmarkEnd w:id="254"/>
      <w:bookmarkEnd w:id="255"/>
    </w:p>
    <w:p w14:paraId="2FA8EEB0">
      <w:pPr>
        <w:tabs>
          <w:tab w:val="center" w:pos="4156"/>
          <w:tab w:val="left" w:pos="6600"/>
        </w:tabs>
        <w:spacing w:line="360" w:lineRule="auto"/>
        <w:ind w:firstLine="560" w:firstLineChars="200"/>
        <w:jc w:val="left"/>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该企业为</w:t>
      </w:r>
      <w:r>
        <w:rPr>
          <w:color w:val="000000" w:themeColor="text1"/>
          <w:sz w:val="28"/>
          <w:szCs w:val="28"/>
          <w14:textFill>
            <w14:solidFill>
              <w14:schemeClr w14:val="tx1"/>
            </w14:solidFill>
          </w14:textFill>
        </w:rPr>
        <w:t>员工购买</w:t>
      </w:r>
      <w:r>
        <w:rPr>
          <w:rFonts w:hint="eastAsia"/>
          <w:color w:val="000000" w:themeColor="text1"/>
          <w:sz w:val="28"/>
          <w:szCs w:val="28"/>
          <w14:textFill>
            <w14:solidFill>
              <w14:schemeClr w14:val="tx1"/>
            </w14:solidFill>
          </w14:textFill>
        </w:rPr>
        <w:t>了</w:t>
      </w:r>
      <w:r>
        <w:rPr>
          <w:rFonts w:hint="eastAsia"/>
          <w:color w:val="000000" w:themeColor="text1"/>
          <w:sz w:val="28"/>
          <w:szCs w:val="28"/>
          <w:lang w:val="en-US" w:eastAsia="zh-CN"/>
          <w14:textFill>
            <w14:solidFill>
              <w14:schemeClr w14:val="tx1"/>
            </w14:solidFill>
          </w14:textFill>
        </w:rPr>
        <w:t>团体意外伤害</w:t>
      </w:r>
      <w:r>
        <w:rPr>
          <w:rFonts w:hint="eastAsia"/>
          <w:color w:val="000000" w:themeColor="text1"/>
          <w:sz w:val="28"/>
          <w:szCs w:val="28"/>
          <w14:textFill>
            <w14:solidFill>
              <w14:schemeClr w14:val="tx1"/>
            </w14:solidFill>
          </w14:textFill>
        </w:rPr>
        <w:t>保险见附件</w:t>
      </w:r>
      <w:r>
        <w:rPr>
          <w:rFonts w:hint="eastAsia"/>
          <w:color w:val="000000" w:themeColor="text1"/>
          <w:sz w:val="28"/>
          <w:szCs w:val="28"/>
          <w:lang w:val="en-US" w:eastAsia="zh-CN"/>
          <w14:textFill>
            <w14:solidFill>
              <w14:schemeClr w14:val="tx1"/>
            </w14:solidFill>
          </w14:textFill>
        </w:rPr>
        <w:t>9</w:t>
      </w:r>
      <w:r>
        <w:rPr>
          <w:color w:val="000000" w:themeColor="text1"/>
          <w:sz w:val="28"/>
          <w:szCs w:val="28"/>
          <w14:textFill>
            <w14:solidFill>
              <w14:schemeClr w14:val="tx1"/>
            </w14:solidFill>
          </w14:textFill>
        </w:rPr>
        <w:t>。</w:t>
      </w:r>
    </w:p>
    <w:p w14:paraId="25471AB9">
      <w:pPr>
        <w:pStyle w:val="5"/>
        <w:spacing w:line="360" w:lineRule="auto"/>
        <w:rPr>
          <w:rFonts w:hint="eastAsia" w:ascii="Times New Roman" w:hAnsi="Times New Roman"/>
          <w:color w:val="000000" w:themeColor="text1"/>
          <w14:textFill>
            <w14:solidFill>
              <w14:schemeClr w14:val="tx1"/>
            </w14:solidFill>
          </w14:textFill>
        </w:rPr>
      </w:pPr>
      <w:bookmarkStart w:id="256" w:name="_Toc30075"/>
      <w:bookmarkStart w:id="257" w:name="_Toc8505"/>
      <w:bookmarkStart w:id="258" w:name="_Toc30001378"/>
      <w:bookmarkStart w:id="259" w:name="_Toc61474400"/>
      <w:bookmarkStart w:id="260" w:name="_Toc11507"/>
      <w:r>
        <w:rPr>
          <w:rFonts w:hint="eastAsia" w:ascii="Times New Roman" w:hAnsi="Times New Roman"/>
          <w:color w:val="000000" w:themeColor="text1"/>
          <w14:textFill>
            <w14:solidFill>
              <w14:schemeClr w14:val="tx1"/>
            </w14:solidFill>
          </w14:textFill>
        </w:rPr>
        <w:t>2.</w:t>
      </w:r>
      <w:r>
        <w:rPr>
          <w:rFonts w:hint="eastAsia" w:ascii="Times New Roman" w:hAnsi="Times New Roman"/>
          <w:color w:val="000000" w:themeColor="text1"/>
          <w:lang w:val="en-US" w:eastAsia="zh-CN"/>
          <w14:textFill>
            <w14:solidFill>
              <w14:schemeClr w14:val="tx1"/>
            </w14:solidFill>
          </w14:textFill>
        </w:rPr>
        <w:t>7</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10</w:t>
      </w:r>
      <w:r>
        <w:rPr>
          <w:rFonts w:hint="eastAsia" w:ascii="Times New Roman" w:hAnsi="Times New Roman"/>
          <w:color w:val="000000" w:themeColor="text1"/>
          <w14:textFill>
            <w14:solidFill>
              <w14:schemeClr w14:val="tx1"/>
            </w14:solidFill>
          </w14:textFill>
        </w:rPr>
        <w:t>安全生产标准化创建</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14:textFill>
            <w14:solidFill>
              <w14:schemeClr w14:val="tx1"/>
            </w14:solidFill>
          </w14:textFill>
        </w:rPr>
        <w:t>双重预防机制</w:t>
      </w:r>
      <w:r>
        <w:rPr>
          <w:rFonts w:hint="eastAsia" w:ascii="Times New Roman" w:hAnsi="Times New Roman"/>
          <w:color w:val="000000" w:themeColor="text1"/>
          <w:lang w:val="en-US" w:eastAsia="zh-CN"/>
          <w14:textFill>
            <w14:solidFill>
              <w14:schemeClr w14:val="tx1"/>
            </w14:solidFill>
          </w14:textFill>
        </w:rPr>
        <w:t>构建</w:t>
      </w:r>
      <w:r>
        <w:rPr>
          <w:rFonts w:hint="eastAsia" w:ascii="Times New Roman" w:hAnsi="Times New Roman"/>
          <w:color w:val="000000" w:themeColor="text1"/>
          <w14:textFill>
            <w14:solidFill>
              <w14:schemeClr w14:val="tx1"/>
            </w14:solidFill>
          </w14:textFill>
        </w:rPr>
        <w:t>情况</w:t>
      </w:r>
      <w:bookmarkEnd w:id="256"/>
      <w:bookmarkEnd w:id="257"/>
      <w:bookmarkEnd w:id="258"/>
      <w:bookmarkEnd w:id="259"/>
      <w:bookmarkEnd w:id="260"/>
    </w:p>
    <w:p w14:paraId="178FF1DD">
      <w:pPr>
        <w:pStyle w:val="194"/>
        <w:widowControl w:val="0"/>
        <w:adjustRightInd w:val="0"/>
        <w:snapToGrid w:val="0"/>
        <w:spacing w:line="500" w:lineRule="exact"/>
        <w:ind w:firstLine="560" w:firstLineChars="200"/>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南华昆轻树脂瓦开发有限公司目前还未开展安全生产标准化创建工作，已构建安全风险分级管控和隐患排查治理双重预防机制。</w:t>
      </w:r>
    </w:p>
    <w:p w14:paraId="0C5AE5F0">
      <w:pPr>
        <w:pStyle w:val="194"/>
        <w:widowControl w:val="0"/>
        <w:adjustRightInd w:val="0"/>
        <w:snapToGrid w:val="0"/>
        <w:spacing w:line="500" w:lineRule="exact"/>
        <w:ind w:firstLine="560" w:firstLineChars="200"/>
        <w:rPr>
          <w:rFonts w:hint="eastAsia" w:ascii="宋体" w:hAnsi="宋体" w:cs="宋体"/>
          <w:color w:val="000000" w:themeColor="text1"/>
          <w:sz w:val="28"/>
          <w:szCs w:val="28"/>
          <w:lang w:eastAsia="zh-CN"/>
          <w14:textFill>
            <w14:solidFill>
              <w14:schemeClr w14:val="tx1"/>
            </w14:solidFill>
          </w14:textFill>
        </w:rPr>
      </w:pPr>
    </w:p>
    <w:p w14:paraId="64F9B9BD">
      <w:pPr>
        <w:pStyle w:val="5"/>
        <w:spacing w:line="360" w:lineRule="auto"/>
        <w:rPr>
          <w:rFonts w:hint="eastAsia" w:ascii="Times New Roman" w:hAnsi="Times New Roman" w:cs="Times New Roman"/>
          <w:color w:val="000000" w:themeColor="text1"/>
          <w14:textFill>
            <w14:solidFill>
              <w14:schemeClr w14:val="tx1"/>
            </w14:solidFill>
          </w14:textFill>
        </w:rPr>
      </w:pPr>
      <w:bookmarkStart w:id="261" w:name="_Toc129520620"/>
      <w:bookmarkStart w:id="262" w:name="_Toc3881"/>
      <w:bookmarkStart w:id="263" w:name="_Toc2331"/>
      <w:r>
        <w:rPr>
          <w:rFonts w:hint="eastAsia" w:ascii="Times New Roman" w:hAnsi="Times New Roman" w:cs="Times New Roman"/>
          <w:color w:val="000000" w:themeColor="text1"/>
          <w:lang w:val="en-US" w:eastAsia="zh-CN"/>
          <w14:textFill>
            <w14:solidFill>
              <w14:schemeClr w14:val="tx1"/>
            </w14:solidFill>
          </w14:textFill>
        </w:rPr>
        <w:t>2.7.11</w:t>
      </w:r>
      <w:r>
        <w:rPr>
          <w:rFonts w:hint="eastAsia" w:ascii="Times New Roman" w:hAnsi="Times New Roman" w:cs="Times New Roman"/>
          <w:color w:val="000000" w:themeColor="text1"/>
          <w14:textFill>
            <w14:solidFill>
              <w14:schemeClr w14:val="tx1"/>
            </w14:solidFill>
          </w14:textFill>
        </w:rPr>
        <w:t>项目投产以来的安全生产情况</w:t>
      </w:r>
      <w:bookmarkEnd w:id="261"/>
      <w:bookmarkEnd w:id="262"/>
      <w:bookmarkEnd w:id="263"/>
    </w:p>
    <w:p w14:paraId="089F8C3E">
      <w:pPr>
        <w:keepNext w:val="0"/>
        <w:keepLines w:val="0"/>
        <w:pageBreakBefore w:val="0"/>
        <w:widowControl w:val="0"/>
        <w:tabs>
          <w:tab w:val="center" w:pos="4156"/>
          <w:tab w:val="left" w:pos="6600"/>
        </w:tabs>
        <w:kinsoku/>
        <w:wordWrap/>
        <w:overflowPunct/>
        <w:topLinePunct w:val="0"/>
        <w:autoSpaceDE/>
        <w:autoSpaceDN/>
        <w:bidi w:val="0"/>
        <w:adjustRightInd/>
        <w:snapToGrid/>
        <w:spacing w:line="520" w:lineRule="exact"/>
        <w:ind w:firstLine="560" w:firstLineChars="200"/>
        <w:jc w:val="both"/>
        <w:textAlignment w:val="auto"/>
        <w:rPr>
          <w:rFonts w:hint="eastAsia" w:ascii="宋体" w:hAnsi="Times New Roman" w:eastAsia="宋体" w:cs="Times New Roman"/>
          <w:color w:val="000000" w:themeColor="text1"/>
          <w:sz w:val="28"/>
          <w:szCs w:val="28"/>
          <w:lang w:val="en-US" w:eastAsia="zh-CN"/>
          <w14:textFill>
            <w14:solidFill>
              <w14:schemeClr w14:val="tx1"/>
            </w14:solidFill>
          </w14:textFill>
        </w:rPr>
        <w:sectPr>
          <w:footerReference r:id="rId8" w:type="default"/>
          <w:pgSz w:w="11906" w:h="16838"/>
          <w:pgMar w:top="1440" w:right="1800" w:bottom="1440" w:left="1800" w:header="850" w:footer="992" w:gutter="0"/>
          <w:pgNumType w:fmt="decimal"/>
          <w:cols w:space="708" w:num="1"/>
          <w:docGrid w:type="lines" w:linePitch="360" w:charSpace="0"/>
        </w:sectPr>
      </w:pPr>
      <w:r>
        <w:rPr>
          <w:color w:val="000000" w:themeColor="text1"/>
          <w:sz w:val="28"/>
          <w:szCs w:val="28"/>
          <w14:textFill>
            <w14:solidFill>
              <w14:schemeClr w14:val="tx1"/>
            </w14:solidFill>
          </w14:textFill>
        </w:rPr>
        <w:t>该项目自建成投产以来，严格按照国家安全生产等法律法规要求进行生产。根据国家法律法规的规定制定了安全生产管理制度，规范了</w:t>
      </w:r>
      <w:r>
        <w:rPr>
          <w:rFonts w:ascii="宋体" w:hAnsi="Times New Roman" w:eastAsia="宋体" w:cs="Times New Roman"/>
          <w:color w:val="000000" w:themeColor="text1"/>
          <w:sz w:val="28"/>
          <w:szCs w:val="28"/>
          <w14:textFill>
            <w14:solidFill>
              <w14:schemeClr w14:val="tx1"/>
            </w14:solidFill>
          </w14:textFill>
        </w:rPr>
        <w:t>生产工作行为，并严格执行。根据评价组了解及企业介绍，</w:t>
      </w:r>
      <w:r>
        <w:rPr>
          <w:rFonts w:hint="eastAsia" w:ascii="宋体" w:hAnsi="Times New Roman" w:eastAsia="宋体" w:cs="Times New Roman"/>
          <w:color w:val="000000" w:themeColor="text1"/>
          <w:sz w:val="28"/>
          <w:szCs w:val="28"/>
          <w:lang w:val="en-US" w:eastAsia="zh-CN"/>
          <w14:textFill>
            <w14:solidFill>
              <w14:schemeClr w14:val="tx1"/>
            </w14:solidFill>
          </w14:textFill>
        </w:rPr>
        <w:t>南华昆轻树脂瓦开发有限公司</w:t>
      </w:r>
      <w:r>
        <w:rPr>
          <w:rFonts w:ascii="宋体" w:hAnsi="Times New Roman" w:eastAsia="宋体" w:cs="Times New Roman"/>
          <w:color w:val="000000" w:themeColor="text1"/>
          <w:sz w:val="28"/>
          <w:szCs w:val="28"/>
          <w14:textFill>
            <w14:solidFill>
              <w14:schemeClr w14:val="tx1"/>
            </w14:solidFill>
          </w14:textFill>
        </w:rPr>
        <w:t>自建成以来生产正常，</w:t>
      </w:r>
      <w:r>
        <w:rPr>
          <w:rFonts w:hint="eastAsia" w:ascii="宋体" w:hAnsi="Times New Roman" w:eastAsia="宋体" w:cs="Times New Roman"/>
          <w:color w:val="000000" w:themeColor="text1"/>
          <w:sz w:val="28"/>
          <w:szCs w:val="28"/>
          <w:lang w:val="en-US" w:eastAsia="zh-CN"/>
          <w14:textFill>
            <w14:solidFill>
              <w14:schemeClr w14:val="tx1"/>
            </w14:solidFill>
          </w14:textFill>
        </w:rPr>
        <w:t>公司从建厂之日</w:t>
      </w:r>
      <w:r>
        <w:rPr>
          <w:rFonts w:hint="eastAsia" w:ascii="宋体" w:hAnsi="Times New Roman" w:eastAsia="宋体" w:cs="Times New Roman"/>
          <w:color w:val="000000" w:themeColor="text1"/>
          <w:sz w:val="28"/>
          <w:szCs w:val="28"/>
          <w14:textFill>
            <w14:solidFill>
              <w14:schemeClr w14:val="tx1"/>
            </w14:solidFill>
          </w14:textFill>
        </w:rPr>
        <w:t>至评价基准日</w:t>
      </w:r>
      <w:r>
        <w:rPr>
          <w:rFonts w:hint="eastAsia" w:ascii="宋体" w:hAnsi="Times New Roman" w:eastAsia="宋体" w:cs="Times New Roman"/>
          <w:color w:val="000000" w:themeColor="text1"/>
          <w:sz w:val="28"/>
          <w:szCs w:val="28"/>
          <w:lang w:eastAsia="zh-CN"/>
          <w14:textFill>
            <w14:solidFill>
              <w14:schemeClr w14:val="tx1"/>
            </w14:solidFill>
          </w14:textFill>
        </w:rPr>
        <w:t>，</w:t>
      </w:r>
      <w:r>
        <w:rPr>
          <w:rFonts w:hint="eastAsia" w:ascii="宋体" w:hAnsi="Times New Roman" w:eastAsia="宋体" w:cs="Times New Roman"/>
          <w:color w:val="000000" w:themeColor="text1"/>
          <w:sz w:val="28"/>
          <w:szCs w:val="28"/>
          <w14:textFill>
            <w14:solidFill>
              <w14:schemeClr w14:val="tx1"/>
            </w14:solidFill>
          </w14:textFill>
        </w:rPr>
        <w:t>未发生生产安全事故</w:t>
      </w:r>
      <w:r>
        <w:rPr>
          <w:rFonts w:hint="eastAsia" w:ascii="宋体" w:hAnsi="Times New Roman" w:eastAsia="宋体" w:cs="Times New Roman"/>
          <w:color w:val="000000" w:themeColor="text1"/>
          <w:sz w:val="28"/>
          <w:szCs w:val="28"/>
          <w:lang w:eastAsia="zh-CN"/>
          <w14:textFill>
            <w14:solidFill>
              <w14:schemeClr w14:val="tx1"/>
            </w14:solidFill>
          </w14:textFill>
        </w:rPr>
        <w:t>。</w:t>
      </w:r>
    </w:p>
    <w:bookmarkEnd w:id="236"/>
    <w:p w14:paraId="538116AC">
      <w:pPr>
        <w:pStyle w:val="3"/>
        <w:spacing w:before="165" w:after="165"/>
        <w:jc w:val="center"/>
        <w:rPr>
          <w:rFonts w:ascii="Times New Roman" w:hAnsi="Times New Roman" w:cs="Times New Roman"/>
          <w:color w:val="000000" w:themeColor="text1"/>
          <w14:textFill>
            <w14:solidFill>
              <w14:schemeClr w14:val="tx1"/>
            </w14:solidFill>
          </w14:textFill>
        </w:rPr>
      </w:pPr>
      <w:bookmarkStart w:id="264" w:name="_Toc17554"/>
      <w:bookmarkStart w:id="265" w:name="_Toc30428"/>
      <w:bookmarkStart w:id="266" w:name="_Toc25144"/>
      <w:bookmarkStart w:id="267" w:name="_Toc313453543"/>
      <w:bookmarkStart w:id="268" w:name="_Toc335926205"/>
      <w:bookmarkStart w:id="269" w:name="_Toc12314"/>
      <w:r>
        <w:rPr>
          <w:rFonts w:ascii="Times New Roman" w:hAnsi="Times New Roman" w:cs="Times New Roman"/>
          <w:color w:val="000000" w:themeColor="text1"/>
          <w14:textFill>
            <w14:solidFill>
              <w14:schemeClr w14:val="tx1"/>
            </w14:solidFill>
          </w14:textFill>
        </w:rPr>
        <w:t>第3章  主要危险、有害因素辨识与分析</w:t>
      </w:r>
      <w:bookmarkEnd w:id="264"/>
      <w:bookmarkEnd w:id="265"/>
      <w:bookmarkEnd w:id="266"/>
    </w:p>
    <w:p w14:paraId="153627CF">
      <w:pPr>
        <w:pStyle w:val="4"/>
        <w:rPr>
          <w:rFonts w:hint="eastAsia" w:ascii="Times New Roman" w:hAnsi="Times New Roman" w:cs="Times New Roman"/>
          <w:color w:val="000000" w:themeColor="text1"/>
          <w14:textFill>
            <w14:solidFill>
              <w14:schemeClr w14:val="tx1"/>
            </w14:solidFill>
          </w14:textFill>
        </w:rPr>
      </w:pPr>
      <w:bookmarkStart w:id="270" w:name="_Toc30001381"/>
      <w:bookmarkStart w:id="271" w:name="_Toc61474403"/>
      <w:bookmarkStart w:id="272" w:name="_Toc18637"/>
      <w:bookmarkStart w:id="273" w:name="_Toc16083"/>
      <w:bookmarkStart w:id="274" w:name="_Toc395212044"/>
      <w:bookmarkStart w:id="275" w:name="_Toc208138638"/>
      <w:bookmarkStart w:id="276" w:name="_Toc5642_WPSOffice_Level2"/>
      <w:bookmarkStart w:id="277" w:name="_Toc29010"/>
      <w:bookmarkStart w:id="278" w:name="_Toc24936"/>
      <w:bookmarkStart w:id="279" w:name="_Toc395212950"/>
      <w:bookmarkStart w:id="280" w:name="_Toc5414"/>
      <w:bookmarkStart w:id="281" w:name="_Toc121910214"/>
      <w:bookmarkStart w:id="282" w:name="_Toc184653866"/>
      <w:bookmarkStart w:id="283" w:name="_Toc312139931"/>
      <w:bookmarkStart w:id="284" w:name="_Toc439100950"/>
      <w:bookmarkStart w:id="285" w:name="_Toc293305107"/>
      <w:bookmarkStart w:id="286" w:name="_Toc181545896"/>
      <w:bookmarkStart w:id="287" w:name="_Toc201697580"/>
      <w:bookmarkStart w:id="288" w:name="_Toc398"/>
      <w:bookmarkStart w:id="289" w:name="_Toc7563"/>
      <w:bookmarkStart w:id="290" w:name="_Toc57"/>
      <w:bookmarkStart w:id="291" w:name="_Toc17555"/>
      <w:bookmarkStart w:id="292" w:name="_Toc27399"/>
      <w:r>
        <w:rPr>
          <w:rFonts w:hint="eastAsia" w:ascii="Times New Roman" w:hAnsi="Times New Roman" w:cs="Times New Roman"/>
          <w:color w:val="000000" w:themeColor="text1"/>
          <w14:textFill>
            <w14:solidFill>
              <w14:schemeClr w14:val="tx1"/>
            </w14:solidFill>
          </w14:textFill>
        </w:rPr>
        <w:t>3.1辨识与分析的目的</w:t>
      </w:r>
      <w:bookmarkEnd w:id="270"/>
      <w:bookmarkEnd w:id="271"/>
      <w:bookmarkEnd w:id="272"/>
      <w:bookmarkEnd w:id="273"/>
    </w:p>
    <w:p w14:paraId="5F7AA0FC">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危险、有害因素辨识与分析是安全评价的基础。</w:t>
      </w:r>
    </w:p>
    <w:p w14:paraId="26641999">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危险因素是指系统（人、机械、材料、设施、工艺、环境）中存在的，能对人造成伤亡，对物造成突发性损害的因素。</w:t>
      </w:r>
    </w:p>
    <w:p w14:paraId="32E47F4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有害因素是指影响人的身体健康，导致疾病，或对物造成慢性损害的因素。</w:t>
      </w:r>
    </w:p>
    <w:p w14:paraId="5AB6AC8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主要危险、有害因素的识别，就是找出生产系统中最有可能引发重大事故，导致不良后果的材、物、工艺过程、设施和环境特征等，识别可能发生的事故、后果和条件，以便采取预防和控制措施。</w:t>
      </w:r>
    </w:p>
    <w:p w14:paraId="3923E1CD">
      <w:pPr>
        <w:pStyle w:val="4"/>
        <w:rPr>
          <w:rFonts w:hint="eastAsia" w:ascii="Times New Roman" w:hAnsi="Times New Roman" w:cs="Times New Roman"/>
          <w:color w:val="000000" w:themeColor="text1"/>
          <w14:textFill>
            <w14:solidFill>
              <w14:schemeClr w14:val="tx1"/>
            </w14:solidFill>
          </w14:textFill>
        </w:rPr>
      </w:pPr>
      <w:bookmarkStart w:id="293" w:name="_Toc61474404"/>
      <w:bookmarkStart w:id="294" w:name="_Toc30001382"/>
      <w:bookmarkStart w:id="295" w:name="_Toc24592"/>
      <w:bookmarkStart w:id="296" w:name="_Toc7964"/>
      <w:r>
        <w:rPr>
          <w:rFonts w:hint="eastAsia" w:ascii="Times New Roman" w:hAnsi="Times New Roman" w:cs="Times New Roman"/>
          <w:color w:val="000000" w:themeColor="text1"/>
          <w14:textFill>
            <w14:solidFill>
              <w14:schemeClr w14:val="tx1"/>
            </w14:solidFill>
          </w14:textFill>
        </w:rPr>
        <w:t>3.2辨识与分析的方法</w:t>
      </w:r>
      <w:bookmarkEnd w:id="293"/>
      <w:bookmarkEnd w:id="294"/>
      <w:bookmarkEnd w:id="295"/>
      <w:bookmarkEnd w:id="296"/>
    </w:p>
    <w:p w14:paraId="400B7F62">
      <w:pPr>
        <w:adjustRightInd w:val="0"/>
        <w:snapToGrid w:val="0"/>
        <w:spacing w:line="500" w:lineRule="exact"/>
        <w:ind w:firstLine="560"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本</w:t>
      </w:r>
      <w:r>
        <w:rPr>
          <w:rFonts w:hint="eastAsia" w:ascii="宋体" w:hAnsi="宋体" w:cs="宋体"/>
          <w:bCs/>
          <w:color w:val="000000" w:themeColor="text1"/>
          <w:spacing w:val="8"/>
          <w:sz w:val="28"/>
          <w:szCs w:val="28"/>
          <w14:textFill>
            <w14:solidFill>
              <w14:schemeClr w14:val="tx1"/>
            </w14:solidFill>
          </w14:textFill>
        </w:rPr>
        <w:t>报告对危险、有害因素的辨识方法，是根据该项目在生产过程中使用的物料、涉及的危险、有害物质及其危险特性、生产工艺、设备等方面进行分析，以辨识该项目存在的主要危险、有害因素。</w:t>
      </w:r>
    </w:p>
    <w:p w14:paraId="70CB7ABA">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按照《企业职工伤亡事故分类》（GB 6441-1986），综合考虑起因物、引起事故的诱导性原因、致害物、伤害方式等，将危险因素分为20类，分别为物体打击、车辆伤害、机械伤害、起重伤害、触电、淹溺、灼烫、火灾、高处坠落、坍塌、冒顶片帮、透水、放炮、瓦斯爆炸、火药爆炸、锅炉爆炸、容器爆炸、其他爆炸、中毒和窒息及其他伤害。</w:t>
      </w:r>
    </w:p>
    <w:p w14:paraId="162F82F0">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按照《生产过程危险和有害因素分类与代码》（GB/T13861-2022）的规定，将生产过程中的危险、有害因素分为以下4类：</w:t>
      </w:r>
    </w:p>
    <w:p w14:paraId="56B36E0F">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人的因素</w:t>
      </w:r>
    </w:p>
    <w:p w14:paraId="7F38BD62">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（1）心理、生理性危险和有害因素；</w:t>
      </w:r>
    </w:p>
    <w:p w14:paraId="16C5259E">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（2）行为性危险和有害因素。</w:t>
      </w:r>
    </w:p>
    <w:p w14:paraId="690C735F">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物的因素</w:t>
      </w:r>
    </w:p>
    <w:p w14:paraId="44C7CD23">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（1）物理性危险和有害因素；</w:t>
      </w:r>
    </w:p>
    <w:p w14:paraId="0F7E2BB7">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（2）化学性危险和有害因素；</w:t>
      </w:r>
    </w:p>
    <w:p w14:paraId="507715CC">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（3）生物性危险和有害因素。</w:t>
      </w:r>
    </w:p>
    <w:p w14:paraId="366A55E1">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环境因素</w:t>
      </w:r>
    </w:p>
    <w:p w14:paraId="573C9174">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（1）室内作业场所环境不良；</w:t>
      </w:r>
    </w:p>
    <w:p w14:paraId="4343F665">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（2）室外作业场地环境不良；</w:t>
      </w:r>
    </w:p>
    <w:p w14:paraId="0BD64DAC">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（3）地下（含水下）作业环境不良；</w:t>
      </w:r>
    </w:p>
    <w:p w14:paraId="1FF7F85D">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（4）其他作业环境不良。</w:t>
      </w:r>
    </w:p>
    <w:p w14:paraId="64AC1497">
      <w:pPr>
        <w:adjustRightInd w:val="0"/>
        <w:snapToGrid w:val="0"/>
        <w:spacing w:line="500" w:lineRule="exact"/>
        <w:ind w:firstLine="592" w:firstLineChars="200"/>
        <w:rPr>
          <w:rFonts w:ascii="宋体" w:hAnsi="宋体" w:cs="宋体"/>
          <w:bCs/>
          <w:color w:val="000000" w:themeColor="text1"/>
          <w:spacing w:val="8"/>
          <w:sz w:val="28"/>
          <w:szCs w:val="28"/>
          <w14:textFill>
            <w14:solidFill>
              <w14:schemeClr w14:val="tx1"/>
            </w14:solidFill>
          </w14:textFill>
        </w:rPr>
      </w:pPr>
      <w:r>
        <w:rPr>
          <w:rFonts w:hint="eastAsia" w:ascii="宋体" w:hAnsi="宋体" w:cs="宋体"/>
          <w:bCs/>
          <w:color w:val="000000" w:themeColor="text1"/>
          <w:spacing w:val="8"/>
          <w:sz w:val="28"/>
          <w:szCs w:val="28"/>
          <w14:textFill>
            <w14:solidFill>
              <w14:schemeClr w14:val="tx1"/>
            </w14:solidFill>
          </w14:textFill>
        </w:rPr>
        <w:t>管理因素</w:t>
      </w:r>
    </w:p>
    <w:p w14:paraId="44A9D7D8">
      <w:pPr>
        <w:adjustRightInd w:val="0"/>
        <w:snapToGrid w:val="0"/>
        <w:spacing w:line="500" w:lineRule="exact"/>
        <w:ind w:firstLine="592" w:firstLineChars="200"/>
        <w:rPr>
          <w:rFonts w:hint="eastAsia" w:hAnsi="宋体" w:cs="宋体"/>
          <w:bCs/>
          <w:color w:val="0000FF"/>
          <w:spacing w:val="8"/>
          <w:sz w:val="28"/>
          <w:szCs w:val="28"/>
          <w:lang w:eastAsia="zh-CN"/>
        </w:rPr>
      </w:pPr>
      <w:r>
        <w:rPr>
          <w:rFonts w:hint="eastAsia" w:hAnsi="宋体" w:cs="宋体"/>
          <w:bCs/>
          <w:color w:val="0000FF"/>
          <w:spacing w:val="8"/>
          <w:sz w:val="28"/>
          <w:szCs w:val="28"/>
          <w:lang w:eastAsia="zh-CN"/>
        </w:rPr>
        <w:t>（</w:t>
      </w:r>
      <w:r>
        <w:rPr>
          <w:rFonts w:hint="eastAsia" w:hAnsi="宋体" w:cs="宋体"/>
          <w:bCs/>
          <w:color w:val="0000FF"/>
          <w:spacing w:val="8"/>
          <w:sz w:val="28"/>
          <w:szCs w:val="28"/>
          <w:lang w:val="en-US" w:eastAsia="zh-CN"/>
        </w:rPr>
        <w:t>1</w:t>
      </w:r>
      <w:r>
        <w:rPr>
          <w:rFonts w:hint="eastAsia" w:hAnsi="宋体" w:cs="宋体"/>
          <w:bCs/>
          <w:color w:val="0000FF"/>
          <w:spacing w:val="8"/>
          <w:sz w:val="28"/>
          <w:szCs w:val="28"/>
          <w:lang w:eastAsia="zh-CN"/>
        </w:rPr>
        <w:t>）</w:t>
      </w:r>
      <w:r>
        <w:rPr>
          <w:rFonts w:hint="eastAsia" w:ascii="宋体" w:hAnsi="宋体" w:cs="宋体"/>
          <w:bCs/>
          <w:color w:val="0000FF"/>
          <w:spacing w:val="8"/>
          <w:sz w:val="28"/>
          <w:szCs w:val="28"/>
        </w:rPr>
        <w:t>职业安全卫生</w:t>
      </w:r>
      <w:r>
        <w:rPr>
          <w:rFonts w:hint="eastAsia" w:hAnsi="宋体" w:cs="宋体"/>
          <w:bCs/>
          <w:color w:val="0000FF"/>
          <w:spacing w:val="8"/>
          <w:sz w:val="28"/>
          <w:szCs w:val="28"/>
          <w:lang w:val="en-US" w:eastAsia="zh-CN"/>
        </w:rPr>
        <w:t>管理机构设置和人员配备不健全</w:t>
      </w:r>
      <w:r>
        <w:rPr>
          <w:rFonts w:hint="eastAsia" w:hAnsi="宋体" w:cs="宋体"/>
          <w:bCs/>
          <w:color w:val="0000FF"/>
          <w:spacing w:val="8"/>
          <w:sz w:val="28"/>
          <w:szCs w:val="28"/>
          <w:lang w:eastAsia="zh-CN"/>
        </w:rPr>
        <w:t>；</w:t>
      </w:r>
    </w:p>
    <w:p w14:paraId="16119B09">
      <w:pPr>
        <w:adjustRightInd w:val="0"/>
        <w:snapToGrid w:val="0"/>
        <w:spacing w:line="500" w:lineRule="exact"/>
        <w:ind w:firstLine="592" w:firstLineChars="200"/>
        <w:rPr>
          <w:rFonts w:ascii="宋体" w:hAnsi="宋体" w:cs="宋体"/>
          <w:bCs/>
          <w:color w:val="0000FF"/>
          <w:spacing w:val="8"/>
          <w:sz w:val="28"/>
          <w:szCs w:val="28"/>
        </w:rPr>
      </w:pPr>
      <w:r>
        <w:rPr>
          <w:rFonts w:hint="eastAsia" w:ascii="宋体" w:hAnsi="宋体" w:cs="宋体"/>
          <w:bCs/>
          <w:color w:val="0000FF"/>
          <w:spacing w:val="8"/>
          <w:sz w:val="28"/>
          <w:szCs w:val="28"/>
        </w:rPr>
        <w:t>（2）职业安全卫生责任制</w:t>
      </w:r>
      <w:r>
        <w:rPr>
          <w:rFonts w:hint="eastAsia" w:hAnsi="宋体" w:cs="宋体"/>
          <w:bCs/>
          <w:color w:val="0000FF"/>
          <w:spacing w:val="8"/>
          <w:sz w:val="28"/>
          <w:szCs w:val="28"/>
          <w:lang w:val="en-US" w:eastAsia="zh-CN"/>
        </w:rPr>
        <w:t>不完善或</w:t>
      </w:r>
      <w:r>
        <w:rPr>
          <w:rFonts w:hint="eastAsia" w:ascii="宋体" w:hAnsi="宋体" w:cs="宋体"/>
          <w:bCs/>
          <w:color w:val="0000FF"/>
          <w:spacing w:val="8"/>
          <w:sz w:val="28"/>
          <w:szCs w:val="28"/>
        </w:rPr>
        <w:t>未落实；</w:t>
      </w:r>
    </w:p>
    <w:p w14:paraId="2ED930CE">
      <w:pPr>
        <w:adjustRightInd w:val="0"/>
        <w:snapToGrid w:val="0"/>
        <w:spacing w:line="500" w:lineRule="exact"/>
        <w:ind w:firstLine="592" w:firstLineChars="200"/>
        <w:rPr>
          <w:rFonts w:ascii="宋体" w:hAnsi="宋体" w:cs="宋体"/>
          <w:bCs/>
          <w:color w:val="0000FF"/>
          <w:spacing w:val="8"/>
          <w:sz w:val="28"/>
          <w:szCs w:val="28"/>
        </w:rPr>
      </w:pPr>
      <w:r>
        <w:rPr>
          <w:rFonts w:hint="eastAsia" w:ascii="宋体" w:hAnsi="宋体" w:cs="宋体"/>
          <w:bCs/>
          <w:color w:val="0000FF"/>
          <w:spacing w:val="8"/>
          <w:sz w:val="28"/>
          <w:szCs w:val="28"/>
        </w:rPr>
        <w:t>（3）职业安全卫生管理规章制度不完善</w:t>
      </w:r>
      <w:r>
        <w:rPr>
          <w:rFonts w:hint="eastAsia" w:hAnsi="宋体" w:cs="宋体"/>
          <w:bCs/>
          <w:color w:val="0000FF"/>
          <w:spacing w:val="8"/>
          <w:sz w:val="28"/>
          <w:szCs w:val="28"/>
          <w:lang w:val="en-US" w:eastAsia="zh-CN"/>
        </w:rPr>
        <w:t>或未落实</w:t>
      </w:r>
      <w:r>
        <w:rPr>
          <w:rFonts w:hint="eastAsia" w:ascii="宋体" w:hAnsi="宋体" w:cs="宋体"/>
          <w:bCs/>
          <w:color w:val="0000FF"/>
          <w:spacing w:val="8"/>
          <w:sz w:val="28"/>
          <w:szCs w:val="28"/>
        </w:rPr>
        <w:t>；</w:t>
      </w:r>
    </w:p>
    <w:p w14:paraId="629A5135">
      <w:pPr>
        <w:adjustRightInd w:val="0"/>
        <w:snapToGrid w:val="0"/>
        <w:spacing w:line="500" w:lineRule="exact"/>
        <w:ind w:firstLine="592" w:firstLineChars="200"/>
        <w:rPr>
          <w:rFonts w:ascii="宋体" w:hAnsi="宋体" w:cs="宋体"/>
          <w:bCs/>
          <w:color w:val="0000FF"/>
          <w:spacing w:val="8"/>
          <w:sz w:val="28"/>
          <w:szCs w:val="28"/>
        </w:rPr>
      </w:pPr>
      <w:r>
        <w:rPr>
          <w:rFonts w:hint="eastAsia" w:ascii="宋体" w:hAnsi="宋体" w:cs="宋体"/>
          <w:bCs/>
          <w:color w:val="0000FF"/>
          <w:spacing w:val="8"/>
          <w:sz w:val="28"/>
          <w:szCs w:val="28"/>
        </w:rPr>
        <w:t>（4）职业安全卫生投入不足；</w:t>
      </w:r>
    </w:p>
    <w:p w14:paraId="34750F1D">
      <w:pPr>
        <w:adjustRightInd w:val="0"/>
        <w:snapToGrid w:val="0"/>
        <w:spacing w:line="500" w:lineRule="exact"/>
        <w:ind w:firstLine="592" w:firstLineChars="200"/>
        <w:rPr>
          <w:rFonts w:hint="default" w:ascii="宋体" w:hAnsi="宋体" w:eastAsia="宋体" w:cs="宋体"/>
          <w:bCs/>
          <w:color w:val="0000FF"/>
          <w:spacing w:val="8"/>
          <w:sz w:val="28"/>
          <w:szCs w:val="28"/>
          <w:lang w:val="en-US" w:eastAsia="zh-CN"/>
        </w:rPr>
      </w:pPr>
      <w:r>
        <w:rPr>
          <w:rFonts w:hint="eastAsia" w:ascii="宋体" w:hAnsi="宋体" w:cs="宋体"/>
          <w:bCs/>
          <w:color w:val="0000FF"/>
          <w:spacing w:val="8"/>
          <w:sz w:val="28"/>
          <w:szCs w:val="28"/>
        </w:rPr>
        <w:t>（5）</w:t>
      </w:r>
      <w:r>
        <w:rPr>
          <w:rFonts w:hint="eastAsia" w:hAnsi="宋体" w:cs="宋体"/>
          <w:bCs/>
          <w:color w:val="0000FF"/>
          <w:spacing w:val="8"/>
          <w:sz w:val="28"/>
          <w:szCs w:val="28"/>
          <w:lang w:val="en-US" w:eastAsia="zh-CN"/>
        </w:rPr>
        <w:t>应急管理缺陷；</w:t>
      </w:r>
    </w:p>
    <w:p w14:paraId="22C4152B">
      <w:pPr>
        <w:adjustRightInd w:val="0"/>
        <w:snapToGrid w:val="0"/>
        <w:spacing w:line="500" w:lineRule="exact"/>
        <w:ind w:firstLine="592" w:firstLineChars="200"/>
        <w:rPr>
          <w:rFonts w:ascii="宋体" w:hAnsi="宋体" w:cs="宋体"/>
          <w:bCs/>
          <w:color w:val="0000FF"/>
          <w:spacing w:val="8"/>
          <w:sz w:val="28"/>
          <w:szCs w:val="28"/>
        </w:rPr>
      </w:pPr>
      <w:r>
        <w:rPr>
          <w:rFonts w:hint="eastAsia" w:ascii="宋体" w:hAnsi="宋体" w:cs="宋体"/>
          <w:bCs/>
          <w:color w:val="0000FF"/>
          <w:spacing w:val="8"/>
          <w:sz w:val="28"/>
          <w:szCs w:val="28"/>
        </w:rPr>
        <w:t>（6）其他</w:t>
      </w:r>
      <w:r>
        <w:rPr>
          <w:rFonts w:hint="eastAsia" w:hAnsi="宋体" w:cs="宋体"/>
          <w:bCs/>
          <w:color w:val="0000FF"/>
          <w:spacing w:val="8"/>
          <w:sz w:val="28"/>
          <w:szCs w:val="28"/>
          <w:lang w:val="en-US" w:eastAsia="zh-CN"/>
        </w:rPr>
        <w:t>应急</w:t>
      </w:r>
      <w:r>
        <w:rPr>
          <w:rFonts w:hint="eastAsia" w:ascii="宋体" w:hAnsi="宋体" w:cs="宋体"/>
          <w:bCs/>
          <w:color w:val="0000FF"/>
          <w:spacing w:val="8"/>
          <w:sz w:val="28"/>
          <w:szCs w:val="28"/>
        </w:rPr>
        <w:t>管理缺陷。</w:t>
      </w:r>
    </w:p>
    <w:p w14:paraId="035FC002">
      <w:pPr>
        <w:pStyle w:val="4"/>
        <w:rPr>
          <w:rFonts w:hint="eastAsia" w:ascii="Times New Roman" w:hAnsi="Times New Roman" w:cs="Times New Roman"/>
          <w:color w:val="000000" w:themeColor="text1"/>
          <w14:textFill>
            <w14:solidFill>
              <w14:schemeClr w14:val="tx1"/>
            </w14:solidFill>
          </w14:textFill>
        </w:rPr>
      </w:pPr>
      <w:bookmarkStart w:id="297" w:name="_Toc96760725"/>
      <w:bookmarkStart w:id="298" w:name="_Toc87774356"/>
      <w:bookmarkStart w:id="299" w:name="_Toc96760970"/>
      <w:bookmarkStart w:id="300" w:name="_Toc84909160"/>
      <w:bookmarkStart w:id="301" w:name="_Toc96759953"/>
      <w:bookmarkStart w:id="302" w:name="_Toc87589398"/>
      <w:bookmarkStart w:id="303" w:name="_Toc84829701"/>
      <w:bookmarkStart w:id="304" w:name="_Toc88254466"/>
      <w:bookmarkStart w:id="305" w:name="_Toc84838492"/>
      <w:bookmarkStart w:id="306" w:name="_Toc86631513"/>
      <w:bookmarkStart w:id="307" w:name="_Toc96761105"/>
      <w:bookmarkStart w:id="308" w:name="_Toc88228691"/>
      <w:bookmarkStart w:id="309" w:name="_Toc88254725"/>
      <w:bookmarkStart w:id="310" w:name="_Toc61474405"/>
      <w:bookmarkStart w:id="311" w:name="_Toc30001383"/>
      <w:bookmarkStart w:id="312" w:name="_Toc28740"/>
      <w:bookmarkStart w:id="313" w:name="_Toc21033"/>
      <w:r>
        <w:rPr>
          <w:rFonts w:hint="eastAsia" w:ascii="Times New Roman" w:hAnsi="Times New Roman" w:cs="Times New Roman"/>
          <w:color w:val="000000" w:themeColor="text1"/>
          <w14:textFill>
            <w14:solidFill>
              <w14:schemeClr w14:val="tx1"/>
            </w14:solidFill>
          </w14:textFill>
        </w:rPr>
        <w:t>3.</w:t>
      </w:r>
      <w:bookmarkEnd w:id="297"/>
      <w:bookmarkEnd w:id="298"/>
      <w:bookmarkEnd w:id="299"/>
      <w:bookmarkEnd w:id="300"/>
      <w:bookmarkEnd w:id="301"/>
      <w:bookmarkEnd w:id="302"/>
      <w:bookmarkEnd w:id="303"/>
      <w:bookmarkEnd w:id="304"/>
      <w:bookmarkEnd w:id="305"/>
      <w:bookmarkEnd w:id="306"/>
      <w:bookmarkEnd w:id="307"/>
      <w:bookmarkEnd w:id="308"/>
      <w:bookmarkEnd w:id="309"/>
      <w:r>
        <w:rPr>
          <w:rFonts w:hint="eastAsia" w:ascii="Times New Roman" w:hAnsi="Times New Roman" w:cs="Times New Roman"/>
          <w:color w:val="000000" w:themeColor="text1"/>
          <w14:textFill>
            <w14:solidFill>
              <w14:schemeClr w14:val="tx1"/>
            </w14:solidFill>
          </w14:textFill>
        </w:rPr>
        <w:t>3危险、有害因素产生的原因</w:t>
      </w:r>
      <w:bookmarkEnd w:id="310"/>
      <w:bookmarkEnd w:id="311"/>
      <w:bookmarkEnd w:id="312"/>
      <w:bookmarkEnd w:id="313"/>
    </w:p>
    <w:p w14:paraId="170A9A7A">
      <w:pPr>
        <w:pStyle w:val="5"/>
        <w:rPr>
          <w:rFonts w:hint="eastAsia" w:ascii="Times New Roman" w:hAnsi="Times New Roman" w:cs="Times New Roman"/>
          <w:color w:val="000000" w:themeColor="text1"/>
          <w14:textFill>
            <w14:solidFill>
              <w14:schemeClr w14:val="tx1"/>
            </w14:solidFill>
          </w14:textFill>
        </w:rPr>
      </w:pPr>
      <w:bookmarkStart w:id="314" w:name="_Toc61474406"/>
      <w:bookmarkStart w:id="315" w:name="_Toc30001384"/>
      <w:bookmarkStart w:id="316" w:name="_Toc30677"/>
      <w:bookmarkStart w:id="317" w:name="_Toc25761"/>
      <w:bookmarkStart w:id="318" w:name="_Toc23225"/>
      <w:r>
        <w:rPr>
          <w:rFonts w:hint="eastAsia" w:ascii="Times New Roman" w:hAnsi="Times New Roman" w:cs="Times New Roman"/>
          <w:color w:val="000000" w:themeColor="text1"/>
          <w14:textFill>
            <w14:solidFill>
              <w14:schemeClr w14:val="tx1"/>
            </w14:solidFill>
          </w14:textFill>
        </w:rPr>
        <w:t>3.3.1运行失控与设备故障</w:t>
      </w:r>
      <w:bookmarkEnd w:id="314"/>
      <w:bookmarkEnd w:id="315"/>
      <w:bookmarkEnd w:id="316"/>
      <w:bookmarkEnd w:id="317"/>
      <w:bookmarkEnd w:id="318"/>
    </w:p>
    <w:p w14:paraId="77F927F8">
      <w:pPr>
        <w:adjustRightInd w:val="0"/>
        <w:snapToGrid w:val="0"/>
        <w:spacing w:line="500" w:lineRule="exact"/>
        <w:ind w:firstLine="592" w:firstLineChars="200"/>
        <w:rPr>
          <w:bCs/>
          <w:color w:val="000000" w:themeColor="text1"/>
          <w:spacing w:val="8"/>
          <w:sz w:val="28"/>
          <w:szCs w:val="28"/>
          <w14:textFill>
            <w14:solidFill>
              <w14:schemeClr w14:val="tx1"/>
            </w14:solidFill>
          </w14:textFill>
        </w:rPr>
      </w:pPr>
      <w:r>
        <w:rPr>
          <w:bCs/>
          <w:color w:val="000000" w:themeColor="text1"/>
          <w:spacing w:val="8"/>
          <w:sz w:val="28"/>
          <w:szCs w:val="28"/>
          <w14:textFill>
            <w14:solidFill>
              <w14:schemeClr w14:val="tx1"/>
            </w14:solidFill>
          </w14:textFill>
        </w:rPr>
        <w:t>运行失控是指装置运行过程中偏离或超过了正常的工艺技术条件，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减少。</w:t>
      </w:r>
    </w:p>
    <w:p w14:paraId="6F4CDD7F">
      <w:pPr>
        <w:pStyle w:val="5"/>
        <w:rPr>
          <w:rFonts w:hint="eastAsia" w:ascii="Times New Roman" w:hAnsi="Times New Roman" w:cs="Times New Roman"/>
          <w:color w:val="000000" w:themeColor="text1"/>
          <w14:textFill>
            <w14:solidFill>
              <w14:schemeClr w14:val="tx1"/>
            </w14:solidFill>
          </w14:textFill>
        </w:rPr>
      </w:pPr>
      <w:bookmarkStart w:id="319" w:name="_Toc30001385"/>
      <w:bookmarkStart w:id="320" w:name="_Toc61474407"/>
      <w:bookmarkStart w:id="321" w:name="_Toc25550"/>
      <w:bookmarkStart w:id="322" w:name="_Toc26921"/>
      <w:bookmarkStart w:id="323" w:name="_Toc17302"/>
      <w:r>
        <w:rPr>
          <w:rFonts w:hint="eastAsia" w:ascii="Times New Roman" w:hAnsi="Times New Roman" w:cs="Times New Roman"/>
          <w:color w:val="000000" w:themeColor="text1"/>
          <w14:textFill>
            <w14:solidFill>
              <w14:schemeClr w14:val="tx1"/>
            </w14:solidFill>
          </w14:textFill>
        </w:rPr>
        <w:t>3.3.2人员失误</w:t>
      </w:r>
      <w:bookmarkEnd w:id="319"/>
      <w:bookmarkEnd w:id="320"/>
      <w:bookmarkEnd w:id="321"/>
      <w:bookmarkEnd w:id="322"/>
      <w:bookmarkEnd w:id="323"/>
    </w:p>
    <w:p w14:paraId="1A6A65C7">
      <w:pPr>
        <w:adjustRightInd w:val="0"/>
        <w:snapToGrid w:val="0"/>
        <w:spacing w:line="500" w:lineRule="exact"/>
        <w:ind w:firstLine="592" w:firstLineChars="200"/>
        <w:rPr>
          <w:bCs/>
          <w:color w:val="000000" w:themeColor="text1"/>
          <w:spacing w:val="8"/>
          <w:sz w:val="28"/>
          <w:szCs w:val="28"/>
          <w14:textFill>
            <w14:solidFill>
              <w14:schemeClr w14:val="tx1"/>
            </w14:solidFill>
          </w14:textFill>
        </w:rPr>
      </w:pPr>
      <w:r>
        <w:rPr>
          <w:bCs/>
          <w:color w:val="000000" w:themeColor="text1"/>
          <w:spacing w:val="8"/>
          <w:sz w:val="28"/>
          <w:szCs w:val="28"/>
          <w14:textFill>
            <w14:solidFill>
              <w14:schemeClr w14:val="tx1"/>
            </w14:solidFill>
          </w14:textFill>
        </w:rPr>
        <w:t>人员失误</w:t>
      </w:r>
      <w:r>
        <w:rPr>
          <w:rFonts w:hint="eastAsia"/>
          <w:bCs/>
          <w:color w:val="000000" w:themeColor="text1"/>
          <w:spacing w:val="8"/>
          <w:sz w:val="28"/>
          <w:szCs w:val="28"/>
          <w14:textFill>
            <w14:solidFill>
              <w14:schemeClr w14:val="tx1"/>
            </w14:solidFill>
          </w14:textFill>
        </w:rPr>
        <w:t>是</w:t>
      </w:r>
      <w:r>
        <w:rPr>
          <w:bCs/>
          <w:color w:val="000000" w:themeColor="text1"/>
          <w:spacing w:val="8"/>
          <w:sz w:val="28"/>
          <w:szCs w:val="28"/>
          <w14:textFill>
            <w14:solidFill>
              <w14:schemeClr w14:val="tx1"/>
            </w14:solidFill>
          </w14:textFill>
        </w:rPr>
        <w:t>指人员不安全行为（指职工在劳动过程中违反劳动纪律、操作程序、方法等具有危险性的作法）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7A7AB32A">
      <w:pPr>
        <w:pStyle w:val="5"/>
        <w:rPr>
          <w:rFonts w:hint="eastAsia" w:ascii="Times New Roman" w:hAnsi="Times New Roman" w:cs="Times New Roman"/>
          <w:color w:val="000000" w:themeColor="text1"/>
          <w14:textFill>
            <w14:solidFill>
              <w14:schemeClr w14:val="tx1"/>
            </w14:solidFill>
          </w14:textFill>
        </w:rPr>
      </w:pPr>
      <w:bookmarkStart w:id="324" w:name="_Toc30001386"/>
      <w:bookmarkStart w:id="325" w:name="_Toc61474408"/>
      <w:bookmarkStart w:id="326" w:name="_Toc12264"/>
      <w:bookmarkStart w:id="327" w:name="_Toc14423"/>
      <w:bookmarkStart w:id="328" w:name="_Toc2629"/>
      <w:r>
        <w:rPr>
          <w:rFonts w:hint="eastAsia" w:ascii="Times New Roman" w:hAnsi="Times New Roman" w:cs="Times New Roman"/>
          <w:color w:val="000000" w:themeColor="text1"/>
          <w14:textFill>
            <w14:solidFill>
              <w14:schemeClr w14:val="tx1"/>
            </w14:solidFill>
          </w14:textFill>
        </w:rPr>
        <w:t>3.3.3管理缺陷</w:t>
      </w:r>
      <w:bookmarkEnd w:id="324"/>
      <w:bookmarkEnd w:id="325"/>
      <w:bookmarkEnd w:id="326"/>
      <w:bookmarkEnd w:id="327"/>
      <w:bookmarkEnd w:id="328"/>
    </w:p>
    <w:p w14:paraId="164053F6">
      <w:pPr>
        <w:adjustRightInd w:val="0"/>
        <w:snapToGrid w:val="0"/>
        <w:spacing w:line="500" w:lineRule="exact"/>
        <w:ind w:firstLine="592" w:firstLineChars="200"/>
        <w:rPr>
          <w:bCs/>
          <w:color w:val="000000" w:themeColor="text1"/>
          <w:spacing w:val="8"/>
          <w:sz w:val="28"/>
          <w:szCs w:val="28"/>
          <w14:textFill>
            <w14:solidFill>
              <w14:schemeClr w14:val="tx1"/>
            </w14:solidFill>
          </w14:textFill>
        </w:rPr>
      </w:pPr>
      <w:r>
        <w:rPr>
          <w:bCs/>
          <w:color w:val="000000" w:themeColor="text1"/>
          <w:spacing w:val="8"/>
          <w:sz w:val="28"/>
          <w:szCs w:val="28"/>
          <w14:textFill>
            <w14:solidFill>
              <w14:schemeClr w14:val="tx1"/>
            </w14:solidFill>
          </w14:textFill>
        </w:rPr>
        <w:t>安全管理是为保证及时、有效地实现既定的安全目标，是在预测、分析的基础上进行的计划、组织、协调、检查等工作，是预防故障和人员失误发生的有效手段，因此，管理缺陷是影响运行失控发生的重要因素。</w:t>
      </w:r>
    </w:p>
    <w:p w14:paraId="1FF8436D">
      <w:pPr>
        <w:pStyle w:val="5"/>
        <w:rPr>
          <w:rFonts w:hint="eastAsia" w:ascii="Times New Roman" w:hAnsi="Times New Roman" w:cs="Times New Roman"/>
          <w:color w:val="000000" w:themeColor="text1"/>
          <w14:textFill>
            <w14:solidFill>
              <w14:schemeClr w14:val="tx1"/>
            </w14:solidFill>
          </w14:textFill>
        </w:rPr>
      </w:pPr>
      <w:bookmarkStart w:id="329" w:name="_Toc4967"/>
      <w:bookmarkStart w:id="330" w:name="_Toc30001387"/>
      <w:bookmarkStart w:id="331" w:name="_Toc61474409"/>
      <w:bookmarkStart w:id="332" w:name="_Toc12413"/>
      <w:bookmarkStart w:id="333" w:name="_Toc22419"/>
      <w:r>
        <w:rPr>
          <w:rFonts w:hint="eastAsia" w:ascii="Times New Roman" w:hAnsi="Times New Roman" w:cs="Times New Roman"/>
          <w:color w:val="000000" w:themeColor="text1"/>
          <w14:textFill>
            <w14:solidFill>
              <w14:schemeClr w14:val="tx1"/>
            </w14:solidFill>
          </w14:textFill>
        </w:rPr>
        <w:t>3.3.4环境因素</w:t>
      </w:r>
      <w:bookmarkEnd w:id="329"/>
      <w:bookmarkEnd w:id="330"/>
      <w:bookmarkEnd w:id="331"/>
      <w:bookmarkEnd w:id="332"/>
      <w:bookmarkEnd w:id="333"/>
    </w:p>
    <w:p w14:paraId="03A4ECC0">
      <w:pPr>
        <w:adjustRightInd w:val="0"/>
        <w:snapToGrid w:val="0"/>
        <w:spacing w:line="500" w:lineRule="exact"/>
        <w:ind w:firstLine="592" w:firstLineChars="200"/>
        <w:rPr>
          <w:bCs/>
          <w:color w:val="000000" w:themeColor="text1"/>
          <w:spacing w:val="8"/>
          <w:sz w:val="28"/>
          <w:szCs w:val="28"/>
          <w14:textFill>
            <w14:solidFill>
              <w14:schemeClr w14:val="tx1"/>
            </w14:solidFill>
          </w14:textFill>
        </w:rPr>
      </w:pPr>
      <w:r>
        <w:rPr>
          <w:bCs/>
          <w:color w:val="000000" w:themeColor="text1"/>
          <w:spacing w:val="8"/>
          <w:sz w:val="28"/>
          <w:szCs w:val="28"/>
          <w14:textFill>
            <w14:solidFill>
              <w14:schemeClr w14:val="tx1"/>
            </w14:solidFill>
          </w14:textFill>
        </w:rPr>
        <w:t>不安全的环境是引起事故的物质基础。是事故的直接原因，通常指的是：</w:t>
      </w:r>
    </w:p>
    <w:p w14:paraId="6492D7C8">
      <w:pPr>
        <w:adjustRightInd w:val="0"/>
        <w:snapToGrid w:val="0"/>
        <w:spacing w:line="500" w:lineRule="exact"/>
        <w:ind w:firstLine="592" w:firstLineChars="200"/>
        <w:rPr>
          <w:bCs/>
          <w:color w:val="000000" w:themeColor="text1"/>
          <w:spacing w:val="8"/>
          <w:sz w:val="28"/>
          <w:szCs w:val="28"/>
          <w14:textFill>
            <w14:solidFill>
              <w14:schemeClr w14:val="tx1"/>
            </w14:solidFill>
          </w14:textFill>
        </w:rPr>
      </w:pPr>
      <w:r>
        <w:rPr>
          <w:bCs/>
          <w:color w:val="000000" w:themeColor="text1"/>
          <w:spacing w:val="8"/>
          <w:sz w:val="28"/>
          <w:szCs w:val="28"/>
          <w14:textFill>
            <w14:solidFill>
              <w14:schemeClr w14:val="tx1"/>
            </w14:solidFill>
          </w14:textFill>
        </w:rPr>
        <w:t>自然环境的异常，即岩石、地质、水文、气象等的恶劣变异；</w:t>
      </w:r>
    </w:p>
    <w:p w14:paraId="2CB529EB">
      <w:pPr>
        <w:adjustRightInd w:val="0"/>
        <w:snapToGrid w:val="0"/>
        <w:spacing w:line="500" w:lineRule="exact"/>
        <w:ind w:firstLine="592" w:firstLineChars="200"/>
        <w:rPr>
          <w:bCs/>
          <w:color w:val="000000" w:themeColor="text1"/>
          <w:spacing w:val="8"/>
          <w:sz w:val="28"/>
          <w:szCs w:val="28"/>
          <w14:textFill>
            <w14:solidFill>
              <w14:schemeClr w14:val="tx1"/>
            </w14:solidFill>
          </w14:textFill>
        </w:rPr>
      </w:pPr>
      <w:r>
        <w:rPr>
          <w:bCs/>
          <w:color w:val="000000" w:themeColor="text1"/>
          <w:spacing w:val="8"/>
          <w:sz w:val="28"/>
          <w:szCs w:val="28"/>
          <w14:textFill>
            <w14:solidFill>
              <w14:schemeClr w14:val="tx1"/>
            </w14:solidFill>
          </w14:textFill>
        </w:rPr>
        <w:t>生产环境不良，即照明、温度、湿度、通风、采光、噪声、振动、空气质量、颜色等方面的缺陷。</w:t>
      </w:r>
    </w:p>
    <w:p w14:paraId="2AA58793">
      <w:pPr>
        <w:pStyle w:val="4"/>
        <w:keepNext w:val="0"/>
        <w:keepLines w:val="0"/>
        <w:spacing w:before="156" w:beforeLines="50" w:after="156" w:afterLines="50"/>
        <w:jc w:val="center"/>
        <w:rPr>
          <w:rFonts w:ascii="楷体" w:hAnsi="楷体"/>
          <w:bCs/>
          <w:color w:val="000000" w:themeColor="text1"/>
          <w14:textFill>
            <w14:solidFill>
              <w14:schemeClr w14:val="tx1"/>
            </w14:solidFill>
          </w14:textFill>
        </w:rPr>
      </w:pPr>
      <w:bookmarkStart w:id="334" w:name="_Toc201697586"/>
      <w:bookmarkStart w:id="335" w:name="_Toc61474410"/>
      <w:bookmarkStart w:id="336" w:name="_Toc30001388"/>
      <w:bookmarkStart w:id="337" w:name="_Toc25463"/>
      <w:bookmarkStart w:id="338" w:name="_Toc23564"/>
      <w:bookmarkStart w:id="339" w:name="_Toc120607105"/>
      <w:r>
        <w:rPr>
          <w:rFonts w:ascii="楷体" w:hAnsi="楷体"/>
          <w:bCs/>
          <w:color w:val="000000" w:themeColor="text1"/>
          <w14:textFill>
            <w14:solidFill>
              <w14:schemeClr w14:val="tx1"/>
            </w14:solidFill>
          </w14:textFill>
        </w:rPr>
        <w:t>3.4主要危险、有害物质辨识</w:t>
      </w:r>
      <w:bookmarkEnd w:id="334"/>
      <w:r>
        <w:rPr>
          <w:rFonts w:ascii="楷体" w:hAnsi="楷体"/>
          <w:bCs/>
          <w:color w:val="000000" w:themeColor="text1"/>
          <w14:textFill>
            <w14:solidFill>
              <w14:schemeClr w14:val="tx1"/>
            </w14:solidFill>
          </w14:textFill>
        </w:rPr>
        <w:t>与分析</w:t>
      </w:r>
      <w:bookmarkEnd w:id="335"/>
      <w:bookmarkEnd w:id="336"/>
      <w:bookmarkEnd w:id="337"/>
      <w:bookmarkEnd w:id="338"/>
    </w:p>
    <w:p w14:paraId="24A771A4">
      <w:pPr>
        <w:pStyle w:val="5"/>
        <w:keepNext w:val="0"/>
        <w:keepLines w:val="0"/>
        <w:spacing w:before="0" w:after="0"/>
        <w:rPr>
          <w:rFonts w:ascii="黑体" w:hAnsi="黑体"/>
          <w:b w:val="0"/>
          <w:color w:val="000000" w:themeColor="text1"/>
          <w14:textFill>
            <w14:solidFill>
              <w14:schemeClr w14:val="tx1"/>
            </w14:solidFill>
          </w14:textFill>
        </w:rPr>
      </w:pPr>
      <w:bookmarkStart w:id="340" w:name="_Toc61474411"/>
      <w:bookmarkStart w:id="341" w:name="_Toc30001389"/>
      <w:bookmarkStart w:id="342" w:name="_Toc313453512"/>
      <w:bookmarkStart w:id="343" w:name="_Toc9036"/>
      <w:bookmarkStart w:id="344" w:name="_Toc19919"/>
      <w:bookmarkStart w:id="345" w:name="_Toc344298869"/>
      <w:bookmarkStart w:id="346" w:name="_Toc22564"/>
      <w:r>
        <w:rPr>
          <w:rFonts w:ascii="黑体" w:hAnsi="黑体"/>
          <w:b w:val="0"/>
          <w:color w:val="000000" w:themeColor="text1"/>
          <w14:textFill>
            <w14:solidFill>
              <w14:schemeClr w14:val="tx1"/>
            </w14:solidFill>
          </w14:textFill>
        </w:rPr>
        <w:t>3.4.1主要危险、有害物质辨识</w:t>
      </w:r>
      <w:bookmarkEnd w:id="340"/>
      <w:bookmarkEnd w:id="341"/>
      <w:bookmarkEnd w:id="342"/>
      <w:bookmarkEnd w:id="343"/>
      <w:bookmarkEnd w:id="344"/>
      <w:bookmarkEnd w:id="345"/>
      <w:bookmarkEnd w:id="346"/>
    </w:p>
    <w:p w14:paraId="16A3BDB8">
      <w:pPr>
        <w:overflowPunct w:val="0"/>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bookmarkStart w:id="347" w:name="_Toc313453513"/>
      <w:bookmarkStart w:id="348" w:name="OLE_LINK49"/>
      <w:bookmarkStart w:id="349" w:name="_Toc225136744"/>
      <w:r>
        <w:rPr>
          <w:rFonts w:hint="eastAsia" w:ascii="宋体" w:hAnsi="宋体" w:eastAsia="宋体" w:cs="宋体"/>
          <w:color w:val="000000" w:themeColor="text1"/>
          <w:sz w:val="28"/>
          <w:szCs w:val="28"/>
          <w14:textFill>
            <w14:solidFill>
              <w14:schemeClr w14:val="tx1"/>
            </w14:solidFill>
          </w14:textFill>
        </w:rPr>
        <w:t>通过对本项目生产工艺、原料、辅助材料、产品进行分析后，得出该公司在生产过程中主要的危险、有害物料有：</w:t>
      </w:r>
    </w:p>
    <w:p w14:paraId="7D626BDD">
      <w:pPr>
        <w:pStyle w:val="240"/>
        <w:overflowPunct w:val="0"/>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.设备维护保养使用的润滑油；</w:t>
      </w:r>
    </w:p>
    <w:p w14:paraId="2D6E7884">
      <w:pPr>
        <w:pStyle w:val="240"/>
        <w:overflowPunct w:val="0"/>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.叉车燃料柴油；</w:t>
      </w:r>
    </w:p>
    <w:p w14:paraId="2CF0D271">
      <w:pPr>
        <w:pStyle w:val="240"/>
        <w:overflowPunct w:val="0"/>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.检修过程使用到的氧气（压缩的）、乙炔；</w:t>
      </w:r>
    </w:p>
    <w:p w14:paraId="2206D1D7">
      <w:pPr>
        <w:overflowPunct w:val="0"/>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危险、有害物料存在部位及危险特性见下表。</w:t>
      </w:r>
    </w:p>
    <w:p w14:paraId="7BA6BA4A">
      <w:pPr>
        <w:overflowPunct w:val="0"/>
        <w:snapToGrid w:val="0"/>
        <w:spacing w:line="500" w:lineRule="exact"/>
        <w:jc w:val="center"/>
        <w:rPr>
          <w:rFonts w:hint="default" w:ascii="Times New Roman" w:hAnsi="Times New Roman" w:cs="Times New Roman"/>
          <w:color w:val="000000" w:themeColor="text1"/>
          <w:sz w:val="24"/>
          <w14:textFill>
            <w14:solidFill>
              <w14:schemeClr w14:val="tx1"/>
            </w14:solidFill>
          </w14:textFill>
        </w:rPr>
      </w:pPr>
    </w:p>
    <w:p w14:paraId="21BC1715">
      <w:pPr>
        <w:overflowPunct w:val="0"/>
        <w:snapToGrid w:val="0"/>
        <w:spacing w:line="500" w:lineRule="exact"/>
        <w:jc w:val="cente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表</w:t>
      </w:r>
      <w:r>
        <w:rPr>
          <w:rFonts w:hint="eastAsia" w:ascii="宋体" w:hAnsi="宋体" w:eastAsia="宋体" w:cs="宋体"/>
          <w:b/>
          <w:bCs/>
          <w:color w:val="000000" w:themeColor="text1"/>
          <w:sz w:val="24"/>
          <w:lang w:val="en-US" w:eastAsia="zh-CN"/>
          <w14:textFill>
            <w14:solidFill>
              <w14:schemeClr w14:val="tx1"/>
            </w14:solidFill>
          </w14:textFill>
        </w:rPr>
        <w:t>3</w:t>
      </w:r>
      <w:r>
        <w:rPr>
          <w:rFonts w:hint="eastAsia" w:ascii="宋体" w:hAnsi="宋体" w:eastAsia="宋体" w:cs="宋体"/>
          <w:b/>
          <w:bCs/>
          <w:color w:val="000000" w:themeColor="text1"/>
          <w:sz w:val="24"/>
          <w14:textFill>
            <w14:solidFill>
              <w14:schemeClr w14:val="tx1"/>
            </w14:solidFill>
          </w14:textFill>
        </w:rPr>
        <w:t>-1危险物料存在部位及危险特性表</w:t>
      </w:r>
    </w:p>
    <w:tbl>
      <w:tblPr>
        <w:tblStyle w:val="53"/>
        <w:tblW w:w="50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58"/>
        <w:gridCol w:w="1259"/>
        <w:gridCol w:w="4662"/>
        <w:gridCol w:w="1859"/>
      </w:tblGrid>
      <w:tr w14:paraId="1F6D3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tblHeader/>
          <w:jc w:val="center"/>
        </w:trPr>
        <w:tc>
          <w:tcPr>
            <w:tcW w:w="444" w:type="pct"/>
            <w:noWrap w:val="0"/>
            <w:vAlign w:val="center"/>
          </w:tcPr>
          <w:p w14:paraId="6147335C">
            <w:pPr>
              <w:overflowPunct w:val="0"/>
              <w:adjustRightInd w:val="0"/>
              <w:snapToGrid w:val="0"/>
              <w:spacing w:line="300" w:lineRule="exact"/>
              <w:ind w:left="0" w:leftChars="0"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737" w:type="pct"/>
            <w:noWrap w:val="0"/>
            <w:vAlign w:val="center"/>
          </w:tcPr>
          <w:p w14:paraId="573EEF78">
            <w:pPr>
              <w:overflowPunct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物质名称</w:t>
            </w:r>
          </w:p>
        </w:tc>
        <w:tc>
          <w:tcPr>
            <w:tcW w:w="2729" w:type="pct"/>
            <w:noWrap w:val="0"/>
            <w:vAlign w:val="center"/>
          </w:tcPr>
          <w:p w14:paraId="0AA5AA3F">
            <w:pPr>
              <w:overflowPunct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主要危险特性</w:t>
            </w:r>
          </w:p>
        </w:tc>
        <w:tc>
          <w:tcPr>
            <w:tcW w:w="1088" w:type="pct"/>
            <w:noWrap w:val="0"/>
            <w:vAlign w:val="center"/>
          </w:tcPr>
          <w:p w14:paraId="473625BD">
            <w:pPr>
              <w:overflowPunct w:val="0"/>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存在部位</w:t>
            </w:r>
          </w:p>
        </w:tc>
      </w:tr>
      <w:tr w14:paraId="162FE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444" w:type="pct"/>
            <w:noWrap w:val="0"/>
            <w:vAlign w:val="center"/>
          </w:tcPr>
          <w:p w14:paraId="5C8900FC">
            <w:pPr>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p>
        </w:tc>
        <w:tc>
          <w:tcPr>
            <w:tcW w:w="737" w:type="pct"/>
            <w:noWrap w:val="0"/>
            <w:vAlign w:val="center"/>
          </w:tcPr>
          <w:p w14:paraId="32005856">
            <w:pPr>
              <w:overflowPunct w:val="0"/>
              <w:adjustRightInd w:val="0"/>
              <w:snapToGrid w:val="0"/>
              <w:spacing w:line="300" w:lineRule="exact"/>
              <w:ind w:left="0" w:leftChars="0" w:firstLine="0" w:firstLineChars="0"/>
              <w:jc w:val="center"/>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润滑油</w:t>
            </w:r>
          </w:p>
        </w:tc>
        <w:tc>
          <w:tcPr>
            <w:tcW w:w="2729" w:type="pct"/>
            <w:noWrap w:val="0"/>
            <w:vAlign w:val="center"/>
          </w:tcPr>
          <w:p w14:paraId="71FB01F5">
            <w:pPr>
              <w:overflowPunct w:val="0"/>
              <w:adjustRightInd w:val="0"/>
              <w:snapToGrid w:val="0"/>
              <w:spacing w:line="300" w:lineRule="exact"/>
              <w:ind w:left="0" w:leftChars="0"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急性吸入，可出现乏力、头晕、头痛、恶心，严重者可引起油脂性肺炎。慢接触者，暴露部位可发生油性痤疮和接触性皮炎。可引发神经衰弱综合症，呼吸道和眼刺激症状及慢性油脂性肺炎。</w:t>
            </w:r>
          </w:p>
        </w:tc>
        <w:tc>
          <w:tcPr>
            <w:tcW w:w="1088" w:type="pct"/>
            <w:noWrap w:val="0"/>
            <w:vAlign w:val="center"/>
          </w:tcPr>
          <w:p w14:paraId="17D9550B">
            <w:pPr>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机械设备维护部位</w:t>
            </w:r>
          </w:p>
        </w:tc>
      </w:tr>
      <w:tr w14:paraId="66077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444" w:type="pct"/>
            <w:noWrap w:val="0"/>
            <w:vAlign w:val="center"/>
          </w:tcPr>
          <w:p w14:paraId="6394EBF8">
            <w:pPr>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w:t>
            </w:r>
          </w:p>
        </w:tc>
        <w:tc>
          <w:tcPr>
            <w:tcW w:w="737" w:type="pct"/>
            <w:noWrap w:val="0"/>
            <w:vAlign w:val="center"/>
          </w:tcPr>
          <w:p w14:paraId="23136CDB">
            <w:pPr>
              <w:overflowPunct w:val="0"/>
              <w:adjustRightInd w:val="0"/>
              <w:snapToGrid w:val="0"/>
              <w:spacing w:line="300" w:lineRule="exact"/>
              <w:ind w:left="0" w:leftChars="0" w:firstLine="0" w:firstLineChars="0"/>
              <w:jc w:val="center"/>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柴油</w:t>
            </w:r>
          </w:p>
        </w:tc>
        <w:tc>
          <w:tcPr>
            <w:tcW w:w="2729" w:type="pct"/>
            <w:noWrap w:val="0"/>
            <w:vAlign w:val="center"/>
          </w:tcPr>
          <w:p w14:paraId="55B258CD">
            <w:pPr>
              <w:keepNext/>
              <w:overflowPunct w:val="0"/>
              <w:adjustRightInd w:val="0"/>
              <w:snapToGrid w:val="0"/>
              <w:spacing w:line="300" w:lineRule="exact"/>
              <w:ind w:left="0" w:leftChars="0" w:firstLine="0" w:firstLineChars="0"/>
              <w:jc w:val="both"/>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①蒸气与空气混合成为爆炸性混合物0.7％~5.0％；</w:t>
            </w:r>
          </w:p>
          <w:p w14:paraId="0B063919">
            <w:pPr>
              <w:keepNext/>
              <w:overflowPunct w:val="0"/>
              <w:adjustRightInd w:val="0"/>
              <w:snapToGrid w:val="0"/>
              <w:spacing w:line="300" w:lineRule="exact"/>
              <w:ind w:left="0" w:leftChars="0" w:firstLine="0" w:firstLineChars="0"/>
              <w:jc w:val="both"/>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②遇热、火花、明火，有引起燃烧爆炸的危险；</w:t>
            </w:r>
          </w:p>
          <w:p w14:paraId="4D4EC909">
            <w:pPr>
              <w:keepNext/>
              <w:overflowPunct w:val="0"/>
              <w:adjustRightInd w:val="0"/>
              <w:snapToGrid w:val="0"/>
              <w:spacing w:line="300" w:lineRule="exact"/>
              <w:ind w:left="0" w:leftChars="0" w:firstLine="0" w:firstLineChars="0"/>
              <w:jc w:val="both"/>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③遇高热，容器内压增大，有开裂和爆炸的危险；</w:t>
            </w:r>
          </w:p>
          <w:p w14:paraId="3B12BF92">
            <w:pPr>
              <w:keepNext/>
              <w:overflowPunct w:val="0"/>
              <w:adjustRightInd w:val="0"/>
              <w:snapToGrid w:val="0"/>
              <w:spacing w:line="300" w:lineRule="exact"/>
              <w:ind w:left="0" w:leftChars="0" w:firstLine="0" w:firstLineChars="0"/>
              <w:jc w:val="both"/>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④可蓄积静电，引起电火花；</w:t>
            </w:r>
          </w:p>
          <w:p w14:paraId="27995F9D">
            <w:pPr>
              <w:keepNext/>
              <w:overflowPunct w:val="0"/>
              <w:adjustRightInd w:val="0"/>
              <w:snapToGrid w:val="0"/>
              <w:spacing w:line="300" w:lineRule="exact"/>
              <w:ind w:left="0" w:leftChars="0" w:firstLine="0" w:firstLineChars="0"/>
              <w:jc w:val="both"/>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⑤分解和燃烧产物为—氧化碳、二氧化碳和硫氧化物；</w:t>
            </w:r>
          </w:p>
          <w:p w14:paraId="687DA584">
            <w:pPr>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⑥避免接触氧化剂。</w:t>
            </w:r>
          </w:p>
        </w:tc>
        <w:tc>
          <w:tcPr>
            <w:tcW w:w="1088" w:type="pct"/>
            <w:noWrap w:val="0"/>
            <w:vAlign w:val="center"/>
          </w:tcPr>
          <w:p w14:paraId="524066DF">
            <w:pPr>
              <w:overflowPunct w:val="0"/>
              <w:adjustRightInd w:val="0"/>
              <w:snapToGrid w:val="0"/>
              <w:spacing w:line="300" w:lineRule="exact"/>
              <w:ind w:left="0" w:leftChars="0" w:firstLine="0" w:firstLineChars="0"/>
              <w:jc w:val="both"/>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叉车</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柴油桶放置区</w:t>
            </w:r>
          </w:p>
        </w:tc>
      </w:tr>
      <w:tr w14:paraId="4C59D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444" w:type="pct"/>
            <w:noWrap w:val="0"/>
            <w:vAlign w:val="center"/>
          </w:tcPr>
          <w:p w14:paraId="0869768B">
            <w:pPr>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737" w:type="pct"/>
            <w:noWrap w:val="0"/>
            <w:vAlign w:val="center"/>
          </w:tcPr>
          <w:p w14:paraId="12EF7D6D">
            <w:pPr>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氧气[压缩的]</w:t>
            </w:r>
          </w:p>
        </w:tc>
        <w:tc>
          <w:tcPr>
            <w:tcW w:w="2729" w:type="pct"/>
            <w:noWrap w:val="0"/>
            <w:vAlign w:val="center"/>
          </w:tcPr>
          <w:p w14:paraId="7B18D89F">
            <w:pPr>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与易燃物（如乙炔、甲烷等）形成爆炸性混合物。液氧和易燃物共储有爆炸危险，液氧易被衣物、木材、纸张等吸收，见火即迅速燃烧。</w:t>
            </w:r>
          </w:p>
        </w:tc>
        <w:tc>
          <w:tcPr>
            <w:tcW w:w="1088" w:type="pct"/>
            <w:vMerge w:val="restart"/>
            <w:noWrap w:val="0"/>
            <w:vAlign w:val="center"/>
          </w:tcPr>
          <w:p w14:paraId="3F050DC2">
            <w:pPr>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检修维护使用</w:t>
            </w:r>
          </w:p>
        </w:tc>
      </w:tr>
      <w:tr w14:paraId="31831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444" w:type="pct"/>
            <w:noWrap w:val="0"/>
            <w:vAlign w:val="center"/>
          </w:tcPr>
          <w:p w14:paraId="5F9B718B">
            <w:pPr>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4</w:t>
            </w:r>
          </w:p>
        </w:tc>
        <w:tc>
          <w:tcPr>
            <w:tcW w:w="737" w:type="pct"/>
            <w:noWrap w:val="0"/>
            <w:vAlign w:val="center"/>
          </w:tcPr>
          <w:p w14:paraId="05BEBF38">
            <w:pPr>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乙炔</w:t>
            </w:r>
          </w:p>
        </w:tc>
        <w:tc>
          <w:tcPr>
            <w:tcW w:w="2729" w:type="pct"/>
            <w:noWrap w:val="0"/>
            <w:vAlign w:val="center"/>
          </w:tcPr>
          <w:p w14:paraId="34EBB066">
            <w:pPr>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与空气混合能形成爆炸性混合物，遇明火、高热能引起燃烧爆炸。与氟、氯等能发生剧烈的化学反应。能与Cu、Ag、Hg等化合物生成爆炸性化合物。</w:t>
            </w:r>
          </w:p>
        </w:tc>
        <w:tc>
          <w:tcPr>
            <w:tcW w:w="1088" w:type="pct"/>
            <w:vMerge w:val="continue"/>
            <w:noWrap w:val="0"/>
            <w:vAlign w:val="center"/>
          </w:tcPr>
          <w:p w14:paraId="1FB45C08">
            <w:pPr>
              <w:overflowPunct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r>
      <w:bookmarkEnd w:id="347"/>
      <w:bookmarkEnd w:id="348"/>
      <w:bookmarkEnd w:id="349"/>
    </w:tbl>
    <w:p w14:paraId="7DB19F73">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1、依据《危险化学品目录》</w:t>
      </w:r>
      <w:r>
        <w:rPr>
          <w:rFonts w:hint="eastAsia" w:ascii="宋体" w:hAnsi="宋体" w:cs="宋体"/>
          <w:color w:val="0000FF"/>
          <w:sz w:val="28"/>
          <w:szCs w:val="28"/>
        </w:rPr>
        <w:t>（20</w:t>
      </w:r>
      <w:r>
        <w:rPr>
          <w:rFonts w:hint="eastAsia" w:hAnsi="宋体" w:cs="宋体"/>
          <w:color w:val="0000FF"/>
          <w:sz w:val="28"/>
          <w:szCs w:val="28"/>
          <w:lang w:val="en-US" w:eastAsia="zh-CN"/>
        </w:rPr>
        <w:t>22调整</w:t>
      </w:r>
      <w:r>
        <w:rPr>
          <w:rFonts w:hint="eastAsia" w:ascii="宋体" w:hAnsi="宋体" w:cs="宋体"/>
          <w:color w:val="0000FF"/>
          <w:sz w:val="28"/>
          <w:szCs w:val="28"/>
        </w:rPr>
        <w:t>版）</w:t>
      </w:r>
      <w:r>
        <w:rPr>
          <w:rFonts w:hint="eastAsia" w:ascii="宋体" w:hAnsi="宋体" w:cs="宋体"/>
          <w:color w:val="000000" w:themeColor="text1"/>
          <w:sz w:val="28"/>
          <w:szCs w:val="28"/>
          <w14:textFill>
            <w14:solidFill>
              <w14:schemeClr w14:val="tx1"/>
            </w14:solidFill>
          </w14:textFill>
        </w:rPr>
        <w:t>进行辨识，本项目不涉及剧毒化学品。</w:t>
      </w:r>
    </w:p>
    <w:p w14:paraId="52F6054C">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2、依据《易制毒化学品管理条例》（国务院令第445号）和《非药品类易制毒化学品生产、经营许可办法》（</w:t>
      </w:r>
      <w:r>
        <w:rPr>
          <w:rFonts w:hint="eastAsia" w:ascii="宋体" w:hAnsi="宋体" w:cs="宋体"/>
          <w:color w:val="000000" w:themeColor="text1"/>
          <w:sz w:val="28"/>
          <w:szCs w:val="28"/>
          <w:lang w:eastAsia="zh-CN"/>
          <w14:textFill>
            <w14:solidFill>
              <w14:schemeClr w14:val="tx1"/>
            </w14:solidFill>
          </w14:textFill>
        </w:rPr>
        <w:t>原国家安全生产监督管理总局</w:t>
      </w:r>
      <w:r>
        <w:rPr>
          <w:rFonts w:hint="eastAsia" w:ascii="宋体" w:hAnsi="宋体" w:cs="宋体"/>
          <w:color w:val="000000" w:themeColor="text1"/>
          <w:sz w:val="28"/>
          <w:szCs w:val="28"/>
          <w14:textFill>
            <w14:solidFill>
              <w14:schemeClr w14:val="tx1"/>
            </w14:solidFill>
          </w14:textFill>
        </w:rPr>
        <w:t>令第5号）、《云南省易制毒特殊化学品管理条例》（云南省人大常委会公告第71号）的相关规定进行辨识，本项目不涉及易制毒化学品。</w:t>
      </w:r>
    </w:p>
    <w:p w14:paraId="6B01DEC6">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3、依据《中华人民共和国监控化学品条例》（国务院令第190号）进行辨识，本项目不涉及监控化学品。</w:t>
      </w:r>
    </w:p>
    <w:p w14:paraId="2A041822">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依据《国家安全监管总局关于公布首批重点监管的危险化学品名录的通知》（安监总管三〔2011〕95号）和《国家安全监管总局关于公布第二批重点监管危险化学品名录的通知》（安监总管三〔2013〕12号）进行判定，生产中涉及到的重点监管的危险化学品有生产过程中使用的乙炔。</w:t>
      </w:r>
    </w:p>
    <w:p w14:paraId="5A51143D">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综上所述，南华昆轻树脂瓦开发有限公司生产未涉及到剧毒品、易制爆危险化学品、监控化学品和易制毒化学品，涉及到的重点监管的危险化学品有生产过程中使用的乙炔。</w:t>
      </w:r>
      <w:bookmarkStart w:id="350" w:name="_Toc11846"/>
      <w:bookmarkStart w:id="351" w:name="_Toc387310184"/>
      <w:bookmarkStart w:id="352" w:name="_Toc386616749"/>
      <w:bookmarkStart w:id="353" w:name="_Toc314213592"/>
      <w:bookmarkStart w:id="354" w:name="_Toc472000451"/>
    </w:p>
    <w:p w14:paraId="269E1F29">
      <w:pPr>
        <w:pStyle w:val="5"/>
        <w:keepNext w:val="0"/>
        <w:keepLines w:val="0"/>
        <w:spacing w:before="0" w:after="0"/>
        <w:rPr>
          <w:rFonts w:hint="eastAsia" w:ascii="宋体" w:hAnsi="宋体" w:cs="宋体"/>
          <w:color w:val="000000" w:themeColor="text1"/>
          <w:sz w:val="21"/>
          <w:szCs w:val="21"/>
          <w14:textFill>
            <w14:solidFill>
              <w14:schemeClr w14:val="tx1"/>
            </w14:solidFill>
          </w14:textFill>
        </w:rPr>
      </w:pPr>
      <w:bookmarkStart w:id="355" w:name="_Toc24730"/>
      <w:bookmarkStart w:id="356" w:name="_Toc6978"/>
      <w:r>
        <w:rPr>
          <w:rFonts w:hint="eastAsia" w:ascii="黑体" w:hAnsi="黑体"/>
          <w:b w:val="0"/>
          <w:color w:val="000000" w:themeColor="text1"/>
          <w14:textFill>
            <w14:solidFill>
              <w14:schemeClr w14:val="tx1"/>
            </w14:solidFill>
          </w14:textFill>
        </w:rPr>
        <w:t>3.4.2危险物质的理化特性</w:t>
      </w:r>
      <w:bookmarkEnd w:id="350"/>
      <w:bookmarkEnd w:id="351"/>
      <w:bookmarkEnd w:id="352"/>
      <w:bookmarkEnd w:id="353"/>
      <w:bookmarkEnd w:id="354"/>
      <w:bookmarkEnd w:id="355"/>
      <w:bookmarkEnd w:id="356"/>
    </w:p>
    <w:p w14:paraId="0F2C1E29">
      <w:pPr>
        <w:keepNext/>
        <w:keepLines/>
        <w:pageBreakBefore w:val="0"/>
        <w:widowControl w:val="0"/>
        <w:tabs>
          <w:tab w:val="left" w:pos="2924"/>
          <w:tab w:val="center" w:pos="4522"/>
        </w:tabs>
        <w:kinsoku/>
        <w:wordWrap/>
        <w:overflowPunct/>
        <w:topLinePunct w:val="0"/>
        <w:autoSpaceDE/>
        <w:autoSpaceDN/>
        <w:bidi w:val="0"/>
        <w:adjustRightInd w:val="0"/>
        <w:snapToGrid w:val="0"/>
        <w:spacing w:line="520" w:lineRule="exact"/>
        <w:jc w:val="center"/>
        <w:textAlignment w:val="auto"/>
        <w:rPr>
          <w:rFonts w:hint="eastAsia" w:ascii="宋体" w:hAnsi="宋体" w:eastAsia="宋体" w:cs="宋体"/>
          <w:b/>
          <w:bCs/>
          <w:color w:val="0000FF"/>
          <w:sz w:val="24"/>
          <w:szCs w:val="24"/>
          <w:lang w:val="zh-CN"/>
        </w:rPr>
      </w:pPr>
      <w:r>
        <w:rPr>
          <w:rFonts w:hint="eastAsia" w:ascii="宋体" w:hAnsi="宋体" w:eastAsia="宋体" w:cs="宋体"/>
          <w:b/>
          <w:bCs/>
          <w:color w:val="0000FF"/>
          <w:sz w:val="24"/>
          <w:szCs w:val="24"/>
          <w:lang w:val="zh-CN"/>
        </w:rPr>
        <w:t>表</w:t>
      </w:r>
      <w:r>
        <w:rPr>
          <w:rFonts w:hint="eastAsia" w:ascii="宋体" w:hAnsi="宋体" w:eastAsia="宋体" w:cs="宋体"/>
          <w:b/>
          <w:bCs/>
          <w:color w:val="0000FF"/>
          <w:sz w:val="24"/>
          <w:szCs w:val="24"/>
        </w:rPr>
        <w:t>3-</w:t>
      </w:r>
      <w:r>
        <w:rPr>
          <w:rFonts w:hint="eastAsia" w:hAnsi="宋体" w:cs="宋体"/>
          <w:b/>
          <w:bCs/>
          <w:color w:val="0000FF"/>
          <w:sz w:val="24"/>
          <w:szCs w:val="24"/>
          <w:lang w:val="en-US" w:eastAsia="zh-CN"/>
        </w:rPr>
        <w:t>2</w:t>
      </w:r>
      <w:r>
        <w:rPr>
          <w:rFonts w:hint="eastAsia" w:ascii="宋体" w:hAnsi="宋体" w:eastAsia="宋体" w:cs="宋体"/>
          <w:b/>
          <w:bCs/>
          <w:color w:val="0000FF"/>
          <w:sz w:val="24"/>
          <w:szCs w:val="24"/>
        </w:rPr>
        <w:t xml:space="preserve"> </w:t>
      </w:r>
      <w:r>
        <w:rPr>
          <w:rFonts w:hint="eastAsia" w:ascii="宋体" w:hAnsi="宋体" w:eastAsia="宋体" w:cs="宋体"/>
          <w:b/>
          <w:bCs/>
          <w:color w:val="0000FF"/>
          <w:sz w:val="24"/>
          <w:szCs w:val="24"/>
          <w:lang w:val="en-US" w:eastAsia="zh-CN"/>
        </w:rPr>
        <w:t>柴油的</w:t>
      </w:r>
      <w:r>
        <w:rPr>
          <w:rFonts w:hint="eastAsia" w:ascii="宋体" w:hAnsi="宋体" w:eastAsia="宋体" w:cs="宋体"/>
          <w:b/>
          <w:bCs/>
          <w:color w:val="0000FF"/>
          <w:sz w:val="24"/>
          <w:szCs w:val="24"/>
          <w:lang w:val="zh-CN"/>
        </w:rPr>
        <w:t>理化特性表</w:t>
      </w:r>
    </w:p>
    <w:tbl>
      <w:tblPr>
        <w:tblStyle w:val="53"/>
        <w:tblW w:w="9096" w:type="dxa"/>
        <w:tblInd w:w="-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8"/>
        <w:gridCol w:w="1814"/>
        <w:gridCol w:w="1298"/>
        <w:gridCol w:w="870"/>
        <w:gridCol w:w="4536"/>
      </w:tblGrid>
      <w:tr w14:paraId="356D2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shd w:val="clear" w:color="auto" w:fill="auto"/>
            <w:vAlign w:val="center"/>
          </w:tcPr>
          <w:p w14:paraId="5B3ED4B6">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品名</w:t>
            </w:r>
          </w:p>
        </w:tc>
        <w:tc>
          <w:tcPr>
            <w:tcW w:w="0" w:type="auto"/>
            <w:gridSpan w:val="2"/>
            <w:shd w:val="clear" w:color="auto" w:fill="auto"/>
            <w:vAlign w:val="center"/>
          </w:tcPr>
          <w:p w14:paraId="437EAD79">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柴油</w:t>
            </w:r>
          </w:p>
        </w:tc>
        <w:tc>
          <w:tcPr>
            <w:tcW w:w="0" w:type="auto"/>
            <w:shd w:val="clear" w:color="auto" w:fill="auto"/>
            <w:vAlign w:val="center"/>
          </w:tcPr>
          <w:p w14:paraId="3D953A56">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别名</w:t>
            </w:r>
          </w:p>
        </w:tc>
        <w:tc>
          <w:tcPr>
            <w:tcW w:w="3064" w:type="dxa"/>
            <w:shd w:val="clear" w:color="auto" w:fill="auto"/>
            <w:vAlign w:val="center"/>
          </w:tcPr>
          <w:p w14:paraId="5F0A994B">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r>
      <w:tr w14:paraId="7E91D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restart"/>
            <w:shd w:val="clear" w:color="auto" w:fill="auto"/>
            <w:vAlign w:val="center"/>
          </w:tcPr>
          <w:p w14:paraId="7B882359">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理化</w:t>
            </w:r>
          </w:p>
          <w:p w14:paraId="08A44619">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性质</w:t>
            </w:r>
          </w:p>
        </w:tc>
        <w:tc>
          <w:tcPr>
            <w:tcW w:w="0" w:type="auto"/>
            <w:shd w:val="clear" w:color="auto" w:fill="auto"/>
            <w:vAlign w:val="center"/>
          </w:tcPr>
          <w:p w14:paraId="39995296">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闪点</w:t>
            </w:r>
          </w:p>
        </w:tc>
        <w:tc>
          <w:tcPr>
            <w:tcW w:w="0" w:type="auto"/>
            <w:shd w:val="clear" w:color="auto" w:fill="auto"/>
            <w:vAlign w:val="center"/>
          </w:tcPr>
          <w:p w14:paraId="4E5EDF37">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lang w:val="en-US" w:eastAsia="zh-CN"/>
                <w14:textFill>
                  <w14:solidFill>
                    <w14:schemeClr w14:val="tx1"/>
                  </w14:solidFill>
                </w14:textFill>
              </w:rPr>
              <w:t>60-90</w:t>
            </w:r>
            <w:r>
              <w:rPr>
                <w:rFonts w:hint="eastAsia" w:ascii="宋体" w:hAnsi="宋体" w:eastAsia="宋体" w:cs="宋体"/>
                <w:color w:val="000000" w:themeColor="text1"/>
                <w:spacing w:val="-12"/>
                <w:sz w:val="21"/>
                <w:szCs w:val="21"/>
                <w14:textFill>
                  <w14:solidFill>
                    <w14:schemeClr w14:val="tx1"/>
                  </w14:solidFill>
                </w14:textFill>
              </w:rPr>
              <w:t>℃</w:t>
            </w:r>
          </w:p>
        </w:tc>
        <w:tc>
          <w:tcPr>
            <w:tcW w:w="0" w:type="auto"/>
            <w:shd w:val="clear" w:color="auto" w:fill="auto"/>
            <w:vAlign w:val="center"/>
          </w:tcPr>
          <w:p w14:paraId="503BD3AF">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沸点</w:t>
            </w:r>
          </w:p>
        </w:tc>
        <w:tc>
          <w:tcPr>
            <w:tcW w:w="3064" w:type="dxa"/>
            <w:shd w:val="clear" w:color="auto" w:fill="auto"/>
            <w:vAlign w:val="center"/>
          </w:tcPr>
          <w:p w14:paraId="4CB7EED2">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1</w:t>
            </w:r>
            <w:r>
              <w:rPr>
                <w:rFonts w:hint="eastAsia" w:ascii="宋体" w:hAnsi="宋体" w:eastAsia="宋体" w:cs="宋体"/>
                <w:color w:val="000000" w:themeColor="text1"/>
                <w:spacing w:val="-12"/>
                <w:sz w:val="21"/>
                <w:szCs w:val="21"/>
                <w:lang w:val="en-US" w:eastAsia="zh-CN"/>
                <w14:textFill>
                  <w14:solidFill>
                    <w14:schemeClr w14:val="tx1"/>
                  </w14:solidFill>
                </w14:textFill>
              </w:rPr>
              <w:t>8</w:t>
            </w:r>
            <w:r>
              <w:rPr>
                <w:rFonts w:hint="eastAsia" w:ascii="宋体" w:hAnsi="宋体" w:eastAsia="宋体" w:cs="宋体"/>
                <w:color w:val="000000" w:themeColor="text1"/>
                <w:spacing w:val="-12"/>
                <w:sz w:val="21"/>
                <w:szCs w:val="21"/>
                <w14:textFill>
                  <w14:solidFill>
                    <w14:schemeClr w14:val="tx1"/>
                  </w14:solidFill>
                </w14:textFill>
              </w:rPr>
              <w:t>0-3</w:t>
            </w:r>
            <w:r>
              <w:rPr>
                <w:rFonts w:hint="eastAsia" w:ascii="宋体" w:hAnsi="宋体" w:eastAsia="宋体" w:cs="宋体"/>
                <w:color w:val="000000" w:themeColor="text1"/>
                <w:spacing w:val="-12"/>
                <w:sz w:val="21"/>
                <w:szCs w:val="21"/>
                <w:lang w:val="en-US" w:eastAsia="zh-CN"/>
                <w14:textFill>
                  <w14:solidFill>
                    <w14:schemeClr w14:val="tx1"/>
                  </w14:solidFill>
                </w14:textFill>
              </w:rPr>
              <w:t>6</w:t>
            </w:r>
            <w:r>
              <w:rPr>
                <w:rFonts w:hint="eastAsia" w:ascii="宋体" w:hAnsi="宋体" w:eastAsia="宋体" w:cs="宋体"/>
                <w:color w:val="000000" w:themeColor="text1"/>
                <w:spacing w:val="-12"/>
                <w:sz w:val="21"/>
                <w:szCs w:val="21"/>
                <w14:textFill>
                  <w14:solidFill>
                    <w14:schemeClr w14:val="tx1"/>
                  </w14:solidFill>
                </w14:textFill>
              </w:rPr>
              <w:t>0℃</w:t>
            </w:r>
          </w:p>
        </w:tc>
      </w:tr>
      <w:tr w14:paraId="1329E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continue"/>
            <w:shd w:val="clear" w:color="auto" w:fill="auto"/>
            <w:vAlign w:val="center"/>
          </w:tcPr>
          <w:p w14:paraId="2DB1D74E">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0" w:type="auto"/>
            <w:shd w:val="clear" w:color="auto" w:fill="auto"/>
            <w:vAlign w:val="center"/>
          </w:tcPr>
          <w:p w14:paraId="0E8636E5">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相对密度（水=1）</w:t>
            </w:r>
          </w:p>
        </w:tc>
        <w:tc>
          <w:tcPr>
            <w:tcW w:w="0" w:type="auto"/>
            <w:shd w:val="clear" w:color="auto" w:fill="auto"/>
            <w:vAlign w:val="center"/>
          </w:tcPr>
          <w:p w14:paraId="5A8AB6AF">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lang w:eastAsia="zh-CN"/>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0.8</w:t>
            </w:r>
            <w:r>
              <w:rPr>
                <w:rFonts w:hint="eastAsia" w:ascii="宋体" w:hAnsi="宋体" w:eastAsia="宋体" w:cs="宋体"/>
                <w:color w:val="000000" w:themeColor="text1"/>
                <w:spacing w:val="-12"/>
                <w:sz w:val="21"/>
                <w:szCs w:val="21"/>
                <w:lang w:val="en-US" w:eastAsia="zh-CN"/>
                <w14:textFill>
                  <w14:solidFill>
                    <w14:schemeClr w14:val="tx1"/>
                  </w14:solidFill>
                </w14:textFill>
              </w:rPr>
              <w:t>7</w:t>
            </w:r>
            <w:r>
              <w:rPr>
                <w:rFonts w:hint="eastAsia" w:ascii="宋体" w:hAnsi="宋体" w:eastAsia="宋体" w:cs="宋体"/>
                <w:color w:val="000000" w:themeColor="text1"/>
                <w:spacing w:val="-12"/>
                <w:sz w:val="21"/>
                <w:szCs w:val="21"/>
                <w14:textFill>
                  <w14:solidFill>
                    <w14:schemeClr w14:val="tx1"/>
                  </w14:solidFill>
                </w14:textFill>
              </w:rPr>
              <w:t>-0.</w:t>
            </w:r>
            <w:r>
              <w:rPr>
                <w:rFonts w:hint="eastAsia" w:ascii="宋体" w:hAnsi="宋体" w:eastAsia="宋体" w:cs="宋体"/>
                <w:color w:val="000000" w:themeColor="text1"/>
                <w:spacing w:val="-12"/>
                <w:sz w:val="21"/>
                <w:szCs w:val="21"/>
                <w:lang w:val="en-US" w:eastAsia="zh-CN"/>
                <w14:textFill>
                  <w14:solidFill>
                    <w14:schemeClr w14:val="tx1"/>
                  </w14:solidFill>
                </w14:textFill>
              </w:rPr>
              <w:t>9</w:t>
            </w:r>
          </w:p>
        </w:tc>
        <w:tc>
          <w:tcPr>
            <w:tcW w:w="0" w:type="auto"/>
            <w:shd w:val="clear" w:color="auto" w:fill="auto"/>
            <w:vAlign w:val="center"/>
          </w:tcPr>
          <w:p w14:paraId="4A7DC35D">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CAS号</w:t>
            </w:r>
          </w:p>
        </w:tc>
        <w:tc>
          <w:tcPr>
            <w:tcW w:w="3064" w:type="dxa"/>
            <w:shd w:val="clear" w:color="auto" w:fill="auto"/>
            <w:vAlign w:val="center"/>
          </w:tcPr>
          <w:p w14:paraId="0FFB87CC">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68334-30-5</w:t>
            </w:r>
          </w:p>
        </w:tc>
      </w:tr>
      <w:tr w14:paraId="5BCA7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continue"/>
            <w:shd w:val="clear" w:color="auto" w:fill="auto"/>
            <w:vAlign w:val="center"/>
          </w:tcPr>
          <w:p w14:paraId="11BB7DE5">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8518" w:type="dxa"/>
            <w:gridSpan w:val="4"/>
            <w:shd w:val="clear" w:color="auto" w:fill="auto"/>
            <w:vAlign w:val="center"/>
          </w:tcPr>
          <w:p w14:paraId="2C6BF3A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外观性状：稍有粘性的棕色液体。</w:t>
            </w:r>
          </w:p>
        </w:tc>
      </w:tr>
      <w:tr w14:paraId="0954B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continue"/>
            <w:shd w:val="clear" w:color="auto" w:fill="auto"/>
            <w:vAlign w:val="center"/>
          </w:tcPr>
          <w:p w14:paraId="41A1284C">
            <w:pPr>
              <w:keepNext w:val="0"/>
              <w:keepLines w:val="0"/>
              <w:pageBreakBefore w:val="0"/>
              <w:widowControl w:val="0"/>
              <w:kinsoku/>
              <w:wordWrap/>
              <w:overflowPunct/>
              <w:topLinePunct w:val="0"/>
              <w:autoSpaceDE w:val="0"/>
              <w:autoSpaceDN w:val="0"/>
              <w:bidi w:val="0"/>
              <w:adjustRightInd/>
              <w:snapToGrid/>
              <w:spacing w:line="300" w:lineRule="exact"/>
              <w:jc w:val="center"/>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8518" w:type="dxa"/>
            <w:gridSpan w:val="4"/>
            <w:shd w:val="clear" w:color="auto" w:fill="auto"/>
            <w:vAlign w:val="center"/>
          </w:tcPr>
          <w:p w14:paraId="45CCEFC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溶解性：不溶于水，溶于醇等溶剂。</w:t>
            </w:r>
          </w:p>
        </w:tc>
      </w:tr>
      <w:tr w14:paraId="44CC8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578" w:type="dxa"/>
            <w:shd w:val="clear" w:color="auto" w:fill="auto"/>
            <w:vAlign w:val="center"/>
          </w:tcPr>
          <w:p w14:paraId="3BB21DEB">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稳定</w:t>
            </w:r>
          </w:p>
          <w:p w14:paraId="64DD8544">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性和</w:t>
            </w:r>
          </w:p>
          <w:p w14:paraId="7CE82EBB">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危险</w:t>
            </w:r>
          </w:p>
          <w:p w14:paraId="1922B1BA">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性</w:t>
            </w:r>
          </w:p>
        </w:tc>
        <w:tc>
          <w:tcPr>
            <w:tcW w:w="8518" w:type="dxa"/>
            <w:gridSpan w:val="4"/>
            <w:shd w:val="clear" w:color="auto" w:fill="auto"/>
            <w:vAlign w:val="center"/>
          </w:tcPr>
          <w:p w14:paraId="3ECE5DC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稳定性：</w:t>
            </w:r>
            <w:r>
              <w:rPr>
                <w:rFonts w:hint="eastAsia" w:ascii="宋体" w:hAnsi="宋体" w:eastAsia="宋体" w:cs="宋体"/>
                <w:color w:val="000000" w:themeColor="text1"/>
                <w:spacing w:val="-12"/>
                <w:sz w:val="21"/>
                <w:szCs w:val="21"/>
                <w:lang w:eastAsia="zh-CN"/>
                <w14:textFill>
                  <w14:solidFill>
                    <w14:schemeClr w14:val="tx1"/>
                  </w14:solidFill>
                </w14:textFill>
              </w:rPr>
              <w:t>化学性质很</w:t>
            </w:r>
            <w:r>
              <w:rPr>
                <w:rFonts w:hint="eastAsia" w:ascii="宋体" w:hAnsi="宋体" w:eastAsia="宋体" w:cs="宋体"/>
                <w:color w:val="000000" w:themeColor="text1"/>
                <w:spacing w:val="-12"/>
                <w:sz w:val="21"/>
                <w:szCs w:val="21"/>
                <w14:textFill>
                  <w14:solidFill>
                    <w14:schemeClr w14:val="tx1"/>
                  </w14:solidFill>
                </w14:textFill>
              </w:rPr>
              <w:t>稳定。</w:t>
            </w:r>
          </w:p>
          <w:p w14:paraId="7FB927B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危险性：遇明火、高热或与氧化剂接触，有引起燃烧爆炸的危险。若遇高热，容器内压增大，有开裂和爆炸的危险。</w:t>
            </w:r>
          </w:p>
          <w:p w14:paraId="61AB37E8">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燃烧产物：一氧化碳、二氧化碳。</w:t>
            </w:r>
          </w:p>
        </w:tc>
      </w:tr>
      <w:tr w14:paraId="3C33D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578" w:type="dxa"/>
            <w:shd w:val="clear" w:color="auto" w:fill="auto"/>
            <w:vAlign w:val="center"/>
          </w:tcPr>
          <w:p w14:paraId="72739B28">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毒理</w:t>
            </w:r>
          </w:p>
          <w:p w14:paraId="30C18CB3">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学资</w:t>
            </w:r>
          </w:p>
          <w:p w14:paraId="07981AD1">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料</w:t>
            </w:r>
          </w:p>
        </w:tc>
        <w:tc>
          <w:tcPr>
            <w:tcW w:w="8518" w:type="dxa"/>
            <w:gridSpan w:val="4"/>
            <w:shd w:val="clear" w:color="auto" w:fill="auto"/>
            <w:vAlign w:val="center"/>
          </w:tcPr>
          <w:p w14:paraId="566A518A">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侵入途径：吸入、食入、皮肤吸收。</w:t>
            </w:r>
          </w:p>
          <w:p w14:paraId="5D5A1A5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健康：皮肤接触可为主要吸收途径，可致急性肾脏损害。柴油可引起接触性皮炎、油性痤疮。吸入其雾滴或液体呛入可引起吸入性肺炎。能经胎盘进入胎儿血中。柴油废气可引起眼、鼻刺激症状，头晕及头痛。</w:t>
            </w:r>
          </w:p>
        </w:tc>
      </w:tr>
      <w:tr w14:paraId="24013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restart"/>
            <w:shd w:val="clear" w:color="auto" w:fill="auto"/>
            <w:vAlign w:val="center"/>
          </w:tcPr>
          <w:p w14:paraId="71067132">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安全</w:t>
            </w:r>
          </w:p>
          <w:p w14:paraId="72509720">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防护</w:t>
            </w:r>
          </w:p>
          <w:p w14:paraId="14E9E80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措施</w:t>
            </w:r>
          </w:p>
        </w:tc>
        <w:tc>
          <w:tcPr>
            <w:tcW w:w="0" w:type="auto"/>
            <w:shd w:val="clear" w:color="auto" w:fill="auto"/>
            <w:vAlign w:val="center"/>
          </w:tcPr>
          <w:p w14:paraId="1D7FDEA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呼吸系统防护</w:t>
            </w:r>
          </w:p>
        </w:tc>
        <w:tc>
          <w:tcPr>
            <w:tcW w:w="6967" w:type="dxa"/>
            <w:gridSpan w:val="3"/>
            <w:shd w:val="clear" w:color="auto" w:fill="auto"/>
            <w:vAlign w:val="center"/>
          </w:tcPr>
          <w:p w14:paraId="0DD05D4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空气中浓度超标时，建议佩戴自吸过滤式防毒面具（半面罩）。紧急事态抢救或撤离时，应该佩戴空气呼吸器。</w:t>
            </w:r>
          </w:p>
        </w:tc>
      </w:tr>
      <w:tr w14:paraId="7C97E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continue"/>
            <w:shd w:val="clear" w:color="auto" w:fill="auto"/>
            <w:vAlign w:val="center"/>
          </w:tcPr>
          <w:p w14:paraId="754C77D4">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0" w:type="auto"/>
            <w:shd w:val="clear" w:color="auto" w:fill="auto"/>
            <w:vAlign w:val="center"/>
          </w:tcPr>
          <w:p w14:paraId="43B70591">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眼睛防护</w:t>
            </w:r>
          </w:p>
        </w:tc>
        <w:tc>
          <w:tcPr>
            <w:tcW w:w="6967" w:type="dxa"/>
            <w:gridSpan w:val="3"/>
            <w:shd w:val="clear" w:color="auto" w:fill="auto"/>
            <w:vAlign w:val="center"/>
          </w:tcPr>
          <w:p w14:paraId="212379FE">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戴化学安全防护眼镜。</w:t>
            </w:r>
          </w:p>
        </w:tc>
      </w:tr>
      <w:tr w14:paraId="26EF7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continue"/>
            <w:shd w:val="clear" w:color="auto" w:fill="auto"/>
            <w:vAlign w:val="center"/>
          </w:tcPr>
          <w:p w14:paraId="32E64B0F">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0" w:type="auto"/>
            <w:shd w:val="clear" w:color="auto" w:fill="auto"/>
            <w:vAlign w:val="center"/>
          </w:tcPr>
          <w:p w14:paraId="618C8300">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身体防护</w:t>
            </w:r>
          </w:p>
        </w:tc>
        <w:tc>
          <w:tcPr>
            <w:tcW w:w="6967" w:type="dxa"/>
            <w:gridSpan w:val="3"/>
            <w:shd w:val="clear" w:color="auto" w:fill="auto"/>
            <w:vAlign w:val="center"/>
          </w:tcPr>
          <w:p w14:paraId="4DB93CD8">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穿一般作业防护服。</w:t>
            </w:r>
          </w:p>
        </w:tc>
      </w:tr>
      <w:tr w14:paraId="24C5C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continue"/>
            <w:shd w:val="clear" w:color="auto" w:fill="auto"/>
            <w:vAlign w:val="center"/>
          </w:tcPr>
          <w:p w14:paraId="0EFEF21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0" w:type="auto"/>
            <w:shd w:val="clear" w:color="auto" w:fill="auto"/>
            <w:vAlign w:val="center"/>
          </w:tcPr>
          <w:p w14:paraId="3237015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手防护</w:t>
            </w:r>
          </w:p>
        </w:tc>
        <w:tc>
          <w:tcPr>
            <w:tcW w:w="6967" w:type="dxa"/>
            <w:gridSpan w:val="3"/>
            <w:shd w:val="clear" w:color="auto" w:fill="auto"/>
            <w:vAlign w:val="center"/>
          </w:tcPr>
          <w:p w14:paraId="0E365DF9">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戴橡胶耐油手套。</w:t>
            </w:r>
          </w:p>
        </w:tc>
      </w:tr>
      <w:tr w14:paraId="0250C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continue"/>
            <w:shd w:val="clear" w:color="auto" w:fill="auto"/>
            <w:vAlign w:val="center"/>
          </w:tcPr>
          <w:p w14:paraId="171FE97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0" w:type="auto"/>
            <w:shd w:val="clear" w:color="auto" w:fill="auto"/>
            <w:vAlign w:val="center"/>
          </w:tcPr>
          <w:p w14:paraId="6108F9D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其他</w:t>
            </w:r>
          </w:p>
        </w:tc>
        <w:tc>
          <w:tcPr>
            <w:tcW w:w="6967" w:type="dxa"/>
            <w:gridSpan w:val="3"/>
            <w:shd w:val="clear" w:color="auto" w:fill="auto"/>
            <w:vAlign w:val="center"/>
          </w:tcPr>
          <w:p w14:paraId="7AE138C1">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工作现场严禁吸烟。避免长期反复接触。</w:t>
            </w:r>
          </w:p>
        </w:tc>
      </w:tr>
      <w:tr w14:paraId="5B611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restart"/>
            <w:shd w:val="clear" w:color="auto" w:fill="auto"/>
            <w:vAlign w:val="center"/>
          </w:tcPr>
          <w:p w14:paraId="6F3DD261">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应急</w:t>
            </w:r>
          </w:p>
          <w:p w14:paraId="220705D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措施</w:t>
            </w:r>
          </w:p>
        </w:tc>
        <w:tc>
          <w:tcPr>
            <w:tcW w:w="0" w:type="auto"/>
            <w:shd w:val="clear" w:color="auto" w:fill="auto"/>
            <w:vAlign w:val="center"/>
          </w:tcPr>
          <w:p w14:paraId="1B984C0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急救措施</w:t>
            </w:r>
          </w:p>
        </w:tc>
        <w:tc>
          <w:tcPr>
            <w:tcW w:w="6967" w:type="dxa"/>
            <w:gridSpan w:val="3"/>
            <w:shd w:val="clear" w:color="auto" w:fill="auto"/>
            <w:vAlign w:val="center"/>
          </w:tcPr>
          <w:p w14:paraId="7DB3FEAF">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皮肤接触：立即脱去污染的衣着，用肥皂水和清水彻底冲洗皮肤。就医；</w:t>
            </w:r>
          </w:p>
          <w:p w14:paraId="1C8B2490">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眼睛接触：提起眼睑，用流动清水或生理盐水冲洗。就医；</w:t>
            </w:r>
          </w:p>
          <w:p w14:paraId="2AEA320C">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吸入：迅速脱离现场至空气新鲜处。保持呼吸道通畅。如呼吸困难，给输氧。如呼吸停止，立即进行人工呼吸。就医；</w:t>
            </w:r>
          </w:p>
          <w:p w14:paraId="7ED42B7B">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食入：尽快彻底洗胃。就医。</w:t>
            </w:r>
          </w:p>
        </w:tc>
      </w:tr>
      <w:tr w14:paraId="18164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continue"/>
            <w:shd w:val="clear" w:color="auto" w:fill="auto"/>
            <w:vAlign w:val="center"/>
          </w:tcPr>
          <w:p w14:paraId="69AA82D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0" w:type="auto"/>
            <w:shd w:val="clear" w:color="auto" w:fill="auto"/>
            <w:vAlign w:val="center"/>
          </w:tcPr>
          <w:p w14:paraId="67033EF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泄漏措施</w:t>
            </w:r>
          </w:p>
        </w:tc>
        <w:tc>
          <w:tcPr>
            <w:tcW w:w="6967" w:type="dxa"/>
            <w:gridSpan w:val="3"/>
            <w:shd w:val="clear" w:color="auto" w:fill="auto"/>
            <w:vAlign w:val="center"/>
          </w:tcPr>
          <w:p w14:paraId="08DDCBC6">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14:paraId="3C56D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78" w:type="dxa"/>
            <w:vMerge w:val="continue"/>
            <w:shd w:val="clear" w:color="auto" w:fill="auto"/>
            <w:vAlign w:val="center"/>
          </w:tcPr>
          <w:p w14:paraId="7DC03A77">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p>
        </w:tc>
        <w:tc>
          <w:tcPr>
            <w:tcW w:w="0" w:type="auto"/>
            <w:shd w:val="clear" w:color="auto" w:fill="auto"/>
            <w:vAlign w:val="center"/>
          </w:tcPr>
          <w:p w14:paraId="4B2AAD0E">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消防方法</w:t>
            </w:r>
          </w:p>
        </w:tc>
        <w:tc>
          <w:tcPr>
            <w:tcW w:w="6967" w:type="dxa"/>
            <w:gridSpan w:val="3"/>
            <w:shd w:val="clear" w:color="auto" w:fill="auto"/>
            <w:vAlign w:val="center"/>
          </w:tcPr>
          <w:p w14:paraId="044D79E3">
            <w:pPr>
              <w:keepNext w:val="0"/>
              <w:keepLines w:val="0"/>
              <w:pageBreakBefore w:val="0"/>
              <w:widowControl w:val="0"/>
              <w:kinsoku/>
              <w:wordWrap/>
              <w:overflowPunct/>
              <w:topLinePunct w:val="0"/>
              <w:autoSpaceDE w:val="0"/>
              <w:autoSpaceDN w:val="0"/>
              <w:bidi w:val="0"/>
              <w:adjustRightInd/>
              <w:snapToGrid/>
              <w:spacing w:line="300" w:lineRule="exact"/>
              <w:textAlignment w:val="auto"/>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雾状水、泡沫、干粉、二氧化碳、砂土。</w:t>
            </w:r>
          </w:p>
        </w:tc>
      </w:tr>
    </w:tbl>
    <w:p w14:paraId="3DA87F70">
      <w:pPr>
        <w:pStyle w:val="358"/>
        <w:keepNext/>
        <w:snapToGrid w:val="0"/>
        <w:spacing w:line="500" w:lineRule="exac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表3-</w:t>
      </w:r>
      <w:r>
        <w:rPr>
          <w:rFonts w:hint="eastAsia" w:hAnsi="宋体" w:cs="宋体"/>
          <w:color w:val="000000" w:themeColor="text1"/>
          <w:sz w:val="21"/>
          <w:szCs w:val="21"/>
          <w:lang w:val="en-US" w:eastAsia="zh-CN"/>
          <w14:textFill>
            <w14:solidFill>
              <w14:schemeClr w14:val="tx1"/>
            </w14:solidFill>
          </w14:textFill>
        </w:rPr>
        <w:t>3</w:t>
      </w:r>
      <w:r>
        <w:rPr>
          <w:rFonts w:hint="eastAsia" w:ascii="宋体" w:hAnsi="宋体" w:cs="宋体"/>
          <w:color w:val="000000" w:themeColor="text1"/>
          <w:sz w:val="21"/>
          <w:szCs w:val="21"/>
          <w14:textFill>
            <w14:solidFill>
              <w14:schemeClr w14:val="tx1"/>
            </w14:solidFill>
          </w14:textFill>
        </w:rPr>
        <w:t xml:space="preserve"> 乙炔的理化特性</w:t>
      </w:r>
    </w:p>
    <w:tbl>
      <w:tblPr>
        <w:tblStyle w:val="53"/>
        <w:tblW w:w="5300" w:type="pct"/>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autofit"/>
        <w:tblCellMar>
          <w:top w:w="0" w:type="dxa"/>
          <w:left w:w="108" w:type="dxa"/>
          <w:bottom w:w="0" w:type="dxa"/>
          <w:right w:w="108" w:type="dxa"/>
        </w:tblCellMar>
      </w:tblPr>
      <w:tblGrid>
        <w:gridCol w:w="560"/>
        <w:gridCol w:w="1054"/>
        <w:gridCol w:w="1109"/>
        <w:gridCol w:w="342"/>
        <w:gridCol w:w="425"/>
        <w:gridCol w:w="425"/>
        <w:gridCol w:w="435"/>
        <w:gridCol w:w="392"/>
        <w:gridCol w:w="562"/>
        <w:gridCol w:w="1276"/>
        <w:gridCol w:w="255"/>
        <w:gridCol w:w="490"/>
        <w:gridCol w:w="1918"/>
      </w:tblGrid>
      <w:tr w14:paraId="6A691EE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46" w:hRule="atLeast"/>
          <w:jc w:val="center"/>
        </w:trPr>
        <w:tc>
          <w:tcPr>
            <w:tcW w:w="303" w:type="pct"/>
            <w:vMerge w:val="restart"/>
            <w:tcBorders>
              <w:top w:val="single" w:color="auto" w:sz="6" w:space="0"/>
              <w:left w:val="single" w:color="auto" w:sz="6" w:space="0"/>
              <w:bottom w:val="single" w:color="auto" w:sz="6" w:space="0"/>
              <w:right w:val="single" w:color="auto" w:sz="6" w:space="0"/>
            </w:tcBorders>
            <w:vAlign w:val="center"/>
          </w:tcPr>
          <w:p w14:paraId="0103910E">
            <w:pPr>
              <w:keepNext/>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标识</w:t>
            </w:r>
          </w:p>
        </w:tc>
        <w:tc>
          <w:tcPr>
            <w:tcW w:w="3256" w:type="pct"/>
            <w:gridSpan w:val="9"/>
            <w:tcBorders>
              <w:top w:val="single" w:color="auto" w:sz="6" w:space="0"/>
              <w:left w:val="single" w:color="auto" w:sz="6" w:space="0"/>
              <w:bottom w:val="single" w:color="auto" w:sz="6" w:space="0"/>
              <w:right w:val="single" w:color="auto" w:sz="6" w:space="0"/>
            </w:tcBorders>
            <w:vAlign w:val="center"/>
          </w:tcPr>
          <w:p w14:paraId="0C2A5F12">
            <w:pPr>
              <w:keepNext/>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中文名：乙炔[溶于介质的]；电石气</w:t>
            </w:r>
          </w:p>
        </w:tc>
        <w:tc>
          <w:tcPr>
            <w:tcW w:w="1440" w:type="pct"/>
            <w:gridSpan w:val="3"/>
            <w:tcBorders>
              <w:top w:val="single" w:color="auto" w:sz="6" w:space="0"/>
              <w:left w:val="single" w:color="auto" w:sz="6" w:space="0"/>
              <w:bottom w:val="single" w:color="auto" w:sz="6" w:space="0"/>
              <w:right w:val="single" w:color="auto" w:sz="6" w:space="0"/>
            </w:tcBorders>
            <w:vAlign w:val="center"/>
          </w:tcPr>
          <w:p w14:paraId="654D844C">
            <w:pPr>
              <w:keepNext/>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危险货物编号：</w:t>
            </w:r>
            <w:r>
              <w:rPr>
                <w:rFonts w:hint="eastAsia" w:ascii="宋体" w:hAnsi="宋体" w:cs="宋体"/>
                <w:color w:val="000000" w:themeColor="text1"/>
                <w:sz w:val="21"/>
                <w:szCs w:val="21"/>
                <w14:textFill>
                  <w14:solidFill>
                    <w14:schemeClr w14:val="tx1"/>
                  </w14:solidFill>
                </w14:textFill>
              </w:rPr>
              <w:t>21024</w:t>
            </w:r>
          </w:p>
        </w:tc>
      </w:tr>
      <w:tr w14:paraId="0740F941">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46"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56F50C21">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3256" w:type="pct"/>
            <w:gridSpan w:val="9"/>
            <w:tcBorders>
              <w:top w:val="single" w:color="auto" w:sz="6" w:space="0"/>
              <w:left w:val="single" w:color="auto" w:sz="6" w:space="0"/>
              <w:bottom w:val="single" w:color="auto" w:sz="6" w:space="0"/>
              <w:right w:val="single" w:color="auto" w:sz="6" w:space="0"/>
            </w:tcBorders>
            <w:vAlign w:val="center"/>
          </w:tcPr>
          <w:p w14:paraId="1CC444B3">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英文名</w:t>
            </w:r>
            <w:r>
              <w:rPr>
                <w:rFonts w:hint="eastAsia" w:ascii="宋体" w:hAnsi="宋体" w:cs="宋体"/>
                <w:color w:val="000000" w:themeColor="text1"/>
                <w:spacing w:val="10"/>
                <w:sz w:val="21"/>
                <w:szCs w:val="21"/>
                <w:lang w:val="en-GB"/>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acetylene，dissolved</w:t>
            </w:r>
          </w:p>
        </w:tc>
        <w:tc>
          <w:tcPr>
            <w:tcW w:w="1440" w:type="pct"/>
            <w:gridSpan w:val="3"/>
            <w:tcBorders>
              <w:top w:val="single" w:color="auto" w:sz="6" w:space="0"/>
              <w:left w:val="single" w:color="auto" w:sz="6" w:space="0"/>
              <w:bottom w:val="single" w:color="auto" w:sz="6" w:space="0"/>
              <w:right w:val="single" w:color="auto" w:sz="6" w:space="0"/>
            </w:tcBorders>
            <w:vAlign w:val="center"/>
          </w:tcPr>
          <w:p w14:paraId="6972837D">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UN编号：1001</w:t>
            </w:r>
          </w:p>
        </w:tc>
      </w:tr>
      <w:tr w14:paraId="0B29F7C0">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3"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3433549C">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1170" w:type="pct"/>
            <w:gridSpan w:val="2"/>
            <w:tcBorders>
              <w:top w:val="single" w:color="auto" w:sz="6" w:space="0"/>
              <w:left w:val="single" w:color="auto" w:sz="6" w:space="0"/>
              <w:bottom w:val="single" w:color="auto" w:sz="6" w:space="0"/>
              <w:right w:val="single" w:color="auto" w:sz="6" w:space="0"/>
            </w:tcBorders>
            <w:vAlign w:val="center"/>
          </w:tcPr>
          <w:p w14:paraId="6D013760">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分子式：</w:t>
            </w:r>
            <w:r>
              <w:rPr>
                <w:rFonts w:hint="eastAsia" w:ascii="宋体" w:hAnsi="宋体" w:cs="宋体"/>
                <w:color w:val="000000" w:themeColor="text1"/>
                <w:sz w:val="21"/>
                <w:szCs w:val="21"/>
                <w14:textFill>
                  <w14:solidFill>
                    <w14:schemeClr w14:val="tx1"/>
                  </w14:solidFill>
                </w14:textFill>
              </w:rPr>
              <w:t>C</w:t>
            </w:r>
            <w:r>
              <w:rPr>
                <w:rFonts w:hint="eastAsia" w:ascii="宋体" w:hAnsi="宋体" w:cs="宋体"/>
                <w:color w:val="000000" w:themeColor="text1"/>
                <w:sz w:val="21"/>
                <w:szCs w:val="21"/>
                <w:vertAlign w:val="subscript"/>
                <w14:textFill>
                  <w14:solidFill>
                    <w14:schemeClr w14:val="tx1"/>
                  </w14:solidFill>
                </w14:textFill>
              </w:rPr>
              <w:t>2</w:t>
            </w:r>
            <w:r>
              <w:rPr>
                <w:rFonts w:hint="eastAsia" w:ascii="宋体" w:hAnsi="宋体" w:cs="宋体"/>
                <w:color w:val="000000" w:themeColor="text1"/>
                <w:sz w:val="21"/>
                <w:szCs w:val="21"/>
                <w14:textFill>
                  <w14:solidFill>
                    <w14:schemeClr w14:val="tx1"/>
                  </w14:solidFill>
                </w14:textFill>
              </w:rPr>
              <w:t>H</w:t>
            </w:r>
            <w:r>
              <w:rPr>
                <w:rFonts w:hint="eastAsia" w:ascii="宋体" w:hAnsi="宋体" w:cs="宋体"/>
                <w:color w:val="000000" w:themeColor="text1"/>
                <w:sz w:val="21"/>
                <w:szCs w:val="21"/>
                <w:vertAlign w:val="subscript"/>
                <w14:textFill>
                  <w14:solidFill>
                    <w14:schemeClr w14:val="tx1"/>
                  </w14:solidFill>
                </w14:textFill>
              </w:rPr>
              <w:t>2</w:t>
            </w:r>
          </w:p>
        </w:tc>
        <w:tc>
          <w:tcPr>
            <w:tcW w:w="2086" w:type="pct"/>
            <w:gridSpan w:val="7"/>
            <w:tcBorders>
              <w:top w:val="single" w:color="auto" w:sz="6" w:space="0"/>
              <w:left w:val="single" w:color="auto" w:sz="6" w:space="0"/>
              <w:bottom w:val="single" w:color="auto" w:sz="6" w:space="0"/>
              <w:right w:val="single" w:color="auto" w:sz="6" w:space="0"/>
            </w:tcBorders>
            <w:vAlign w:val="center"/>
          </w:tcPr>
          <w:p w14:paraId="49ADDA75">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分子量：26.04</w:t>
            </w:r>
          </w:p>
        </w:tc>
        <w:tc>
          <w:tcPr>
            <w:tcW w:w="1440" w:type="pct"/>
            <w:gridSpan w:val="3"/>
            <w:tcBorders>
              <w:top w:val="single" w:color="auto" w:sz="6" w:space="0"/>
              <w:left w:val="single" w:color="auto" w:sz="6" w:space="0"/>
              <w:bottom w:val="single" w:color="auto" w:sz="6" w:space="0"/>
              <w:right w:val="single" w:color="auto" w:sz="6" w:space="0"/>
            </w:tcBorders>
            <w:vAlign w:val="center"/>
          </w:tcPr>
          <w:p w14:paraId="3B23A6D3">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CAS号：74-86-2</w:t>
            </w:r>
          </w:p>
        </w:tc>
      </w:tr>
      <w:tr w14:paraId="50CE972B">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5" w:hRule="atLeast"/>
          <w:jc w:val="center"/>
        </w:trPr>
        <w:tc>
          <w:tcPr>
            <w:tcW w:w="303" w:type="pct"/>
            <w:vMerge w:val="restart"/>
            <w:tcBorders>
              <w:top w:val="single" w:color="auto" w:sz="6" w:space="0"/>
              <w:left w:val="single" w:color="auto" w:sz="6" w:space="0"/>
              <w:bottom w:val="single" w:color="auto" w:sz="6" w:space="0"/>
              <w:right w:val="single" w:color="auto" w:sz="6" w:space="0"/>
            </w:tcBorders>
            <w:vAlign w:val="center"/>
          </w:tcPr>
          <w:p w14:paraId="7E2A645C">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理化性质</w:t>
            </w:r>
          </w:p>
        </w:tc>
        <w:tc>
          <w:tcPr>
            <w:tcW w:w="570" w:type="pct"/>
            <w:tcBorders>
              <w:top w:val="single" w:color="auto" w:sz="6" w:space="0"/>
              <w:left w:val="single" w:color="auto" w:sz="6" w:space="0"/>
              <w:bottom w:val="single" w:color="auto" w:sz="6" w:space="0"/>
              <w:right w:val="single" w:color="auto" w:sz="6" w:space="0"/>
            </w:tcBorders>
            <w:vAlign w:val="center"/>
          </w:tcPr>
          <w:p w14:paraId="12426E18">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外观与性状</w:t>
            </w:r>
          </w:p>
        </w:tc>
        <w:tc>
          <w:tcPr>
            <w:tcW w:w="4126" w:type="pct"/>
            <w:gridSpan w:val="11"/>
            <w:tcBorders>
              <w:top w:val="single" w:color="auto" w:sz="6" w:space="0"/>
              <w:left w:val="single" w:color="auto" w:sz="6" w:space="0"/>
              <w:bottom w:val="single" w:color="auto" w:sz="6" w:space="0"/>
              <w:right w:val="single" w:color="auto" w:sz="6" w:space="0"/>
            </w:tcBorders>
            <w:vAlign w:val="center"/>
          </w:tcPr>
          <w:p w14:paraId="64FAA2A1">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无色无臭气体，工业品有使人不愉快的大蒜气味</w:t>
            </w:r>
            <w:r>
              <w:rPr>
                <w:rFonts w:hint="eastAsia" w:ascii="宋体" w:hAnsi="宋体" w:cs="宋体"/>
                <w:color w:val="000000" w:themeColor="text1"/>
                <w:spacing w:val="10"/>
                <w:sz w:val="21"/>
                <w:szCs w:val="21"/>
                <w14:textFill>
                  <w14:solidFill>
                    <w14:schemeClr w14:val="tx1"/>
                  </w14:solidFill>
                </w14:textFill>
              </w:rPr>
              <w:t>。</w:t>
            </w:r>
          </w:p>
        </w:tc>
      </w:tr>
      <w:tr w14:paraId="7BBB1C82">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54"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7AF0567C">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0350EE06">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熔点（℃）</w:t>
            </w:r>
          </w:p>
        </w:tc>
        <w:tc>
          <w:tcPr>
            <w:tcW w:w="600" w:type="pct"/>
            <w:tcBorders>
              <w:top w:val="single" w:color="auto" w:sz="6" w:space="0"/>
              <w:left w:val="single" w:color="auto" w:sz="6" w:space="0"/>
              <w:bottom w:val="single" w:color="auto" w:sz="6" w:space="0"/>
              <w:right w:val="single" w:color="auto" w:sz="6" w:space="0"/>
            </w:tcBorders>
            <w:vAlign w:val="center"/>
          </w:tcPr>
          <w:p w14:paraId="544E5151">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-81.8</w:t>
            </w:r>
          </w:p>
        </w:tc>
        <w:tc>
          <w:tcPr>
            <w:tcW w:w="645" w:type="pct"/>
            <w:gridSpan w:val="3"/>
            <w:tcBorders>
              <w:top w:val="single" w:color="auto" w:sz="6" w:space="0"/>
              <w:left w:val="single" w:color="auto" w:sz="6" w:space="0"/>
              <w:bottom w:val="single" w:color="auto" w:sz="6" w:space="0"/>
              <w:right w:val="single" w:color="auto" w:sz="6" w:space="0"/>
            </w:tcBorders>
            <w:vAlign w:val="center"/>
          </w:tcPr>
          <w:p w14:paraId="389DC301">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相对密度(水=1)</w:t>
            </w:r>
          </w:p>
        </w:tc>
        <w:tc>
          <w:tcPr>
            <w:tcW w:w="446" w:type="pct"/>
            <w:gridSpan w:val="2"/>
            <w:tcBorders>
              <w:top w:val="single" w:color="auto" w:sz="6" w:space="0"/>
              <w:left w:val="single" w:color="auto" w:sz="6" w:space="0"/>
              <w:bottom w:val="single" w:color="auto" w:sz="6" w:space="0"/>
              <w:right w:val="single" w:color="auto" w:sz="6" w:space="0"/>
            </w:tcBorders>
            <w:vAlign w:val="center"/>
          </w:tcPr>
          <w:p w14:paraId="184A8B51">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0.62</w:t>
            </w:r>
          </w:p>
        </w:tc>
        <w:tc>
          <w:tcPr>
            <w:tcW w:w="1396" w:type="pct"/>
            <w:gridSpan w:val="4"/>
            <w:tcBorders>
              <w:top w:val="single" w:color="auto" w:sz="6" w:space="0"/>
              <w:left w:val="single" w:color="auto" w:sz="6" w:space="0"/>
              <w:bottom w:val="single" w:color="auto" w:sz="6" w:space="0"/>
              <w:right w:val="single" w:color="auto" w:sz="6" w:space="0"/>
            </w:tcBorders>
            <w:vAlign w:val="center"/>
          </w:tcPr>
          <w:p w14:paraId="0C709AB2">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相对密度(空气=1)</w:t>
            </w:r>
          </w:p>
        </w:tc>
        <w:tc>
          <w:tcPr>
            <w:tcW w:w="1036" w:type="pct"/>
            <w:tcBorders>
              <w:top w:val="single" w:color="auto" w:sz="6" w:space="0"/>
              <w:left w:val="single" w:color="auto" w:sz="6" w:space="0"/>
              <w:bottom w:val="single" w:color="auto" w:sz="6" w:space="0"/>
              <w:right w:val="single" w:color="auto" w:sz="6" w:space="0"/>
            </w:tcBorders>
            <w:vAlign w:val="center"/>
          </w:tcPr>
          <w:p w14:paraId="5977AD6F">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0.91</w:t>
            </w:r>
          </w:p>
        </w:tc>
      </w:tr>
      <w:tr w14:paraId="6F01BEF6">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60"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72F8EBC1">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76CF204D">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沸点（℃）</w:t>
            </w:r>
          </w:p>
        </w:tc>
        <w:tc>
          <w:tcPr>
            <w:tcW w:w="600" w:type="pct"/>
            <w:tcBorders>
              <w:top w:val="single" w:color="auto" w:sz="6" w:space="0"/>
              <w:left w:val="single" w:color="auto" w:sz="6" w:space="0"/>
              <w:bottom w:val="single" w:color="auto" w:sz="6" w:space="0"/>
              <w:right w:val="single" w:color="auto" w:sz="6" w:space="0"/>
            </w:tcBorders>
            <w:vAlign w:val="center"/>
          </w:tcPr>
          <w:p w14:paraId="026F0848">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-83.8</w:t>
            </w:r>
          </w:p>
        </w:tc>
        <w:tc>
          <w:tcPr>
            <w:tcW w:w="1092" w:type="pct"/>
            <w:gridSpan w:val="5"/>
            <w:tcBorders>
              <w:top w:val="single" w:color="auto" w:sz="6" w:space="0"/>
              <w:left w:val="single" w:color="auto" w:sz="6" w:space="0"/>
              <w:bottom w:val="single" w:color="auto" w:sz="6" w:space="0"/>
              <w:right w:val="single" w:color="auto" w:sz="6" w:space="0"/>
            </w:tcBorders>
            <w:vAlign w:val="center"/>
          </w:tcPr>
          <w:p w14:paraId="589D473E">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饱和蒸气压（kPa）</w:t>
            </w:r>
          </w:p>
        </w:tc>
        <w:tc>
          <w:tcPr>
            <w:tcW w:w="2433" w:type="pct"/>
            <w:gridSpan w:val="5"/>
            <w:tcBorders>
              <w:top w:val="single" w:color="auto" w:sz="6" w:space="0"/>
              <w:left w:val="single" w:color="auto" w:sz="6" w:space="0"/>
              <w:bottom w:val="single" w:color="auto" w:sz="6" w:space="0"/>
              <w:right w:val="single" w:color="auto" w:sz="6" w:space="0"/>
            </w:tcBorders>
            <w:vAlign w:val="center"/>
          </w:tcPr>
          <w:p w14:paraId="4713C538">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4053/16.8℃</w:t>
            </w:r>
          </w:p>
        </w:tc>
      </w:tr>
      <w:tr w14:paraId="16CEEEAE">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78"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674B3EB1">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03D064D9">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溶解性</w:t>
            </w:r>
          </w:p>
        </w:tc>
        <w:tc>
          <w:tcPr>
            <w:tcW w:w="1995" w:type="pct"/>
            <w:gridSpan w:val="7"/>
            <w:tcBorders>
              <w:top w:val="single" w:color="auto" w:sz="6" w:space="0"/>
              <w:left w:val="single" w:color="auto" w:sz="6" w:space="0"/>
              <w:bottom w:val="single" w:color="auto" w:sz="6" w:space="0"/>
              <w:right w:val="single" w:color="auto" w:sz="6" w:space="0"/>
            </w:tcBorders>
            <w:vAlign w:val="center"/>
          </w:tcPr>
          <w:p w14:paraId="259BAA14">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微溶于水、乙醇，溶于丙酮、氯仿、苯。</w:t>
            </w:r>
          </w:p>
        </w:tc>
        <w:tc>
          <w:tcPr>
            <w:tcW w:w="828" w:type="pct"/>
            <w:gridSpan w:val="2"/>
            <w:tcBorders>
              <w:top w:val="single" w:color="auto" w:sz="6" w:space="0"/>
              <w:left w:val="single" w:color="auto" w:sz="6" w:space="0"/>
              <w:bottom w:val="single" w:color="auto" w:sz="6" w:space="0"/>
              <w:right w:val="single" w:color="auto" w:sz="6" w:space="0"/>
            </w:tcBorders>
            <w:vAlign w:val="center"/>
          </w:tcPr>
          <w:p w14:paraId="0DDB9DC8">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临界温度（℃）</w:t>
            </w:r>
          </w:p>
        </w:tc>
        <w:tc>
          <w:tcPr>
            <w:tcW w:w="1301" w:type="pct"/>
            <w:gridSpan w:val="2"/>
            <w:tcBorders>
              <w:top w:val="single" w:color="auto" w:sz="6" w:space="0"/>
              <w:left w:val="single" w:color="auto" w:sz="6" w:space="0"/>
              <w:bottom w:val="single" w:color="auto" w:sz="6" w:space="0"/>
              <w:right w:val="single" w:color="auto" w:sz="6" w:space="0"/>
            </w:tcBorders>
            <w:vAlign w:val="center"/>
          </w:tcPr>
          <w:p w14:paraId="709B2009">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35.2</w:t>
            </w:r>
          </w:p>
        </w:tc>
      </w:tr>
      <w:tr w14:paraId="15D05CC0">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01" w:hRule="atLeast"/>
          <w:jc w:val="center"/>
        </w:trPr>
        <w:tc>
          <w:tcPr>
            <w:tcW w:w="303" w:type="pct"/>
            <w:vMerge w:val="restart"/>
            <w:tcBorders>
              <w:top w:val="single" w:color="auto" w:sz="6" w:space="0"/>
              <w:left w:val="single" w:color="auto" w:sz="6" w:space="0"/>
              <w:bottom w:val="single" w:color="auto" w:sz="6" w:space="0"/>
              <w:right w:val="single" w:color="auto" w:sz="6" w:space="0"/>
            </w:tcBorders>
            <w:vAlign w:val="center"/>
          </w:tcPr>
          <w:p w14:paraId="61C115BC">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毒性及健康危害</w:t>
            </w:r>
          </w:p>
        </w:tc>
        <w:tc>
          <w:tcPr>
            <w:tcW w:w="570" w:type="pct"/>
            <w:tcBorders>
              <w:top w:val="single" w:color="auto" w:sz="6" w:space="0"/>
              <w:left w:val="single" w:color="auto" w:sz="6" w:space="0"/>
              <w:right w:val="single" w:color="auto" w:sz="6" w:space="0"/>
            </w:tcBorders>
            <w:vAlign w:val="center"/>
          </w:tcPr>
          <w:p w14:paraId="79ABC5F5">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侵入途径</w:t>
            </w:r>
          </w:p>
        </w:tc>
        <w:tc>
          <w:tcPr>
            <w:tcW w:w="4126" w:type="pct"/>
            <w:gridSpan w:val="11"/>
            <w:tcBorders>
              <w:top w:val="single" w:color="auto" w:sz="6" w:space="0"/>
              <w:left w:val="single" w:color="auto" w:sz="6" w:space="0"/>
              <w:right w:val="single" w:color="auto" w:sz="4" w:space="0"/>
            </w:tcBorders>
            <w:vAlign w:val="center"/>
          </w:tcPr>
          <w:p w14:paraId="5A454E4D">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吸入。</w:t>
            </w:r>
          </w:p>
        </w:tc>
      </w:tr>
      <w:tr w14:paraId="376ECB8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69"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3684F8FE">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1E1223BC">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毒性</w:t>
            </w:r>
          </w:p>
        </w:tc>
        <w:tc>
          <w:tcPr>
            <w:tcW w:w="4126" w:type="pct"/>
            <w:gridSpan w:val="11"/>
            <w:tcBorders>
              <w:top w:val="single" w:color="auto" w:sz="6" w:space="0"/>
              <w:left w:val="single" w:color="auto" w:sz="6" w:space="0"/>
              <w:bottom w:val="single" w:color="auto" w:sz="6" w:space="0"/>
              <w:right w:val="single" w:color="auto" w:sz="6" w:space="0"/>
            </w:tcBorders>
            <w:vAlign w:val="center"/>
          </w:tcPr>
          <w:p w14:paraId="7679AE4D">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LD</w:t>
            </w:r>
            <w:r>
              <w:rPr>
                <w:rFonts w:hint="eastAsia" w:ascii="宋体" w:hAnsi="宋体" w:cs="宋体"/>
                <w:color w:val="000000" w:themeColor="text1"/>
                <w:spacing w:val="10"/>
                <w:sz w:val="21"/>
                <w:szCs w:val="21"/>
                <w:vertAlign w:val="subscript"/>
                <w14:textFill>
                  <w14:solidFill>
                    <w14:schemeClr w14:val="tx1"/>
                  </w14:solidFill>
                </w14:textFill>
              </w:rPr>
              <w:t>50</w:t>
            </w:r>
            <w:r>
              <w:rPr>
                <w:rFonts w:hint="eastAsia" w:ascii="宋体" w:hAnsi="宋体" w:cs="宋体"/>
                <w:color w:val="000000" w:themeColor="text1"/>
                <w:spacing w:val="10"/>
                <w:sz w:val="21"/>
                <w:szCs w:val="21"/>
                <w14:textFill>
                  <w14:solidFill>
                    <w14:schemeClr w14:val="tx1"/>
                  </w14:solidFill>
                </w14:textFill>
              </w:rPr>
              <w:t>：                       LC</w:t>
            </w:r>
            <w:r>
              <w:rPr>
                <w:rFonts w:hint="eastAsia" w:ascii="宋体" w:hAnsi="宋体" w:cs="宋体"/>
                <w:color w:val="000000" w:themeColor="text1"/>
                <w:spacing w:val="10"/>
                <w:sz w:val="21"/>
                <w:szCs w:val="21"/>
                <w:vertAlign w:val="subscript"/>
                <w14:textFill>
                  <w14:solidFill>
                    <w14:schemeClr w14:val="tx1"/>
                  </w14:solidFill>
                </w14:textFill>
              </w:rPr>
              <w:t>50</w:t>
            </w:r>
            <w:r>
              <w:rPr>
                <w:rFonts w:hint="eastAsia" w:ascii="宋体" w:hAnsi="宋体" w:cs="宋体"/>
                <w:color w:val="000000" w:themeColor="text1"/>
                <w:spacing w:val="10"/>
                <w:sz w:val="21"/>
                <w:szCs w:val="21"/>
                <w14:textFill>
                  <w14:solidFill>
                    <w14:schemeClr w14:val="tx1"/>
                  </w14:solidFill>
                </w14:textFill>
              </w:rPr>
              <w:t>：</w:t>
            </w:r>
          </w:p>
        </w:tc>
      </w:tr>
      <w:tr w14:paraId="020FE5C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588"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6D4AC2B7">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4" w:space="0"/>
              <w:right w:val="single" w:color="auto" w:sz="6" w:space="0"/>
            </w:tcBorders>
            <w:vAlign w:val="center"/>
          </w:tcPr>
          <w:p w14:paraId="6399B533">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健康危害</w:t>
            </w:r>
          </w:p>
        </w:tc>
        <w:tc>
          <w:tcPr>
            <w:tcW w:w="4126" w:type="pct"/>
            <w:gridSpan w:val="11"/>
            <w:tcBorders>
              <w:top w:val="single" w:color="auto" w:sz="6" w:space="0"/>
              <w:left w:val="single" w:color="auto" w:sz="6" w:space="0"/>
              <w:bottom w:val="single" w:color="auto" w:sz="4" w:space="0"/>
              <w:right w:val="single" w:color="auto" w:sz="6" w:space="0"/>
            </w:tcBorders>
            <w:vAlign w:val="center"/>
          </w:tcPr>
          <w:p w14:paraId="173CB9F8">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具有弱麻醉作用。</w:t>
            </w:r>
            <w:r>
              <w:rPr>
                <w:rFonts w:hint="eastAsia" w:ascii="宋体" w:hAnsi="宋体" w:cs="宋体"/>
                <w:b/>
                <w:color w:val="000000" w:themeColor="text1"/>
                <w:sz w:val="21"/>
                <w:szCs w:val="21"/>
                <w14:textFill>
                  <w14:solidFill>
                    <w14:schemeClr w14:val="tx1"/>
                  </w14:solidFill>
                </w14:textFill>
              </w:rPr>
              <w:t>急性中毒：</w:t>
            </w:r>
            <w:r>
              <w:rPr>
                <w:rFonts w:hint="eastAsia" w:ascii="宋体" w:hAnsi="宋体" w:cs="宋体"/>
                <w:color w:val="000000" w:themeColor="text1"/>
                <w:sz w:val="21"/>
                <w:szCs w:val="21"/>
                <w14:textFill>
                  <w14:solidFill>
                    <w14:schemeClr w14:val="tx1"/>
                  </w14:solidFill>
                </w14:textFill>
              </w:rPr>
              <w:t>接触10～20%乙炔，工人可引起不同程度的缺氧症状；吸入高浓度乙炔，初期兴奋、多语、哭笑不安，后眩晕、头痛、恶心和呕吐，共济失调、嗜睡；严重者昏迷、紫绀、瞳孔对光反应消失、脉弱而不齐。停止吸入，症状可迅速消失。</w:t>
            </w:r>
            <w:r>
              <w:rPr>
                <w:rFonts w:hint="eastAsia" w:ascii="宋体" w:hAnsi="宋体" w:cs="宋体"/>
                <w:b/>
                <w:color w:val="000000" w:themeColor="text1"/>
                <w:sz w:val="21"/>
                <w:szCs w:val="21"/>
                <w14:textFill>
                  <w14:solidFill>
                    <w14:schemeClr w14:val="tx1"/>
                  </w14:solidFill>
                </w14:textFill>
              </w:rPr>
              <w:t>慢性中毒：</w:t>
            </w:r>
            <w:r>
              <w:rPr>
                <w:rFonts w:hint="eastAsia" w:ascii="宋体" w:hAnsi="宋体" w:cs="宋体"/>
                <w:color w:val="000000" w:themeColor="text1"/>
                <w:sz w:val="21"/>
                <w:szCs w:val="21"/>
                <w14:textFill>
                  <w14:solidFill>
                    <w14:schemeClr w14:val="tx1"/>
                  </w14:solidFill>
                </w14:textFill>
              </w:rPr>
              <w:t>目前未见有慢性中毒报告。有时可能有混合气体中毒的问题，如磷化氢，应予注意。</w:t>
            </w:r>
          </w:p>
        </w:tc>
      </w:tr>
      <w:tr w14:paraId="42ED798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590"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6B7F22D0">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4" w:space="0"/>
              <w:left w:val="single" w:color="auto" w:sz="6" w:space="0"/>
              <w:bottom w:val="single" w:color="auto" w:sz="6" w:space="0"/>
              <w:right w:val="single" w:color="auto" w:sz="6" w:space="0"/>
            </w:tcBorders>
            <w:vAlign w:val="center"/>
          </w:tcPr>
          <w:p w14:paraId="2F9F72D9">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急救方法</w:t>
            </w:r>
          </w:p>
        </w:tc>
        <w:tc>
          <w:tcPr>
            <w:tcW w:w="4126" w:type="pct"/>
            <w:gridSpan w:val="11"/>
            <w:tcBorders>
              <w:top w:val="single" w:color="auto" w:sz="4" w:space="0"/>
              <w:left w:val="single" w:color="auto" w:sz="6" w:space="0"/>
              <w:bottom w:val="single" w:color="auto" w:sz="6" w:space="0"/>
              <w:right w:val="single" w:color="auto" w:sz="6" w:space="0"/>
            </w:tcBorders>
            <w:vAlign w:val="center"/>
          </w:tcPr>
          <w:p w14:paraId="7B57E794">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吸入：迅速脱离现场至空气新鲜处。保持呼吸道通畅。如呼吸困难，给输氧。如呼吸停止，立即进行人工呼吸，就医。</w:t>
            </w:r>
          </w:p>
        </w:tc>
      </w:tr>
      <w:tr w14:paraId="16F0A5EA">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20" w:hRule="atLeast"/>
          <w:jc w:val="center"/>
        </w:trPr>
        <w:tc>
          <w:tcPr>
            <w:tcW w:w="303" w:type="pct"/>
            <w:vMerge w:val="restart"/>
            <w:tcBorders>
              <w:top w:val="single" w:color="auto" w:sz="6" w:space="0"/>
              <w:left w:val="single" w:color="auto" w:sz="6" w:space="0"/>
              <w:bottom w:val="single" w:color="auto" w:sz="6" w:space="0"/>
              <w:right w:val="single" w:color="auto" w:sz="6" w:space="0"/>
            </w:tcBorders>
            <w:vAlign w:val="center"/>
          </w:tcPr>
          <w:p w14:paraId="6B65915A">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燃烧爆炸危险性</w:t>
            </w:r>
          </w:p>
        </w:tc>
        <w:tc>
          <w:tcPr>
            <w:tcW w:w="570" w:type="pct"/>
            <w:tcBorders>
              <w:top w:val="single" w:color="auto" w:sz="6" w:space="0"/>
              <w:left w:val="single" w:color="auto" w:sz="6" w:space="0"/>
              <w:bottom w:val="single" w:color="auto" w:sz="6" w:space="0"/>
              <w:right w:val="single" w:color="auto" w:sz="6" w:space="0"/>
            </w:tcBorders>
            <w:vAlign w:val="center"/>
          </w:tcPr>
          <w:p w14:paraId="05F479C2">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燃烧性</w:t>
            </w:r>
          </w:p>
        </w:tc>
        <w:tc>
          <w:tcPr>
            <w:tcW w:w="785" w:type="pct"/>
            <w:gridSpan w:val="2"/>
            <w:tcBorders>
              <w:top w:val="single" w:color="auto" w:sz="6" w:space="0"/>
              <w:left w:val="single" w:color="auto" w:sz="6" w:space="0"/>
              <w:bottom w:val="single" w:color="auto" w:sz="6" w:space="0"/>
              <w:right w:val="single" w:color="auto" w:sz="6" w:space="0"/>
            </w:tcBorders>
            <w:vAlign w:val="center"/>
          </w:tcPr>
          <w:p w14:paraId="7FAB6C3A">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易燃</w:t>
            </w:r>
          </w:p>
        </w:tc>
        <w:tc>
          <w:tcPr>
            <w:tcW w:w="695" w:type="pct"/>
            <w:gridSpan w:val="3"/>
            <w:tcBorders>
              <w:top w:val="single" w:color="auto" w:sz="6" w:space="0"/>
              <w:left w:val="single" w:color="auto" w:sz="6" w:space="0"/>
              <w:bottom w:val="single" w:color="auto" w:sz="6" w:space="0"/>
              <w:right w:val="single" w:color="auto" w:sz="6" w:space="0"/>
            </w:tcBorders>
            <w:vAlign w:val="center"/>
          </w:tcPr>
          <w:p w14:paraId="1CBB936E">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燃烧分解物</w:t>
            </w:r>
          </w:p>
        </w:tc>
        <w:tc>
          <w:tcPr>
            <w:tcW w:w="2645" w:type="pct"/>
            <w:gridSpan w:val="6"/>
            <w:tcBorders>
              <w:top w:val="single" w:color="auto" w:sz="6" w:space="0"/>
              <w:left w:val="single" w:color="auto" w:sz="6" w:space="0"/>
              <w:bottom w:val="single" w:color="auto" w:sz="6" w:space="0"/>
              <w:right w:val="single" w:color="auto" w:sz="6" w:space="0"/>
            </w:tcBorders>
            <w:vAlign w:val="center"/>
          </w:tcPr>
          <w:p w14:paraId="10C05D15">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一氧化碳、二氧化碳。</w:t>
            </w:r>
          </w:p>
        </w:tc>
      </w:tr>
      <w:tr w14:paraId="76D9DA6C">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40"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6BE75EED">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1A89D649">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闪点(℃)</w:t>
            </w:r>
          </w:p>
        </w:tc>
        <w:tc>
          <w:tcPr>
            <w:tcW w:w="785" w:type="pct"/>
            <w:gridSpan w:val="2"/>
            <w:tcBorders>
              <w:top w:val="single" w:color="auto" w:sz="6" w:space="0"/>
              <w:left w:val="single" w:color="auto" w:sz="6" w:space="0"/>
              <w:bottom w:val="single" w:color="auto" w:sz="6" w:space="0"/>
              <w:right w:val="single" w:color="auto" w:sz="6" w:space="0"/>
            </w:tcBorders>
            <w:vAlign w:val="center"/>
          </w:tcPr>
          <w:p w14:paraId="3EC7C635">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-32</w:t>
            </w:r>
          </w:p>
        </w:tc>
        <w:tc>
          <w:tcPr>
            <w:tcW w:w="695" w:type="pct"/>
            <w:gridSpan w:val="3"/>
            <w:tcBorders>
              <w:top w:val="single" w:color="auto" w:sz="6" w:space="0"/>
              <w:left w:val="single" w:color="auto" w:sz="6" w:space="0"/>
              <w:bottom w:val="single" w:color="auto" w:sz="6" w:space="0"/>
              <w:right w:val="single" w:color="auto" w:sz="6" w:space="0"/>
            </w:tcBorders>
            <w:vAlign w:val="center"/>
          </w:tcPr>
          <w:p w14:paraId="28274BE0">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爆炸上限（v%）</w:t>
            </w:r>
          </w:p>
        </w:tc>
        <w:tc>
          <w:tcPr>
            <w:tcW w:w="2645" w:type="pct"/>
            <w:gridSpan w:val="6"/>
            <w:tcBorders>
              <w:top w:val="single" w:color="auto" w:sz="6" w:space="0"/>
              <w:left w:val="single" w:color="auto" w:sz="6" w:space="0"/>
              <w:bottom w:val="single" w:color="auto" w:sz="6" w:space="0"/>
              <w:right w:val="single" w:color="auto" w:sz="6" w:space="0"/>
            </w:tcBorders>
            <w:vAlign w:val="center"/>
          </w:tcPr>
          <w:p w14:paraId="2ED96067">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80.0</w:t>
            </w:r>
          </w:p>
        </w:tc>
      </w:tr>
      <w:tr w14:paraId="674C87C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45"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6A6323FE">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224103C3">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引燃温度(℃)</w:t>
            </w:r>
          </w:p>
        </w:tc>
        <w:tc>
          <w:tcPr>
            <w:tcW w:w="785" w:type="pct"/>
            <w:gridSpan w:val="2"/>
            <w:tcBorders>
              <w:top w:val="single" w:color="auto" w:sz="6" w:space="0"/>
              <w:left w:val="single" w:color="auto" w:sz="6" w:space="0"/>
              <w:bottom w:val="single" w:color="auto" w:sz="6" w:space="0"/>
              <w:right w:val="single" w:color="auto" w:sz="6" w:space="0"/>
            </w:tcBorders>
            <w:vAlign w:val="center"/>
          </w:tcPr>
          <w:p w14:paraId="148DA867">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305</w:t>
            </w:r>
          </w:p>
        </w:tc>
        <w:tc>
          <w:tcPr>
            <w:tcW w:w="695" w:type="pct"/>
            <w:gridSpan w:val="3"/>
            <w:tcBorders>
              <w:top w:val="single" w:color="auto" w:sz="6" w:space="0"/>
              <w:left w:val="single" w:color="auto" w:sz="6" w:space="0"/>
              <w:bottom w:val="single" w:color="auto" w:sz="6" w:space="0"/>
              <w:right w:val="single" w:color="auto" w:sz="6" w:space="0"/>
            </w:tcBorders>
            <w:vAlign w:val="center"/>
          </w:tcPr>
          <w:p w14:paraId="5AF8B605">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爆炸下限（v%）</w:t>
            </w:r>
          </w:p>
        </w:tc>
        <w:tc>
          <w:tcPr>
            <w:tcW w:w="2645" w:type="pct"/>
            <w:gridSpan w:val="6"/>
            <w:tcBorders>
              <w:top w:val="single" w:color="auto" w:sz="6" w:space="0"/>
              <w:left w:val="single" w:color="auto" w:sz="6" w:space="0"/>
              <w:bottom w:val="single" w:color="auto" w:sz="6" w:space="0"/>
              <w:right w:val="single" w:color="auto" w:sz="6" w:space="0"/>
            </w:tcBorders>
            <w:vAlign w:val="center"/>
          </w:tcPr>
          <w:p w14:paraId="680CA708">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2.1</w:t>
            </w:r>
          </w:p>
        </w:tc>
      </w:tr>
      <w:tr w14:paraId="5341C633">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850"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28E0F11C">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1AC4695B">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危险特性</w:t>
            </w:r>
          </w:p>
        </w:tc>
        <w:tc>
          <w:tcPr>
            <w:tcW w:w="4126" w:type="pct"/>
            <w:gridSpan w:val="11"/>
            <w:tcBorders>
              <w:top w:val="single" w:color="auto" w:sz="6" w:space="0"/>
              <w:left w:val="single" w:color="auto" w:sz="6" w:space="0"/>
              <w:bottom w:val="single" w:color="auto" w:sz="6" w:space="0"/>
              <w:right w:val="single" w:color="auto" w:sz="6" w:space="0"/>
            </w:tcBorders>
            <w:vAlign w:val="center"/>
          </w:tcPr>
          <w:p w14:paraId="7D6E5182">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极易燃烧爆炸，与空气混合能形成爆炸性混合物。遇明火、高热能引起燃烧爆炸。与氧化剂接触会猛烈反应。与氟、氯等接触会发生剧烈的化学反应。能与铜、银、汞等的化合物生成爆炸性物质。</w:t>
            </w:r>
          </w:p>
        </w:tc>
      </w:tr>
      <w:tr w14:paraId="76B88CA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69"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49597B10">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1B20DDED">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2"/>
                <w:sz w:val="21"/>
                <w:szCs w:val="21"/>
                <w14:textFill>
                  <w14:solidFill>
                    <w14:schemeClr w14:val="tx1"/>
                  </w14:solidFill>
                </w14:textFill>
              </w:rPr>
            </w:pPr>
            <w:r>
              <w:rPr>
                <w:rFonts w:hint="eastAsia" w:ascii="宋体" w:hAnsi="宋体" w:cs="宋体"/>
                <w:color w:val="000000" w:themeColor="text1"/>
                <w:spacing w:val="2"/>
                <w:sz w:val="21"/>
                <w:szCs w:val="21"/>
                <w14:textFill>
                  <w14:solidFill>
                    <w14:schemeClr w14:val="tx1"/>
                  </w14:solidFill>
                </w14:textFill>
              </w:rPr>
              <w:t>建规火险分级</w:t>
            </w:r>
          </w:p>
        </w:tc>
        <w:tc>
          <w:tcPr>
            <w:tcW w:w="600" w:type="pct"/>
            <w:tcBorders>
              <w:top w:val="single" w:color="auto" w:sz="6" w:space="0"/>
              <w:left w:val="single" w:color="auto" w:sz="6" w:space="0"/>
              <w:bottom w:val="single" w:color="auto" w:sz="6" w:space="0"/>
              <w:right w:val="single" w:color="auto" w:sz="6" w:space="0"/>
            </w:tcBorders>
            <w:vAlign w:val="center"/>
          </w:tcPr>
          <w:p w14:paraId="54EA861F">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甲</w:t>
            </w:r>
          </w:p>
        </w:tc>
        <w:tc>
          <w:tcPr>
            <w:tcW w:w="415" w:type="pct"/>
            <w:gridSpan w:val="2"/>
            <w:tcBorders>
              <w:top w:val="single" w:color="auto" w:sz="6" w:space="0"/>
              <w:left w:val="single" w:color="auto" w:sz="6" w:space="0"/>
              <w:bottom w:val="single" w:color="auto" w:sz="6" w:space="0"/>
              <w:right w:val="single" w:color="auto" w:sz="6" w:space="0"/>
            </w:tcBorders>
            <w:vAlign w:val="center"/>
          </w:tcPr>
          <w:p w14:paraId="4F912593">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稳定性</w:t>
            </w:r>
          </w:p>
        </w:tc>
        <w:tc>
          <w:tcPr>
            <w:tcW w:w="1670" w:type="pct"/>
            <w:gridSpan w:val="5"/>
            <w:tcBorders>
              <w:top w:val="single" w:color="auto" w:sz="6" w:space="0"/>
              <w:left w:val="single" w:color="auto" w:sz="6" w:space="0"/>
              <w:bottom w:val="single" w:color="auto" w:sz="6" w:space="0"/>
              <w:right w:val="single" w:color="auto" w:sz="6" w:space="0"/>
            </w:tcBorders>
            <w:vAlign w:val="center"/>
          </w:tcPr>
          <w:p w14:paraId="3DE06CBF">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稳定</w:t>
            </w:r>
          </w:p>
        </w:tc>
        <w:tc>
          <w:tcPr>
            <w:tcW w:w="403" w:type="pct"/>
            <w:gridSpan w:val="2"/>
            <w:tcBorders>
              <w:top w:val="single" w:color="auto" w:sz="6" w:space="0"/>
              <w:left w:val="single" w:color="auto" w:sz="6" w:space="0"/>
              <w:bottom w:val="single" w:color="auto" w:sz="6" w:space="0"/>
              <w:right w:val="single" w:color="auto" w:sz="6" w:space="0"/>
            </w:tcBorders>
            <w:vAlign w:val="center"/>
          </w:tcPr>
          <w:p w14:paraId="6F687D9F">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聚合危害</w:t>
            </w:r>
          </w:p>
        </w:tc>
        <w:tc>
          <w:tcPr>
            <w:tcW w:w="1036" w:type="pct"/>
            <w:tcBorders>
              <w:top w:val="single" w:color="auto" w:sz="6" w:space="0"/>
              <w:left w:val="single" w:color="auto" w:sz="6" w:space="0"/>
              <w:bottom w:val="single" w:color="auto" w:sz="6" w:space="0"/>
              <w:right w:val="single" w:color="auto" w:sz="6" w:space="0"/>
            </w:tcBorders>
            <w:vAlign w:val="center"/>
          </w:tcPr>
          <w:p w14:paraId="27A35F29">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聚合</w:t>
            </w:r>
          </w:p>
        </w:tc>
      </w:tr>
      <w:tr w14:paraId="2310CDB8">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6"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0B3ED1EB">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4312F4D9">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禁忌物</w:t>
            </w:r>
          </w:p>
        </w:tc>
        <w:tc>
          <w:tcPr>
            <w:tcW w:w="4126" w:type="pct"/>
            <w:gridSpan w:val="11"/>
            <w:tcBorders>
              <w:top w:val="single" w:color="auto" w:sz="6" w:space="0"/>
              <w:left w:val="single" w:color="auto" w:sz="6" w:space="0"/>
              <w:bottom w:val="single" w:color="auto" w:sz="6" w:space="0"/>
              <w:right w:val="single" w:color="auto" w:sz="6" w:space="0"/>
            </w:tcBorders>
            <w:vAlign w:val="center"/>
          </w:tcPr>
          <w:p w14:paraId="4E217577">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强氧化剂、强酸、卤素。</w:t>
            </w:r>
          </w:p>
        </w:tc>
      </w:tr>
      <w:tr w14:paraId="377F65D5">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633"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16C381C1">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421DE85F">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储运条件</w:t>
            </w:r>
          </w:p>
          <w:p w14:paraId="248690E8">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与泄漏处理</w:t>
            </w:r>
          </w:p>
        </w:tc>
        <w:tc>
          <w:tcPr>
            <w:tcW w:w="4126" w:type="pct"/>
            <w:gridSpan w:val="11"/>
            <w:tcBorders>
              <w:top w:val="single" w:color="auto" w:sz="6" w:space="0"/>
              <w:left w:val="single" w:color="auto" w:sz="6" w:space="0"/>
              <w:bottom w:val="single" w:color="auto" w:sz="6" w:space="0"/>
              <w:right w:val="single" w:color="auto" w:sz="6" w:space="0"/>
            </w:tcBorders>
            <w:vAlign w:val="center"/>
          </w:tcPr>
          <w:p w14:paraId="2DDCF303">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2"/>
                <w:sz w:val="21"/>
                <w:szCs w:val="21"/>
                <w14:textFill>
                  <w14:solidFill>
                    <w14:schemeClr w14:val="tx1"/>
                  </w14:solidFill>
                </w14:textFill>
              </w:rPr>
            </w:pPr>
            <w:r>
              <w:rPr>
                <w:rFonts w:hint="eastAsia" w:ascii="宋体" w:hAnsi="宋体" w:cs="宋体"/>
                <w:b/>
                <w:color w:val="000000" w:themeColor="text1"/>
                <w:spacing w:val="-2"/>
                <w:sz w:val="21"/>
                <w:szCs w:val="21"/>
                <w14:textFill>
                  <w14:solidFill>
                    <w14:schemeClr w14:val="tx1"/>
                  </w14:solidFill>
                </w14:textFill>
              </w:rPr>
              <w:t>储运条件</w:t>
            </w:r>
            <w:r>
              <w:rPr>
                <w:rFonts w:hint="eastAsia" w:ascii="宋体" w:hAnsi="宋体" w:cs="宋体"/>
                <w:color w:val="000000" w:themeColor="text1"/>
                <w:spacing w:val="-2"/>
                <w:sz w:val="21"/>
                <w:szCs w:val="21"/>
                <w14:textFill>
                  <w14:solidFill>
                    <w14:schemeClr w14:val="tx1"/>
                  </w14:solidFill>
                </w14:textFill>
              </w:rPr>
              <w:t>：乙炔的包装法通常是溶解在溶剂及多孔物中， 装入钢瓶内。储存于阴凉、通风的库房。远离火种、热源。库温不宜超过30℃。应与氧化剂、酸类、卤素分开存放，切忌混储。采用防爆型照明、通风设施。禁止使用易产生火花的机械设备和工具。储区应备有泄漏应急处理设备。搬运时应轻装轻卸，防止钢瓶及附件破损。</w:t>
            </w:r>
            <w:r>
              <w:rPr>
                <w:rFonts w:hint="eastAsia" w:ascii="宋体" w:hAnsi="宋体" w:cs="宋体"/>
                <w:b/>
                <w:color w:val="000000" w:themeColor="text1"/>
                <w:spacing w:val="-2"/>
                <w:sz w:val="21"/>
                <w:szCs w:val="21"/>
                <w14:textFill>
                  <w14:solidFill>
                    <w14:schemeClr w14:val="tx1"/>
                  </w14:solidFill>
                </w14:textFill>
              </w:rPr>
              <w:t>泄漏处理</w:t>
            </w:r>
            <w:r>
              <w:rPr>
                <w:rFonts w:hint="eastAsia" w:ascii="宋体" w:hAnsi="宋体" w:cs="宋体"/>
                <w:color w:val="000000" w:themeColor="text1"/>
                <w:spacing w:val="-2"/>
                <w:sz w:val="21"/>
                <w:szCs w:val="21"/>
                <w14:textFill>
                  <w14:solidFill>
                    <w14:schemeClr w14:val="tx1"/>
                  </w14:solidFill>
                </w14:textFill>
              </w:rPr>
              <w:t>：迅速撤离泄漏污染区人员至上风处，并进行隔离，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漏气容器要妥善处理，修复、检验后再用。</w:t>
            </w:r>
          </w:p>
        </w:tc>
      </w:tr>
      <w:tr w14:paraId="7F4CC6A7">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47" w:hRule="atLeast"/>
          <w:jc w:val="center"/>
        </w:trPr>
        <w:tc>
          <w:tcPr>
            <w:tcW w:w="303" w:type="pct"/>
            <w:vMerge w:val="continue"/>
            <w:tcBorders>
              <w:top w:val="single" w:color="auto" w:sz="6" w:space="0"/>
              <w:left w:val="single" w:color="auto" w:sz="6" w:space="0"/>
              <w:bottom w:val="single" w:color="auto" w:sz="6" w:space="0"/>
              <w:right w:val="single" w:color="auto" w:sz="6" w:space="0"/>
            </w:tcBorders>
            <w:vAlign w:val="center"/>
          </w:tcPr>
          <w:p w14:paraId="6E8897E2">
            <w:pPr>
              <w:keepLines w:val="0"/>
              <w:pageBreakBefore w:val="0"/>
              <w:widowControl/>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p>
        </w:tc>
        <w:tc>
          <w:tcPr>
            <w:tcW w:w="570" w:type="pct"/>
            <w:tcBorders>
              <w:top w:val="single" w:color="auto" w:sz="6" w:space="0"/>
              <w:left w:val="single" w:color="auto" w:sz="6" w:space="0"/>
              <w:bottom w:val="single" w:color="auto" w:sz="6" w:space="0"/>
              <w:right w:val="single" w:color="auto" w:sz="6" w:space="0"/>
            </w:tcBorders>
            <w:vAlign w:val="center"/>
          </w:tcPr>
          <w:p w14:paraId="233C2FC8">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10"/>
                <w:sz w:val="21"/>
                <w:szCs w:val="21"/>
                <w14:textFill>
                  <w14:solidFill>
                    <w14:schemeClr w14:val="tx1"/>
                  </w14:solidFill>
                </w14:textFill>
              </w:rPr>
            </w:pPr>
            <w:r>
              <w:rPr>
                <w:rFonts w:hint="eastAsia" w:ascii="宋体" w:hAnsi="宋体" w:cs="宋体"/>
                <w:color w:val="000000" w:themeColor="text1"/>
                <w:spacing w:val="10"/>
                <w:sz w:val="21"/>
                <w:szCs w:val="21"/>
                <w14:textFill>
                  <w14:solidFill>
                    <w14:schemeClr w14:val="tx1"/>
                  </w14:solidFill>
                </w14:textFill>
              </w:rPr>
              <w:t>灭火方法</w:t>
            </w:r>
          </w:p>
        </w:tc>
        <w:tc>
          <w:tcPr>
            <w:tcW w:w="4126" w:type="pct"/>
            <w:gridSpan w:val="11"/>
            <w:tcBorders>
              <w:top w:val="single" w:color="auto" w:sz="6" w:space="0"/>
              <w:left w:val="single" w:color="auto" w:sz="6" w:space="0"/>
              <w:bottom w:val="single" w:color="auto" w:sz="6" w:space="0"/>
              <w:right w:val="single" w:color="auto" w:sz="6" w:space="0"/>
            </w:tcBorders>
            <w:vAlign w:val="center"/>
          </w:tcPr>
          <w:p w14:paraId="25CCE18C">
            <w:pPr>
              <w:keepLines w:val="0"/>
              <w:pageBreakBefore w:val="0"/>
              <w:kinsoku/>
              <w:wordWrap/>
              <w:overflowPunct/>
              <w:topLinePunct w:val="0"/>
              <w:autoSpaceDE/>
              <w:autoSpaceDN/>
              <w:bidi w:val="0"/>
              <w:adjustRightInd w:val="0"/>
              <w:snapToGrid w:val="0"/>
              <w:jc w:val="left"/>
              <w:textAlignment w:val="auto"/>
              <w:rPr>
                <w:rFonts w:ascii="宋体" w:hAnsi="宋体" w:cs="宋体"/>
                <w:color w:val="000000" w:themeColor="text1"/>
                <w:spacing w:val="-6"/>
                <w:sz w:val="21"/>
                <w:szCs w:val="21"/>
                <w14:textFill>
                  <w14:solidFill>
                    <w14:schemeClr w14:val="tx1"/>
                  </w14:solidFill>
                </w14:textFill>
              </w:rPr>
            </w:pPr>
            <w:r>
              <w:rPr>
                <w:rFonts w:hint="eastAsia" w:ascii="宋体" w:hAnsi="宋体" w:cs="宋体"/>
                <w:color w:val="000000" w:themeColor="text1"/>
                <w:spacing w:val="-6"/>
                <w:sz w:val="21"/>
                <w:szCs w:val="21"/>
                <w14:textFill>
                  <w14:solidFill>
                    <w14:schemeClr w14:val="tx1"/>
                  </w14:solidFill>
                </w14:textFill>
              </w:rPr>
              <w:t>切断气源。若不能立即切断气源，则不允许熄灭正在燃烧的气体。喷水冷却容器，可能的话将容器从火场移至空旷处。灭火剂：雾状水、泡沫、二氧化碳、干粉。</w:t>
            </w:r>
          </w:p>
        </w:tc>
      </w:tr>
    </w:tbl>
    <w:p w14:paraId="3D4E300A">
      <w:pPr>
        <w:adjustRightInd w:val="0"/>
        <w:snapToGrid w:val="0"/>
        <w:spacing w:line="500" w:lineRule="exact"/>
        <w:jc w:val="center"/>
        <w:rPr>
          <w:rFonts w:ascii="宋体" w:hAnsi="宋体" w:cs="宋体"/>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t>表3-</w:t>
      </w:r>
      <w:r>
        <w:rPr>
          <w:rFonts w:hint="eastAsia" w:hAnsi="宋体" w:cs="宋体"/>
          <w:b/>
          <w:color w:val="000000" w:themeColor="text1"/>
          <w:lang w:val="en-US" w:eastAsia="zh-CN"/>
          <w14:textFill>
            <w14:solidFill>
              <w14:schemeClr w14:val="tx1"/>
            </w14:solidFill>
          </w14:textFill>
        </w:rPr>
        <w:t>4</w:t>
      </w:r>
      <w:r>
        <w:rPr>
          <w:rFonts w:hint="eastAsia" w:ascii="宋体" w:hAnsi="宋体" w:cs="宋体"/>
          <w:b/>
          <w:color w:val="000000" w:themeColor="text1"/>
          <w14:textFill>
            <w14:solidFill>
              <w14:schemeClr w14:val="tx1"/>
            </w14:solidFill>
          </w14:textFill>
        </w:rPr>
        <w:t xml:space="preserve"> 氧（压缩的）理化特性表</w:t>
      </w:r>
    </w:p>
    <w:tbl>
      <w:tblPr>
        <w:tblStyle w:val="53"/>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321"/>
        <w:gridCol w:w="265"/>
        <w:gridCol w:w="192"/>
        <w:gridCol w:w="228"/>
        <w:gridCol w:w="399"/>
        <w:gridCol w:w="1462"/>
        <w:gridCol w:w="605"/>
        <w:gridCol w:w="357"/>
        <w:gridCol w:w="178"/>
        <w:gridCol w:w="3284"/>
      </w:tblGrid>
      <w:tr w14:paraId="6128D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restart"/>
            <w:vAlign w:val="center"/>
          </w:tcPr>
          <w:p w14:paraId="624F223F">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标识</w:t>
            </w:r>
          </w:p>
        </w:tc>
        <w:tc>
          <w:tcPr>
            <w:tcW w:w="2405" w:type="dxa"/>
            <w:gridSpan w:val="5"/>
          </w:tcPr>
          <w:p w14:paraId="7694BAB2">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英文名：oxygen</w:t>
            </w:r>
          </w:p>
        </w:tc>
        <w:tc>
          <w:tcPr>
            <w:tcW w:w="2602" w:type="dxa"/>
            <w:gridSpan w:val="4"/>
          </w:tcPr>
          <w:p w14:paraId="32EF2D37">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分子式：O</w:t>
            </w:r>
            <w:r>
              <w:rPr>
                <w:rFonts w:hint="eastAsia" w:ascii="宋体" w:hAnsi="宋体" w:cs="宋体"/>
                <w:color w:val="000000" w:themeColor="text1"/>
                <w:sz w:val="21"/>
                <w:szCs w:val="21"/>
                <w:vertAlign w:val="subscript"/>
                <w14:textFill>
                  <w14:solidFill>
                    <w14:schemeClr w14:val="tx1"/>
                  </w14:solidFill>
                </w14:textFill>
              </w:rPr>
              <w:t>2</w:t>
            </w:r>
          </w:p>
        </w:tc>
        <w:tc>
          <w:tcPr>
            <w:tcW w:w="3284" w:type="dxa"/>
          </w:tcPr>
          <w:p w14:paraId="481D666E">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分子量：32.00</w:t>
            </w:r>
          </w:p>
        </w:tc>
      </w:tr>
      <w:tr w14:paraId="2DE94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5DD7AB26">
            <w:pPr>
              <w:adjustRightInd w:val="0"/>
              <w:snapToGrid w:val="0"/>
              <w:jc w:val="left"/>
              <w:rPr>
                <w:rFonts w:ascii="宋体" w:hAnsi="宋体" w:cs="宋体"/>
                <w:color w:val="000000" w:themeColor="text1"/>
                <w:sz w:val="21"/>
                <w:szCs w:val="21"/>
                <w14:textFill>
                  <w14:solidFill>
                    <w14:schemeClr w14:val="tx1"/>
                  </w14:solidFill>
                </w14:textFill>
              </w:rPr>
            </w:pPr>
          </w:p>
        </w:tc>
        <w:tc>
          <w:tcPr>
            <w:tcW w:w="2405" w:type="dxa"/>
            <w:gridSpan w:val="5"/>
          </w:tcPr>
          <w:p w14:paraId="216F75CE">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危规号：22001</w:t>
            </w:r>
          </w:p>
        </w:tc>
        <w:tc>
          <w:tcPr>
            <w:tcW w:w="2602" w:type="dxa"/>
            <w:gridSpan w:val="4"/>
          </w:tcPr>
          <w:p w14:paraId="1D5FDC70">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UN编号：1072</w:t>
            </w:r>
          </w:p>
        </w:tc>
        <w:tc>
          <w:tcPr>
            <w:tcW w:w="3284" w:type="dxa"/>
          </w:tcPr>
          <w:p w14:paraId="467C851F">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CAS号：7782-44-7</w:t>
            </w:r>
          </w:p>
        </w:tc>
      </w:tr>
      <w:tr w14:paraId="3A64D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6FD54118">
            <w:pPr>
              <w:adjustRightInd w:val="0"/>
              <w:snapToGrid w:val="0"/>
              <w:jc w:val="left"/>
              <w:rPr>
                <w:rFonts w:ascii="宋体" w:hAnsi="宋体" w:cs="宋体"/>
                <w:color w:val="000000" w:themeColor="text1"/>
                <w:sz w:val="21"/>
                <w:szCs w:val="21"/>
                <w14:textFill>
                  <w14:solidFill>
                    <w14:schemeClr w14:val="tx1"/>
                  </w14:solidFill>
                </w14:textFill>
              </w:rPr>
            </w:pPr>
          </w:p>
        </w:tc>
        <w:tc>
          <w:tcPr>
            <w:tcW w:w="8291" w:type="dxa"/>
            <w:gridSpan w:val="10"/>
          </w:tcPr>
          <w:p w14:paraId="18CBD81C">
            <w:pPr>
              <w:widowControl/>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危险性类别：氧化性气体，类别1；加压气体</w:t>
            </w:r>
          </w:p>
        </w:tc>
      </w:tr>
      <w:tr w14:paraId="7E06A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restart"/>
            <w:vAlign w:val="center"/>
          </w:tcPr>
          <w:p w14:paraId="30C5114C">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理化特性</w:t>
            </w:r>
          </w:p>
        </w:tc>
        <w:tc>
          <w:tcPr>
            <w:tcW w:w="2006" w:type="dxa"/>
            <w:gridSpan w:val="4"/>
          </w:tcPr>
          <w:p w14:paraId="728B3BF0">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外观与性状</w:t>
            </w:r>
          </w:p>
        </w:tc>
        <w:tc>
          <w:tcPr>
            <w:tcW w:w="6285" w:type="dxa"/>
            <w:gridSpan w:val="6"/>
          </w:tcPr>
          <w:p w14:paraId="4949F5C0">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无色无臭气体</w:t>
            </w:r>
          </w:p>
        </w:tc>
      </w:tr>
      <w:tr w14:paraId="7FCA6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155676A8">
            <w:pPr>
              <w:adjustRightInd w:val="0"/>
              <w:snapToGrid w:val="0"/>
              <w:jc w:val="left"/>
              <w:rPr>
                <w:rFonts w:ascii="宋体" w:hAnsi="宋体" w:cs="宋体"/>
                <w:color w:val="000000" w:themeColor="text1"/>
                <w:sz w:val="21"/>
                <w:szCs w:val="21"/>
                <w14:textFill>
                  <w14:solidFill>
                    <w14:schemeClr w14:val="tx1"/>
                  </w14:solidFill>
                </w14:textFill>
              </w:rPr>
            </w:pPr>
          </w:p>
        </w:tc>
        <w:tc>
          <w:tcPr>
            <w:tcW w:w="2006" w:type="dxa"/>
            <w:gridSpan w:val="4"/>
          </w:tcPr>
          <w:p w14:paraId="3AA45BF2">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熔点：-218.8℃</w:t>
            </w:r>
          </w:p>
        </w:tc>
        <w:tc>
          <w:tcPr>
            <w:tcW w:w="2823" w:type="dxa"/>
            <w:gridSpan w:val="4"/>
          </w:tcPr>
          <w:p w14:paraId="70245255">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相对密度（水=1）：1.14</w:t>
            </w:r>
          </w:p>
        </w:tc>
        <w:tc>
          <w:tcPr>
            <w:tcW w:w="3462" w:type="dxa"/>
            <w:gridSpan w:val="2"/>
          </w:tcPr>
          <w:p w14:paraId="357661B5">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燃烧热：无意义</w:t>
            </w:r>
          </w:p>
        </w:tc>
      </w:tr>
      <w:tr w14:paraId="7691C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410205F9">
            <w:pPr>
              <w:adjustRightInd w:val="0"/>
              <w:snapToGrid w:val="0"/>
              <w:jc w:val="left"/>
              <w:rPr>
                <w:rFonts w:ascii="宋体" w:hAnsi="宋体" w:cs="宋体"/>
                <w:color w:val="000000" w:themeColor="text1"/>
                <w:sz w:val="21"/>
                <w:szCs w:val="21"/>
                <w14:textFill>
                  <w14:solidFill>
                    <w14:schemeClr w14:val="tx1"/>
                  </w14:solidFill>
                </w14:textFill>
              </w:rPr>
            </w:pPr>
          </w:p>
        </w:tc>
        <w:tc>
          <w:tcPr>
            <w:tcW w:w="2006" w:type="dxa"/>
            <w:gridSpan w:val="4"/>
          </w:tcPr>
          <w:p w14:paraId="372EF3AB">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沸点：-183.1℃</w:t>
            </w:r>
          </w:p>
        </w:tc>
        <w:tc>
          <w:tcPr>
            <w:tcW w:w="2823" w:type="dxa"/>
            <w:gridSpan w:val="4"/>
          </w:tcPr>
          <w:p w14:paraId="254EE40C">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相对密度（空气=1）1.43</w:t>
            </w:r>
          </w:p>
        </w:tc>
        <w:tc>
          <w:tcPr>
            <w:tcW w:w="3462" w:type="dxa"/>
            <w:gridSpan w:val="2"/>
          </w:tcPr>
          <w:p w14:paraId="71D55A22">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临界压力：5.08MPa</w:t>
            </w:r>
          </w:p>
        </w:tc>
      </w:tr>
      <w:tr w14:paraId="716D8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3E2AED49">
            <w:pPr>
              <w:adjustRightInd w:val="0"/>
              <w:snapToGrid w:val="0"/>
              <w:jc w:val="left"/>
              <w:rPr>
                <w:rFonts w:ascii="宋体" w:hAnsi="宋体" w:cs="宋体"/>
                <w:color w:val="000000" w:themeColor="text1"/>
                <w:sz w:val="21"/>
                <w:szCs w:val="21"/>
                <w14:textFill>
                  <w14:solidFill>
                    <w14:schemeClr w14:val="tx1"/>
                  </w14:solidFill>
                </w14:textFill>
              </w:rPr>
            </w:pPr>
          </w:p>
        </w:tc>
        <w:tc>
          <w:tcPr>
            <w:tcW w:w="2006" w:type="dxa"/>
            <w:gridSpan w:val="4"/>
          </w:tcPr>
          <w:p w14:paraId="586B0881">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临界温度：</w:t>
            </w:r>
          </w:p>
        </w:tc>
        <w:tc>
          <w:tcPr>
            <w:tcW w:w="6285" w:type="dxa"/>
            <w:gridSpan w:val="6"/>
          </w:tcPr>
          <w:p w14:paraId="3B73B15A">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溶解性：溶于水、乙醇</w:t>
            </w:r>
          </w:p>
        </w:tc>
      </w:tr>
      <w:tr w14:paraId="450D2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restart"/>
            <w:vAlign w:val="center"/>
          </w:tcPr>
          <w:p w14:paraId="7613EBD7">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毒性及健康危害</w:t>
            </w:r>
          </w:p>
        </w:tc>
        <w:tc>
          <w:tcPr>
            <w:tcW w:w="1586" w:type="dxa"/>
            <w:gridSpan w:val="2"/>
            <w:vAlign w:val="center"/>
          </w:tcPr>
          <w:p w14:paraId="31FEA1E6">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车间卫生标准</w:t>
            </w:r>
          </w:p>
        </w:tc>
        <w:tc>
          <w:tcPr>
            <w:tcW w:w="2886" w:type="dxa"/>
            <w:gridSpan w:val="5"/>
          </w:tcPr>
          <w:p w14:paraId="09082E41">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 xml:space="preserve">中国MAC：未制定标准 </w:t>
            </w:r>
          </w:p>
        </w:tc>
        <w:tc>
          <w:tcPr>
            <w:tcW w:w="3819" w:type="dxa"/>
            <w:gridSpan w:val="3"/>
          </w:tcPr>
          <w:p w14:paraId="3C732B96">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美国TLV-TWA：未制定标准</w:t>
            </w:r>
          </w:p>
        </w:tc>
      </w:tr>
      <w:tr w14:paraId="5F1DE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2058875E">
            <w:pPr>
              <w:adjustRightInd w:val="0"/>
              <w:snapToGrid w:val="0"/>
              <w:jc w:val="left"/>
              <w:rPr>
                <w:rFonts w:ascii="宋体" w:hAnsi="宋体" w:cs="宋体"/>
                <w:color w:val="000000" w:themeColor="text1"/>
                <w:sz w:val="21"/>
                <w:szCs w:val="21"/>
                <w14:textFill>
                  <w14:solidFill>
                    <w14:schemeClr w14:val="tx1"/>
                  </w14:solidFill>
                </w14:textFill>
              </w:rPr>
            </w:pPr>
          </w:p>
        </w:tc>
        <w:tc>
          <w:tcPr>
            <w:tcW w:w="1321" w:type="dxa"/>
          </w:tcPr>
          <w:p w14:paraId="4BA35641">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侵入途径</w:t>
            </w:r>
          </w:p>
        </w:tc>
        <w:tc>
          <w:tcPr>
            <w:tcW w:w="2546" w:type="dxa"/>
            <w:gridSpan w:val="5"/>
          </w:tcPr>
          <w:p w14:paraId="79C1CDE8">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吸入</w:t>
            </w:r>
          </w:p>
        </w:tc>
        <w:tc>
          <w:tcPr>
            <w:tcW w:w="4424" w:type="dxa"/>
            <w:gridSpan w:val="4"/>
          </w:tcPr>
          <w:p w14:paraId="03CEF570">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急性毒性：LD50               LC50</w:t>
            </w:r>
          </w:p>
        </w:tc>
      </w:tr>
      <w:tr w14:paraId="06D74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4E9C8DFA">
            <w:pPr>
              <w:adjustRightInd w:val="0"/>
              <w:snapToGrid w:val="0"/>
              <w:jc w:val="left"/>
              <w:rPr>
                <w:rFonts w:ascii="宋体" w:hAnsi="宋体" w:cs="宋体"/>
                <w:color w:val="000000" w:themeColor="text1"/>
                <w:sz w:val="21"/>
                <w:szCs w:val="21"/>
                <w14:textFill>
                  <w14:solidFill>
                    <w14:schemeClr w14:val="tx1"/>
                  </w14:solidFill>
                </w14:textFill>
              </w:rPr>
            </w:pPr>
          </w:p>
        </w:tc>
        <w:tc>
          <w:tcPr>
            <w:tcW w:w="1321" w:type="dxa"/>
            <w:vAlign w:val="center"/>
          </w:tcPr>
          <w:p w14:paraId="28C0913A">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健康危害</w:t>
            </w:r>
          </w:p>
        </w:tc>
        <w:tc>
          <w:tcPr>
            <w:tcW w:w="6970" w:type="dxa"/>
            <w:gridSpan w:val="9"/>
          </w:tcPr>
          <w:p w14:paraId="5A87E223">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常压下，当氧的浓度超过40%时，可能发生氧中毒。吸入40%-60%的氧时，出现胸骨后不适感、轻咳，进而胸闷、胸骨后烧感和呼吸困难，咳嗽加剧；严重时可发生肺水肿，甚至出现呼吸窘迫综合症。吸入氧浓度在80%以上时，出现面部肌肉抽动、面色苍白、眩晕、心动过速、虚脱，继而全身强直性抽搐、昏迷、呼吸衰竭而死亡。</w:t>
            </w:r>
          </w:p>
          <w:p w14:paraId="56CDA798">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长期处于氧分压为60-100kPa（相当于吸入氧浓度40%左右）的条件下可发生眼损害，严重者可失明。</w:t>
            </w:r>
          </w:p>
        </w:tc>
      </w:tr>
      <w:tr w14:paraId="38176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restart"/>
            <w:vAlign w:val="center"/>
          </w:tcPr>
          <w:p w14:paraId="466617E0">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燃烧爆炸危险性</w:t>
            </w:r>
          </w:p>
        </w:tc>
        <w:tc>
          <w:tcPr>
            <w:tcW w:w="1778" w:type="dxa"/>
            <w:gridSpan w:val="3"/>
          </w:tcPr>
          <w:p w14:paraId="6C4C4671">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燃烧性： 助燃</w:t>
            </w:r>
          </w:p>
        </w:tc>
        <w:tc>
          <w:tcPr>
            <w:tcW w:w="2694" w:type="dxa"/>
            <w:gridSpan w:val="4"/>
          </w:tcPr>
          <w:p w14:paraId="151BB1BD">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闪点：无意义</w:t>
            </w:r>
          </w:p>
        </w:tc>
        <w:tc>
          <w:tcPr>
            <w:tcW w:w="3819" w:type="dxa"/>
            <w:gridSpan w:val="3"/>
          </w:tcPr>
          <w:p w14:paraId="54C0F452">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爆炸极限：无意义</w:t>
            </w:r>
          </w:p>
        </w:tc>
      </w:tr>
      <w:tr w14:paraId="4CE9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7820203C">
            <w:pPr>
              <w:adjustRightInd w:val="0"/>
              <w:snapToGrid w:val="0"/>
              <w:jc w:val="left"/>
              <w:rPr>
                <w:rFonts w:ascii="宋体" w:hAnsi="宋体" w:cs="宋体"/>
                <w:color w:val="000000" w:themeColor="text1"/>
                <w:sz w:val="21"/>
                <w:szCs w:val="21"/>
                <w14:textFill>
                  <w14:solidFill>
                    <w14:schemeClr w14:val="tx1"/>
                  </w14:solidFill>
                </w14:textFill>
              </w:rPr>
            </w:pPr>
          </w:p>
        </w:tc>
        <w:tc>
          <w:tcPr>
            <w:tcW w:w="1778" w:type="dxa"/>
            <w:gridSpan w:val="3"/>
          </w:tcPr>
          <w:p w14:paraId="008D0ECC">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稳定性：稳定</w:t>
            </w:r>
          </w:p>
        </w:tc>
        <w:tc>
          <w:tcPr>
            <w:tcW w:w="2694" w:type="dxa"/>
            <w:gridSpan w:val="4"/>
          </w:tcPr>
          <w:p w14:paraId="352D8952">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引燃温度：无意义</w:t>
            </w:r>
          </w:p>
        </w:tc>
        <w:tc>
          <w:tcPr>
            <w:tcW w:w="3819" w:type="dxa"/>
            <w:gridSpan w:val="3"/>
          </w:tcPr>
          <w:p w14:paraId="5CB9030C">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聚合危险：不聚合</w:t>
            </w:r>
          </w:p>
        </w:tc>
      </w:tr>
      <w:tr w14:paraId="5B101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20BF6E06">
            <w:pPr>
              <w:adjustRightInd w:val="0"/>
              <w:snapToGrid w:val="0"/>
              <w:jc w:val="left"/>
              <w:rPr>
                <w:rFonts w:ascii="宋体" w:hAnsi="宋体" w:cs="宋体"/>
                <w:color w:val="000000" w:themeColor="text1"/>
                <w:sz w:val="21"/>
                <w:szCs w:val="21"/>
                <w14:textFill>
                  <w14:solidFill>
                    <w14:schemeClr w14:val="tx1"/>
                  </w14:solidFill>
                </w14:textFill>
              </w:rPr>
            </w:pPr>
          </w:p>
        </w:tc>
        <w:tc>
          <w:tcPr>
            <w:tcW w:w="1321" w:type="dxa"/>
          </w:tcPr>
          <w:p w14:paraId="32901244">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禁忌物</w:t>
            </w:r>
          </w:p>
        </w:tc>
        <w:tc>
          <w:tcPr>
            <w:tcW w:w="6970" w:type="dxa"/>
            <w:gridSpan w:val="9"/>
          </w:tcPr>
          <w:p w14:paraId="7D0D11C5">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易燃或可燃物、活性金属粉末、乙炔。</w:t>
            </w:r>
          </w:p>
        </w:tc>
      </w:tr>
      <w:tr w14:paraId="3383F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697454D6">
            <w:pPr>
              <w:adjustRightInd w:val="0"/>
              <w:snapToGrid w:val="0"/>
              <w:jc w:val="left"/>
              <w:rPr>
                <w:rFonts w:ascii="宋体" w:hAnsi="宋体" w:cs="宋体"/>
                <w:color w:val="000000" w:themeColor="text1"/>
                <w:sz w:val="21"/>
                <w:szCs w:val="21"/>
                <w14:textFill>
                  <w14:solidFill>
                    <w14:schemeClr w14:val="tx1"/>
                  </w14:solidFill>
                </w14:textFill>
              </w:rPr>
            </w:pPr>
          </w:p>
        </w:tc>
        <w:tc>
          <w:tcPr>
            <w:tcW w:w="1321" w:type="dxa"/>
            <w:vAlign w:val="center"/>
          </w:tcPr>
          <w:p w14:paraId="564171BB">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危险特性</w:t>
            </w:r>
          </w:p>
        </w:tc>
        <w:tc>
          <w:tcPr>
            <w:tcW w:w="6970" w:type="dxa"/>
            <w:gridSpan w:val="9"/>
          </w:tcPr>
          <w:p w14:paraId="049B18B3">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是易燃物、可燃物燃烧爆炸遇的基本要素之一，能氧化大多数活性物质。与易燃物（如乙炔、甲烷等）形成有爆炸性的混合物。</w:t>
            </w:r>
          </w:p>
        </w:tc>
      </w:tr>
      <w:tr w14:paraId="30DF8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Merge w:val="continue"/>
            <w:vAlign w:val="center"/>
          </w:tcPr>
          <w:p w14:paraId="28CE063C">
            <w:pPr>
              <w:adjustRightInd w:val="0"/>
              <w:snapToGrid w:val="0"/>
              <w:jc w:val="left"/>
              <w:rPr>
                <w:rFonts w:ascii="宋体" w:hAnsi="宋体" w:cs="宋体"/>
                <w:color w:val="000000" w:themeColor="text1"/>
                <w:sz w:val="21"/>
                <w:szCs w:val="21"/>
                <w14:textFill>
                  <w14:solidFill>
                    <w14:schemeClr w14:val="tx1"/>
                  </w14:solidFill>
                </w14:textFill>
              </w:rPr>
            </w:pPr>
          </w:p>
        </w:tc>
        <w:tc>
          <w:tcPr>
            <w:tcW w:w="1321" w:type="dxa"/>
            <w:vAlign w:val="center"/>
          </w:tcPr>
          <w:p w14:paraId="1C09450E">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灭火方法</w:t>
            </w:r>
          </w:p>
        </w:tc>
        <w:tc>
          <w:tcPr>
            <w:tcW w:w="6970" w:type="dxa"/>
            <w:gridSpan w:val="9"/>
          </w:tcPr>
          <w:p w14:paraId="5F6371A4">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用水保持容器冷却，以防受热爆炸，急剧助长火势。迅速切断气源，用水喷淋保护切断气源的人员，然后根据着火原因选择适当灭火剂灭火。</w:t>
            </w:r>
          </w:p>
        </w:tc>
      </w:tr>
      <w:tr w14:paraId="41930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14:paraId="18B81EA5">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急救措施</w:t>
            </w:r>
          </w:p>
        </w:tc>
        <w:tc>
          <w:tcPr>
            <w:tcW w:w="1321" w:type="dxa"/>
            <w:vAlign w:val="center"/>
          </w:tcPr>
          <w:p w14:paraId="5EF70C11">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吸入</w:t>
            </w:r>
          </w:p>
        </w:tc>
        <w:tc>
          <w:tcPr>
            <w:tcW w:w="6970" w:type="dxa"/>
            <w:gridSpan w:val="9"/>
          </w:tcPr>
          <w:p w14:paraId="528AE2DD">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迅速脱离现场至空气新鲜处。保持呼吸道通畅。如呼吸停止，立即进行人工呼吸。就医。</w:t>
            </w:r>
          </w:p>
        </w:tc>
      </w:tr>
      <w:tr w14:paraId="08FB9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14:paraId="5E563542">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泄漏应急处理</w:t>
            </w:r>
          </w:p>
        </w:tc>
        <w:tc>
          <w:tcPr>
            <w:tcW w:w="8291" w:type="dxa"/>
            <w:gridSpan w:val="10"/>
          </w:tcPr>
          <w:p w14:paraId="4A276B8B">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迅速撤离泄漏污染区人员至上风处，并进行隔离，严格限制出入。切断火源。建议应急处理人员戴自给正压式呼吸器，穿一般作业工作服。避免与可燃物或易燃物接触。尽可能切断泄漏源。合理通风，加速扩散。漏气容器要妥善处理，修复、检验后再用。</w:t>
            </w:r>
          </w:p>
        </w:tc>
      </w:tr>
      <w:tr w14:paraId="704AB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14:paraId="2ED0F8FE">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储运注意事项</w:t>
            </w:r>
          </w:p>
        </w:tc>
        <w:tc>
          <w:tcPr>
            <w:tcW w:w="8291" w:type="dxa"/>
            <w:gridSpan w:val="10"/>
          </w:tcPr>
          <w:p w14:paraId="1E4B5372">
            <w:pPr>
              <w:adjustRightInd w:val="0"/>
              <w:snapToGrid w:val="0"/>
              <w:jc w:val="left"/>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不燃性压缩气体。储存于阴凉、通风仓库温度不宜超过30℃。远离火种、热源。防止阳光直射，应与易燃气体、金属粉末分开存放。时要注意品名，注意验瓶日期，先进仓的先发用，搬运时轻装轻卸，防止钢瓶及附件破损。</w:t>
            </w:r>
          </w:p>
        </w:tc>
      </w:tr>
      <w:bookmarkEnd w:id="339"/>
    </w:tbl>
    <w:p w14:paraId="399C125C">
      <w:pPr>
        <w:adjustRightInd w:val="0"/>
        <w:snapToGrid w:val="0"/>
        <w:spacing w:line="500" w:lineRule="exact"/>
        <w:jc w:val="center"/>
        <w:rPr>
          <w:rFonts w:hint="eastAsia" w:ascii="宋体" w:hAnsi="宋体" w:eastAsia="宋体" w:cs="宋体"/>
          <w:b/>
          <w:color w:val="000000" w:themeColor="text1"/>
          <w:lang w:eastAsia="zh-CN"/>
          <w14:textFill>
            <w14:solidFill>
              <w14:schemeClr w14:val="tx1"/>
            </w14:solidFill>
          </w14:textFill>
        </w:rPr>
      </w:pPr>
      <w:bookmarkStart w:id="357" w:name="_Toc375828725"/>
      <w:bookmarkStart w:id="358" w:name="_Toc373853711"/>
      <w:bookmarkStart w:id="359" w:name="_Toc30001392"/>
      <w:bookmarkStart w:id="360" w:name="_Toc61474414"/>
      <w:r>
        <w:rPr>
          <w:rFonts w:hint="eastAsia" w:ascii="宋体" w:hAnsi="宋体" w:eastAsia="宋体" w:cs="宋体"/>
          <w:b/>
          <w:color w:val="000000" w:themeColor="text1"/>
          <w:lang w:eastAsia="zh-CN"/>
          <w14:textFill>
            <w14:solidFill>
              <w14:schemeClr w14:val="tx1"/>
            </w14:solidFill>
          </w14:textFill>
        </w:rPr>
        <w:t>表</w:t>
      </w:r>
      <w:r>
        <w:rPr>
          <w:rFonts w:hint="eastAsia" w:ascii="宋体" w:hAnsi="宋体" w:cs="宋体"/>
          <w:b/>
          <w:color w:val="000000" w:themeColor="text1"/>
          <w:lang w:val="en-US" w:eastAsia="zh-CN"/>
          <w14:textFill>
            <w14:solidFill>
              <w14:schemeClr w14:val="tx1"/>
            </w14:solidFill>
          </w14:textFill>
        </w:rPr>
        <w:t>3</w:t>
      </w:r>
      <w:r>
        <w:rPr>
          <w:rFonts w:hint="eastAsia" w:ascii="宋体" w:hAnsi="宋体" w:eastAsia="宋体" w:cs="宋体"/>
          <w:b/>
          <w:color w:val="000000" w:themeColor="text1"/>
          <w:lang w:eastAsia="zh-CN"/>
          <w14:textFill>
            <w14:solidFill>
              <w14:schemeClr w14:val="tx1"/>
            </w14:solidFill>
          </w14:textFill>
        </w:rPr>
        <w:t>-</w:t>
      </w:r>
      <w:r>
        <w:rPr>
          <w:rFonts w:hint="eastAsia" w:hAnsi="宋体" w:cs="宋体"/>
          <w:b/>
          <w:color w:val="000000" w:themeColor="text1"/>
          <w:lang w:val="en-US" w:eastAsia="zh-CN"/>
          <w14:textFill>
            <w14:solidFill>
              <w14:schemeClr w14:val="tx1"/>
            </w14:solidFill>
          </w14:textFill>
        </w:rPr>
        <w:t>5</w:t>
      </w:r>
      <w:r>
        <w:rPr>
          <w:rFonts w:hint="eastAsia" w:ascii="宋体" w:hAnsi="宋体" w:eastAsia="宋体" w:cs="宋体"/>
          <w:b/>
          <w:color w:val="000000" w:themeColor="text1"/>
          <w:lang w:eastAsia="zh-CN"/>
          <w14:textFill>
            <w14:solidFill>
              <w14:schemeClr w14:val="tx1"/>
            </w14:solidFill>
          </w14:textFill>
        </w:rPr>
        <w:t xml:space="preserve">  润滑油的物理化学性质和危险性特性表</w:t>
      </w:r>
    </w:p>
    <w:tbl>
      <w:tblPr>
        <w:tblStyle w:val="53"/>
        <w:tblW w:w="53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7"/>
        <w:gridCol w:w="126"/>
        <w:gridCol w:w="1778"/>
        <w:gridCol w:w="1068"/>
        <w:gridCol w:w="1068"/>
        <w:gridCol w:w="667"/>
        <w:gridCol w:w="1302"/>
        <w:gridCol w:w="169"/>
        <w:gridCol w:w="1504"/>
        <w:gridCol w:w="806"/>
      </w:tblGrid>
      <w:tr w14:paraId="4ACAF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497" w:type="pct"/>
            <w:gridSpan w:val="2"/>
            <w:noWrap w:val="0"/>
            <w:vAlign w:val="center"/>
          </w:tcPr>
          <w:p w14:paraId="585093A1">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标识</w:t>
            </w:r>
          </w:p>
        </w:tc>
        <w:tc>
          <w:tcPr>
            <w:tcW w:w="2466" w:type="pct"/>
            <w:gridSpan w:val="4"/>
            <w:noWrap w:val="0"/>
            <w:vAlign w:val="center"/>
          </w:tcPr>
          <w:p w14:paraId="0CF4D66A">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中文名：</w:t>
            </w:r>
            <w:r>
              <w:rPr>
                <w:rFonts w:hint="eastAsia" w:ascii="宋体" w:hAnsi="宋体" w:eastAsia="宋体" w:cs="宋体"/>
                <w:color w:val="000000" w:themeColor="text1"/>
                <w:spacing w:val="10"/>
                <w:sz w:val="21"/>
                <w:szCs w:val="21"/>
                <w:lang w:eastAsia="zh-CN"/>
                <w14:textFill>
                  <w14:solidFill>
                    <w14:schemeClr w14:val="tx1"/>
                  </w14:solidFill>
                </w14:textFill>
              </w:rPr>
              <w:t>润滑油</w:t>
            </w:r>
          </w:p>
        </w:tc>
        <w:tc>
          <w:tcPr>
            <w:tcW w:w="2035" w:type="pct"/>
            <w:gridSpan w:val="4"/>
            <w:noWrap w:val="0"/>
            <w:vAlign w:val="center"/>
          </w:tcPr>
          <w:p w14:paraId="6CB2A4EB">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英文名</w:t>
            </w:r>
            <w:r>
              <w:rPr>
                <w:rFonts w:hint="eastAsia" w:ascii="宋体" w:hAnsi="宋体" w:eastAsia="宋体" w:cs="宋体"/>
                <w:color w:val="000000" w:themeColor="text1"/>
                <w:spacing w:val="10"/>
                <w:sz w:val="21"/>
                <w:szCs w:val="21"/>
                <w:lang w:val="en-GB"/>
                <w14:textFill>
                  <w14:solidFill>
                    <w14:schemeClr w14:val="tx1"/>
                  </w14:solidFill>
                </w14:textFill>
              </w:rPr>
              <w:t>：</w:t>
            </w:r>
            <w:r>
              <w:rPr>
                <w:rFonts w:hint="eastAsia" w:ascii="宋体" w:hAnsi="宋体" w:eastAsia="宋体" w:cs="宋体"/>
                <w:color w:val="000000" w:themeColor="text1"/>
                <w:spacing w:val="10"/>
                <w:sz w:val="21"/>
                <w:szCs w:val="21"/>
                <w:lang w:eastAsia="zh-CN"/>
                <w14:textFill>
                  <w14:solidFill>
                    <w14:schemeClr w14:val="tx1"/>
                  </w14:solidFill>
                </w14:textFill>
              </w:rPr>
              <w:t>lubricating</w:t>
            </w:r>
          </w:p>
        </w:tc>
      </w:tr>
      <w:tr w14:paraId="0FA17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jc w:val="center"/>
        </w:trPr>
        <w:tc>
          <w:tcPr>
            <w:tcW w:w="497" w:type="pct"/>
            <w:gridSpan w:val="2"/>
            <w:vMerge w:val="restart"/>
            <w:noWrap w:val="0"/>
            <w:vAlign w:val="center"/>
          </w:tcPr>
          <w:p w14:paraId="6C32D9AD">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理化性质</w:t>
            </w:r>
          </w:p>
        </w:tc>
        <w:tc>
          <w:tcPr>
            <w:tcW w:w="957" w:type="pct"/>
            <w:noWrap w:val="0"/>
            <w:vAlign w:val="center"/>
          </w:tcPr>
          <w:p w14:paraId="609C27B3">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外观与性状</w:t>
            </w:r>
          </w:p>
        </w:tc>
        <w:tc>
          <w:tcPr>
            <w:tcW w:w="1509" w:type="pct"/>
            <w:gridSpan w:val="3"/>
            <w:noWrap w:val="0"/>
            <w:vAlign w:val="center"/>
          </w:tcPr>
          <w:p w14:paraId="401BEFBE">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淡黄色粘稠液体</w:t>
            </w:r>
          </w:p>
        </w:tc>
        <w:tc>
          <w:tcPr>
            <w:tcW w:w="701" w:type="pct"/>
            <w:noWrap w:val="0"/>
            <w:vAlign w:val="center"/>
          </w:tcPr>
          <w:p w14:paraId="0637C4DB">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闪点</w:t>
            </w:r>
            <w:r>
              <w:rPr>
                <w:rFonts w:hint="eastAsia" w:ascii="宋体" w:hAnsi="宋体" w:eastAsia="宋体" w:cs="宋体"/>
                <w:color w:val="000000" w:themeColor="text1"/>
                <w:spacing w:val="10"/>
                <w:sz w:val="21"/>
                <w:szCs w:val="21"/>
                <w14:textFill>
                  <w14:solidFill>
                    <w14:schemeClr w14:val="tx1"/>
                  </w14:solidFill>
                </w14:textFill>
              </w:rPr>
              <w:t>（℃）</w:t>
            </w:r>
          </w:p>
        </w:tc>
        <w:tc>
          <w:tcPr>
            <w:tcW w:w="1333" w:type="pct"/>
            <w:gridSpan w:val="3"/>
            <w:noWrap w:val="0"/>
            <w:vAlign w:val="center"/>
          </w:tcPr>
          <w:p w14:paraId="0C9549B7">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120~340</w:t>
            </w:r>
          </w:p>
        </w:tc>
      </w:tr>
      <w:tr w14:paraId="0B967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 w:hRule="atLeast"/>
          <w:jc w:val="center"/>
        </w:trPr>
        <w:tc>
          <w:tcPr>
            <w:tcW w:w="497" w:type="pct"/>
            <w:gridSpan w:val="2"/>
            <w:vMerge w:val="continue"/>
            <w:noWrap w:val="0"/>
            <w:vAlign w:val="center"/>
          </w:tcPr>
          <w:p w14:paraId="4AE9FAA6">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p>
        </w:tc>
        <w:tc>
          <w:tcPr>
            <w:tcW w:w="957" w:type="pct"/>
            <w:noWrap w:val="0"/>
            <w:vAlign w:val="center"/>
          </w:tcPr>
          <w:p w14:paraId="07DB7011">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自燃点</w:t>
            </w:r>
            <w:r>
              <w:rPr>
                <w:rFonts w:hint="eastAsia" w:ascii="宋体" w:hAnsi="宋体" w:eastAsia="宋体" w:cs="宋体"/>
                <w:color w:val="000000" w:themeColor="text1"/>
                <w:spacing w:val="10"/>
                <w:sz w:val="21"/>
                <w:szCs w:val="21"/>
                <w14:textFill>
                  <w14:solidFill>
                    <w14:schemeClr w14:val="tx1"/>
                  </w14:solidFill>
                </w14:textFill>
              </w:rPr>
              <w:t>（℃）</w:t>
            </w:r>
          </w:p>
        </w:tc>
        <w:tc>
          <w:tcPr>
            <w:tcW w:w="575" w:type="pct"/>
            <w:noWrap w:val="0"/>
            <w:vAlign w:val="center"/>
          </w:tcPr>
          <w:p w14:paraId="56898740">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300~350</w:t>
            </w:r>
          </w:p>
        </w:tc>
        <w:tc>
          <w:tcPr>
            <w:tcW w:w="934" w:type="pct"/>
            <w:gridSpan w:val="2"/>
            <w:noWrap w:val="0"/>
            <w:vAlign w:val="center"/>
          </w:tcPr>
          <w:p w14:paraId="60D45758">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相对密度</w:t>
            </w:r>
          </w:p>
          <w:p w14:paraId="6812E0DA">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(水=1)</w:t>
            </w:r>
          </w:p>
        </w:tc>
        <w:tc>
          <w:tcPr>
            <w:tcW w:w="701" w:type="pct"/>
            <w:noWrap w:val="0"/>
            <w:vAlign w:val="center"/>
          </w:tcPr>
          <w:p w14:paraId="140BF562">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934.8</w:t>
            </w:r>
          </w:p>
        </w:tc>
        <w:tc>
          <w:tcPr>
            <w:tcW w:w="901" w:type="pct"/>
            <w:gridSpan w:val="2"/>
            <w:noWrap w:val="0"/>
            <w:vAlign w:val="center"/>
          </w:tcPr>
          <w:p w14:paraId="687ECEBB">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相对密度</w:t>
            </w:r>
          </w:p>
          <w:p w14:paraId="66CF45EA">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(空气=1)</w:t>
            </w:r>
          </w:p>
        </w:tc>
        <w:tc>
          <w:tcPr>
            <w:tcW w:w="432" w:type="pct"/>
            <w:noWrap w:val="0"/>
            <w:vAlign w:val="center"/>
          </w:tcPr>
          <w:p w14:paraId="31651072">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0.</w:t>
            </w:r>
            <w:r>
              <w:rPr>
                <w:rFonts w:hint="eastAsia" w:ascii="宋体" w:hAnsi="宋体" w:eastAsia="宋体" w:cs="宋体"/>
                <w:color w:val="000000" w:themeColor="text1"/>
                <w:spacing w:val="10"/>
                <w:sz w:val="21"/>
                <w:szCs w:val="21"/>
                <w:lang w:eastAsia="zh-CN"/>
                <w14:textFill>
                  <w14:solidFill>
                    <w14:schemeClr w14:val="tx1"/>
                  </w14:solidFill>
                </w14:textFill>
              </w:rPr>
              <w:t>85</w:t>
            </w:r>
          </w:p>
        </w:tc>
      </w:tr>
      <w:tr w14:paraId="7C78A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497" w:type="pct"/>
            <w:gridSpan w:val="2"/>
            <w:vMerge w:val="continue"/>
            <w:noWrap w:val="0"/>
            <w:vAlign w:val="center"/>
          </w:tcPr>
          <w:p w14:paraId="6057D279">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p>
        </w:tc>
        <w:tc>
          <w:tcPr>
            <w:tcW w:w="957" w:type="pct"/>
            <w:noWrap w:val="0"/>
            <w:vAlign w:val="center"/>
          </w:tcPr>
          <w:p w14:paraId="73F2E261">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沸点（℃）</w:t>
            </w:r>
          </w:p>
        </w:tc>
        <w:tc>
          <w:tcPr>
            <w:tcW w:w="575" w:type="pct"/>
            <w:noWrap w:val="0"/>
            <w:vAlign w:val="center"/>
          </w:tcPr>
          <w:p w14:paraId="74B7C4A7">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-252.8</w:t>
            </w:r>
          </w:p>
        </w:tc>
        <w:tc>
          <w:tcPr>
            <w:tcW w:w="1635" w:type="pct"/>
            <w:gridSpan w:val="3"/>
            <w:noWrap w:val="0"/>
            <w:vAlign w:val="center"/>
          </w:tcPr>
          <w:p w14:paraId="00EC377D">
            <w:pPr>
              <w:keepNext w:val="0"/>
              <w:keepLines w:val="0"/>
              <w:pageBreakBefore w:val="0"/>
              <w:kinsoku/>
              <w:wordWrap/>
              <w:overflowPunct/>
              <w:topLinePunct w:val="0"/>
              <w:autoSpaceDE/>
              <w:autoSpaceDN/>
              <w:bidi w:val="0"/>
              <w:adjustRightInd w:val="0"/>
              <w:snapToGrid w:val="0"/>
              <w:spacing w:line="240" w:lineRule="auto"/>
              <w:ind w:left="-40"/>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饱和蒸气压（kPa）</w:t>
            </w:r>
          </w:p>
        </w:tc>
        <w:tc>
          <w:tcPr>
            <w:tcW w:w="1333" w:type="pct"/>
            <w:gridSpan w:val="3"/>
            <w:noWrap w:val="0"/>
            <w:vAlign w:val="center"/>
          </w:tcPr>
          <w:p w14:paraId="696E5861">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0.13</w:t>
            </w:r>
            <w:r>
              <w:rPr>
                <w:rFonts w:hint="eastAsia" w:ascii="宋体" w:hAnsi="宋体" w:eastAsia="宋体" w:cs="宋体"/>
                <w:color w:val="000000" w:themeColor="text1"/>
                <w:spacing w:val="10"/>
                <w:sz w:val="21"/>
                <w:szCs w:val="21"/>
                <w14:textFill>
                  <w14:solidFill>
                    <w14:schemeClr w14:val="tx1"/>
                  </w14:solidFill>
                </w14:textFill>
              </w:rPr>
              <w:t>/</w:t>
            </w:r>
            <w:r>
              <w:rPr>
                <w:rFonts w:hint="eastAsia" w:ascii="宋体" w:hAnsi="宋体" w:eastAsia="宋体" w:cs="宋体"/>
                <w:color w:val="000000" w:themeColor="text1"/>
                <w:spacing w:val="10"/>
                <w:sz w:val="21"/>
                <w:szCs w:val="21"/>
                <w:lang w:eastAsia="zh-CN"/>
                <w14:textFill>
                  <w14:solidFill>
                    <w14:schemeClr w14:val="tx1"/>
                  </w14:solidFill>
                </w14:textFill>
              </w:rPr>
              <w:t>145.8</w:t>
            </w:r>
            <w:r>
              <w:rPr>
                <w:rFonts w:hint="eastAsia" w:ascii="宋体" w:hAnsi="宋体" w:eastAsia="宋体" w:cs="宋体"/>
                <w:color w:val="000000" w:themeColor="text1"/>
                <w:spacing w:val="10"/>
                <w:sz w:val="21"/>
                <w:szCs w:val="21"/>
                <w14:textFill>
                  <w14:solidFill>
                    <w14:schemeClr w14:val="tx1"/>
                  </w14:solidFill>
                </w14:textFill>
              </w:rPr>
              <w:t>℃</w:t>
            </w:r>
          </w:p>
        </w:tc>
      </w:tr>
      <w:tr w14:paraId="09406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497" w:type="pct"/>
            <w:gridSpan w:val="2"/>
            <w:vMerge w:val="continue"/>
            <w:noWrap w:val="0"/>
            <w:vAlign w:val="center"/>
          </w:tcPr>
          <w:p w14:paraId="778AEF86">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p>
        </w:tc>
        <w:tc>
          <w:tcPr>
            <w:tcW w:w="957" w:type="pct"/>
            <w:noWrap w:val="0"/>
            <w:vAlign w:val="center"/>
          </w:tcPr>
          <w:p w14:paraId="3BBD393F">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溶解性</w:t>
            </w:r>
          </w:p>
        </w:tc>
        <w:tc>
          <w:tcPr>
            <w:tcW w:w="3544" w:type="pct"/>
            <w:gridSpan w:val="7"/>
            <w:noWrap w:val="0"/>
            <w:vAlign w:val="center"/>
          </w:tcPr>
          <w:p w14:paraId="11E5CC92">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溶于苯、乙醇、乙醚、氯仿、丙酮等多数有机溶剂。</w:t>
            </w:r>
          </w:p>
        </w:tc>
      </w:tr>
      <w:tr w14:paraId="0EDBB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97" w:type="pct"/>
            <w:gridSpan w:val="2"/>
            <w:vMerge w:val="restart"/>
            <w:noWrap w:val="0"/>
            <w:vAlign w:val="center"/>
          </w:tcPr>
          <w:p w14:paraId="3B0555F3">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燃烧爆炸危险</w:t>
            </w:r>
          </w:p>
        </w:tc>
        <w:tc>
          <w:tcPr>
            <w:tcW w:w="957" w:type="pct"/>
            <w:noWrap w:val="0"/>
            <w:vAlign w:val="center"/>
          </w:tcPr>
          <w:p w14:paraId="607843FA">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危险特性</w:t>
            </w:r>
          </w:p>
        </w:tc>
        <w:tc>
          <w:tcPr>
            <w:tcW w:w="1150" w:type="pct"/>
            <w:gridSpan w:val="2"/>
            <w:noWrap w:val="0"/>
            <w:vAlign w:val="center"/>
          </w:tcPr>
          <w:p w14:paraId="35DE6B86">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可燃液体，火灾危险性为丙B类；</w:t>
            </w:r>
            <w:r>
              <w:rPr>
                <w:rFonts w:hint="eastAsia" w:ascii="宋体" w:hAnsi="宋体" w:eastAsia="宋体" w:cs="宋体"/>
                <w:color w:val="000000" w:themeColor="text1"/>
                <w:spacing w:val="10"/>
                <w:sz w:val="21"/>
                <w:szCs w:val="21"/>
                <w:lang w:eastAsia="zh-CN"/>
                <w14:textFill>
                  <w14:solidFill>
                    <w14:schemeClr w14:val="tx1"/>
                  </w14:solidFill>
                </w14:textFill>
              </w:rPr>
              <w:t>遇明火、高热可燃</w:t>
            </w:r>
          </w:p>
        </w:tc>
        <w:tc>
          <w:tcPr>
            <w:tcW w:w="1151" w:type="pct"/>
            <w:gridSpan w:val="3"/>
            <w:noWrap w:val="0"/>
            <w:vAlign w:val="center"/>
          </w:tcPr>
          <w:p w14:paraId="26EAED34">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燃烧分解产物</w:t>
            </w:r>
          </w:p>
        </w:tc>
        <w:tc>
          <w:tcPr>
            <w:tcW w:w="1243" w:type="pct"/>
            <w:gridSpan w:val="2"/>
            <w:noWrap w:val="0"/>
            <w:vAlign w:val="center"/>
          </w:tcPr>
          <w:p w14:paraId="0778BE7C">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CO、CO</w:t>
            </w:r>
            <w:r>
              <w:rPr>
                <w:rFonts w:hint="eastAsia" w:ascii="宋体" w:hAnsi="宋体" w:eastAsia="宋体" w:cs="宋体"/>
                <w:color w:val="000000" w:themeColor="text1"/>
                <w:spacing w:val="10"/>
                <w:sz w:val="21"/>
                <w:szCs w:val="21"/>
                <w:vertAlign w:val="subscript"/>
                <w:lang w:eastAsia="zh-CN"/>
                <w14:textFill>
                  <w14:solidFill>
                    <w14:schemeClr w14:val="tx1"/>
                  </w14:solidFill>
                </w14:textFill>
              </w:rPr>
              <w:t>2</w:t>
            </w:r>
            <w:r>
              <w:rPr>
                <w:rFonts w:hint="eastAsia" w:ascii="宋体" w:hAnsi="宋体" w:eastAsia="宋体" w:cs="宋体"/>
                <w:color w:val="000000" w:themeColor="text1"/>
                <w:spacing w:val="10"/>
                <w:sz w:val="21"/>
                <w:szCs w:val="21"/>
                <w:lang w:eastAsia="zh-CN"/>
                <w14:textFill>
                  <w14:solidFill>
                    <w14:schemeClr w14:val="tx1"/>
                  </w14:solidFill>
                </w14:textFill>
              </w:rPr>
              <w:t>等有毒有害气体</w:t>
            </w:r>
          </w:p>
        </w:tc>
      </w:tr>
      <w:tr w14:paraId="61CC1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jc w:val="center"/>
        </w:trPr>
        <w:tc>
          <w:tcPr>
            <w:tcW w:w="497" w:type="pct"/>
            <w:gridSpan w:val="2"/>
            <w:vMerge w:val="continue"/>
            <w:noWrap w:val="0"/>
            <w:vAlign w:val="center"/>
          </w:tcPr>
          <w:p w14:paraId="0F08966E">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p>
        </w:tc>
        <w:tc>
          <w:tcPr>
            <w:tcW w:w="957" w:type="pct"/>
            <w:noWrap w:val="0"/>
            <w:vAlign w:val="center"/>
          </w:tcPr>
          <w:p w14:paraId="2533A59C">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稳定性</w:t>
            </w:r>
          </w:p>
        </w:tc>
        <w:tc>
          <w:tcPr>
            <w:tcW w:w="1150" w:type="pct"/>
            <w:gridSpan w:val="2"/>
            <w:noWrap w:val="0"/>
            <w:vAlign w:val="center"/>
          </w:tcPr>
          <w:p w14:paraId="2D5C5927">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稳定</w:t>
            </w:r>
          </w:p>
        </w:tc>
        <w:tc>
          <w:tcPr>
            <w:tcW w:w="1151" w:type="pct"/>
            <w:gridSpan w:val="3"/>
            <w:noWrap w:val="0"/>
            <w:vAlign w:val="center"/>
          </w:tcPr>
          <w:p w14:paraId="3D4255B7">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禁忌物</w:t>
            </w:r>
          </w:p>
        </w:tc>
        <w:tc>
          <w:tcPr>
            <w:tcW w:w="1243" w:type="pct"/>
            <w:gridSpan w:val="2"/>
            <w:noWrap w:val="0"/>
            <w:vAlign w:val="center"/>
          </w:tcPr>
          <w:p w14:paraId="02FA1DEC">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硝酸等强氧化剂</w:t>
            </w:r>
          </w:p>
        </w:tc>
      </w:tr>
      <w:tr w14:paraId="49492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7" w:type="pct"/>
            <w:gridSpan w:val="2"/>
            <w:vMerge w:val="continue"/>
            <w:noWrap w:val="0"/>
            <w:vAlign w:val="center"/>
          </w:tcPr>
          <w:p w14:paraId="70EAB0CD">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14:textFill>
                  <w14:solidFill>
                    <w14:schemeClr w14:val="tx1"/>
                  </w14:solidFill>
                </w14:textFill>
              </w:rPr>
            </w:pPr>
          </w:p>
        </w:tc>
        <w:tc>
          <w:tcPr>
            <w:tcW w:w="957" w:type="pct"/>
            <w:noWrap w:val="0"/>
            <w:vAlign w:val="center"/>
          </w:tcPr>
          <w:p w14:paraId="33C69061">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灭火方法</w:t>
            </w:r>
          </w:p>
        </w:tc>
        <w:tc>
          <w:tcPr>
            <w:tcW w:w="3544" w:type="pct"/>
            <w:gridSpan w:val="7"/>
            <w:noWrap w:val="0"/>
            <w:vAlign w:val="center"/>
          </w:tcPr>
          <w:p w14:paraId="1923360E">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消防人员须佩戴防毒面具、穿全身消防服，在上风向灭火。尽可能将容器从火场移至空旷处。喷水保持火场容器冷却，直至灭火结束。处在火场中的容器若已变色或从安全泄压装置中产生声音，必须立即撤离。灭火剂：雾状水、泡沫、干粉、二氧化碳、砂土。</w:t>
            </w:r>
          </w:p>
        </w:tc>
      </w:tr>
      <w:tr w14:paraId="2D1E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29" w:type="pct"/>
            <w:shd w:val="clear" w:color="auto" w:fill="auto"/>
            <w:noWrap w:val="0"/>
            <w:vAlign w:val="center"/>
          </w:tcPr>
          <w:p w14:paraId="0388AA5B">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健康</w:t>
            </w:r>
          </w:p>
          <w:p w14:paraId="014B9A22">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危害</w:t>
            </w:r>
          </w:p>
        </w:tc>
        <w:tc>
          <w:tcPr>
            <w:tcW w:w="4570" w:type="pct"/>
            <w:gridSpan w:val="9"/>
            <w:shd w:val="clear" w:color="auto" w:fill="auto"/>
            <w:noWrap w:val="0"/>
            <w:vAlign w:val="center"/>
          </w:tcPr>
          <w:p w14:paraId="2D2803E6">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急性吸入，可出现乏力、头晕、头痛、恶心，严重者可引起油脂性肺炎。慢接触者，暴露部位可发生油性痤疮和接触型皮炎。可引发神经衰弱综合症，呼吸道和眼刺激症状及慢性油脂性肺炎。</w:t>
            </w:r>
          </w:p>
        </w:tc>
      </w:tr>
      <w:tr w14:paraId="17399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29" w:type="pct"/>
            <w:shd w:val="clear" w:color="auto" w:fill="auto"/>
            <w:noWrap w:val="0"/>
            <w:vAlign w:val="center"/>
          </w:tcPr>
          <w:p w14:paraId="5548EF56">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急救</w:t>
            </w:r>
          </w:p>
          <w:p w14:paraId="5CD0CD82">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措施</w:t>
            </w:r>
          </w:p>
        </w:tc>
        <w:tc>
          <w:tcPr>
            <w:tcW w:w="4570" w:type="pct"/>
            <w:gridSpan w:val="9"/>
            <w:shd w:val="clear" w:color="auto" w:fill="auto"/>
            <w:noWrap w:val="0"/>
            <w:vAlign w:val="center"/>
          </w:tcPr>
          <w:p w14:paraId="1286C389">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皮肤接触：脱去污染的衣着，用大量流动清水清洗。就医。</w:t>
            </w:r>
          </w:p>
          <w:p w14:paraId="54E91778">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眼接触：提起眼睑，用流动清水或生理盐水冲洗。就医。</w:t>
            </w:r>
          </w:p>
          <w:p w14:paraId="6D579920">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吸入：迅速脱离现场至空气新鲜处，保持呼吸畅通。如呼吸困难，给输氧。如呼吸停止，立即进行人工呼吸。就医。</w:t>
            </w:r>
          </w:p>
          <w:p w14:paraId="1151CB2D">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食用：饮适量温水，催吐。就医。</w:t>
            </w:r>
          </w:p>
        </w:tc>
      </w:tr>
      <w:tr w14:paraId="7062C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29" w:type="pct"/>
            <w:shd w:val="clear" w:color="auto" w:fill="auto"/>
            <w:noWrap w:val="0"/>
            <w:vAlign w:val="center"/>
          </w:tcPr>
          <w:p w14:paraId="7CEA1263">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防护</w:t>
            </w:r>
          </w:p>
          <w:p w14:paraId="691CD659">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处理</w:t>
            </w:r>
          </w:p>
        </w:tc>
        <w:tc>
          <w:tcPr>
            <w:tcW w:w="4570" w:type="pct"/>
            <w:gridSpan w:val="9"/>
            <w:shd w:val="clear" w:color="auto" w:fill="auto"/>
            <w:noWrap w:val="0"/>
            <w:vAlign w:val="center"/>
          </w:tcPr>
          <w:p w14:paraId="79D83B6F">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呼吸系统防护：空气中浓度超标时，必须佩戴自吸过滤式防毒面具（半面罩）；紧急事态抢救或撤离时，应佩戴空气呼吸器。</w:t>
            </w:r>
          </w:p>
          <w:p w14:paraId="48D955CD">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眼睛防护：戴化学安全防护眼镜。</w:t>
            </w:r>
          </w:p>
          <w:p w14:paraId="27AA1C7A">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身体防护：穿防毒渗透工作服。</w:t>
            </w:r>
          </w:p>
          <w:p w14:paraId="4E421E73">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手防护：戴橡胶耐油手套。</w:t>
            </w:r>
          </w:p>
          <w:p w14:paraId="089840A0">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其他：工作现场严禁吸烟，避免长期反复接触。</w:t>
            </w:r>
          </w:p>
        </w:tc>
      </w:tr>
      <w:tr w14:paraId="506DA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29" w:type="pct"/>
            <w:shd w:val="clear" w:color="auto" w:fill="auto"/>
            <w:noWrap w:val="0"/>
            <w:vAlign w:val="center"/>
          </w:tcPr>
          <w:p w14:paraId="494D6F15">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泄漏</w:t>
            </w:r>
          </w:p>
          <w:p w14:paraId="041AD94C">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处理</w:t>
            </w:r>
          </w:p>
        </w:tc>
        <w:tc>
          <w:tcPr>
            <w:tcW w:w="4570" w:type="pct"/>
            <w:gridSpan w:val="9"/>
            <w:shd w:val="clear" w:color="auto" w:fill="auto"/>
            <w:noWrap w:val="0"/>
            <w:vAlign w:val="center"/>
          </w:tcPr>
          <w:p w14:paraId="32595739">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迅速撤离泄漏污染区人员至安全区，并进行隔离，严格限制出入。切断火源。建议应急处理人员戴自给正式呼吸器，穿防毒服。尽可能切断泄漏源。防止流入下水道、排洪沟等限制性空间。小量泄漏：用砂土或其他不燃材料吸附或吸收，减少挥发。大量泄漏：构筑围堤或挖坑收容。用泵转移至槽车或专用收集器内，回收或运至废物处理场所处置。</w:t>
            </w:r>
          </w:p>
        </w:tc>
      </w:tr>
      <w:tr w14:paraId="148C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29" w:type="pct"/>
            <w:shd w:val="clear" w:color="auto" w:fill="auto"/>
            <w:noWrap w:val="0"/>
            <w:vAlign w:val="center"/>
          </w:tcPr>
          <w:p w14:paraId="07123BA2">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储存</w:t>
            </w:r>
          </w:p>
          <w:p w14:paraId="5B624D37">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要求</w:t>
            </w:r>
          </w:p>
        </w:tc>
        <w:tc>
          <w:tcPr>
            <w:tcW w:w="4570" w:type="pct"/>
            <w:gridSpan w:val="9"/>
            <w:shd w:val="clear" w:color="auto" w:fill="auto"/>
            <w:noWrap w:val="0"/>
            <w:vAlign w:val="center"/>
          </w:tcPr>
          <w:p w14:paraId="7B018E24">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储存于阴凉、通风的库房。远离火种、热源。应与氧化剂分开存放，切忌混储。配备相应品种和数量的消防器材。储区应备有泄漏应急处理设备和合适的收容材料。</w:t>
            </w:r>
          </w:p>
        </w:tc>
      </w:tr>
      <w:tr w14:paraId="3F6E0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29" w:type="pct"/>
            <w:shd w:val="clear" w:color="auto" w:fill="auto"/>
            <w:noWrap w:val="0"/>
            <w:vAlign w:val="center"/>
          </w:tcPr>
          <w:p w14:paraId="51865900">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运输</w:t>
            </w:r>
          </w:p>
          <w:p w14:paraId="3B35B1A3">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要求</w:t>
            </w:r>
          </w:p>
        </w:tc>
        <w:tc>
          <w:tcPr>
            <w:tcW w:w="4570" w:type="pct"/>
            <w:gridSpan w:val="9"/>
            <w:shd w:val="clear" w:color="auto" w:fill="auto"/>
            <w:noWrap w:val="0"/>
            <w:vAlign w:val="center"/>
          </w:tcPr>
          <w:p w14:paraId="36DB236C">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用油罐、油罐车、油船、铁桶、塑料桶等盛装，盛装时切不可装满，要留出必要的安全空间。</w:t>
            </w:r>
          </w:p>
          <w:p w14:paraId="7A1FD34E">
            <w:pPr>
              <w:keepNext w:val="0"/>
              <w:keepLines w:val="0"/>
              <w:pageBreakBefore w:val="0"/>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color w:val="000000" w:themeColor="text1"/>
                <w:spacing w:val="10"/>
                <w:sz w:val="21"/>
                <w:szCs w:val="21"/>
                <w:lang w:eastAsia="zh-CN"/>
                <w14:textFill>
                  <w14:solidFill>
                    <w14:schemeClr w14:val="tx1"/>
                  </w14:solidFill>
                </w14:textFill>
              </w:rPr>
            </w:pPr>
            <w:r>
              <w:rPr>
                <w:rFonts w:hint="eastAsia" w:ascii="宋体" w:hAnsi="宋体" w:eastAsia="宋体" w:cs="宋体"/>
                <w:color w:val="000000" w:themeColor="text1"/>
                <w:spacing w:val="10"/>
                <w:sz w:val="21"/>
                <w:szCs w:val="21"/>
                <w:lang w:eastAsia="zh-CN"/>
                <w14:textFill>
                  <w14:solidFill>
                    <w14:schemeClr w14:val="tx1"/>
                  </w14:solidFill>
                </w14:textFill>
              </w:rPr>
              <w:t>运输前应先检查包装容器是否完整、密封，运输过程中要确保容器不泄露、不倒塌、不坠落、不损坏。严禁与氧化剂、食用化学品等混装混运。运输车船必须彻底清洗、消毒，否则不得装运其它物品。船运时，配装位置应远离卧室、厨房，并与机舱、电源、火源等部位隔离。公路运输时要按规定路线行驶。</w:t>
            </w:r>
          </w:p>
        </w:tc>
      </w:tr>
    </w:tbl>
    <w:p w14:paraId="48B2076D">
      <w:pPr>
        <w:pStyle w:val="4"/>
        <w:keepNext w:val="0"/>
        <w:keepLines w:val="0"/>
        <w:spacing w:before="156" w:beforeLines="50" w:after="156" w:afterLines="50"/>
        <w:jc w:val="center"/>
        <w:rPr>
          <w:rFonts w:ascii="楷体" w:hAnsi="楷体"/>
          <w:bCs/>
          <w:color w:val="000000" w:themeColor="text1"/>
          <w14:textFill>
            <w14:solidFill>
              <w14:schemeClr w14:val="tx1"/>
            </w14:solidFill>
          </w14:textFill>
        </w:rPr>
      </w:pPr>
      <w:bookmarkStart w:id="361" w:name="_Toc20080"/>
      <w:bookmarkStart w:id="362" w:name="_Toc28653"/>
      <w:r>
        <w:rPr>
          <w:rFonts w:ascii="楷体" w:hAnsi="楷体"/>
          <w:bCs/>
          <w:color w:val="000000" w:themeColor="text1"/>
          <w14:textFill>
            <w14:solidFill>
              <w14:schemeClr w14:val="tx1"/>
            </w14:solidFill>
          </w14:textFill>
        </w:rPr>
        <w:t>3.5选址与总体布局危险、有害因素分析</w:t>
      </w:r>
      <w:bookmarkEnd w:id="357"/>
      <w:bookmarkEnd w:id="358"/>
      <w:bookmarkEnd w:id="359"/>
      <w:bookmarkEnd w:id="360"/>
      <w:bookmarkEnd w:id="361"/>
      <w:bookmarkEnd w:id="362"/>
    </w:p>
    <w:p w14:paraId="36D04F39">
      <w:pPr>
        <w:pStyle w:val="5"/>
        <w:keepNext w:val="0"/>
        <w:keepLines w:val="0"/>
        <w:spacing w:before="0" w:after="0"/>
        <w:rPr>
          <w:rFonts w:ascii="黑体" w:hAnsi="黑体"/>
          <w:b w:val="0"/>
          <w:color w:val="000000" w:themeColor="text1"/>
          <w14:textFill>
            <w14:solidFill>
              <w14:schemeClr w14:val="tx1"/>
            </w14:solidFill>
          </w14:textFill>
        </w:rPr>
      </w:pPr>
      <w:bookmarkStart w:id="363" w:name="_Toc28400"/>
      <w:bookmarkStart w:id="364" w:name="_Toc61474415"/>
      <w:bookmarkStart w:id="365" w:name="_Toc32570"/>
      <w:bookmarkStart w:id="366" w:name="_Toc30001393"/>
      <w:bookmarkStart w:id="367" w:name="_Toc2888"/>
      <w:r>
        <w:rPr>
          <w:rFonts w:ascii="黑体" w:hAnsi="黑体"/>
          <w:b w:val="0"/>
          <w:color w:val="000000" w:themeColor="text1"/>
          <w14:textFill>
            <w14:solidFill>
              <w14:schemeClr w14:val="tx1"/>
            </w14:solidFill>
          </w14:textFill>
        </w:rPr>
        <w:t>3.5.1厂址危险性分析</w:t>
      </w:r>
      <w:bookmarkEnd w:id="363"/>
      <w:bookmarkEnd w:id="364"/>
      <w:bookmarkEnd w:id="365"/>
      <w:bookmarkEnd w:id="366"/>
      <w:bookmarkEnd w:id="367"/>
    </w:p>
    <w:p w14:paraId="1A37147A">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（1）地质</w:t>
      </w:r>
    </w:p>
    <w:p w14:paraId="164C851D">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地质灾害主要由地形地貌、地层岩性，地质构造、地下水、地震、暴雨等因素等引发。同时，人工切坡，开挖渠道，爆破、机械振动等人类的工程活动，如设计、施工不当，也可破坏斜坡平衡，引发滑坡、崩塌等地质灾害。可能会因为地质不良或未根据地质情况采取相应的措施，造成建构筑物坍塌、地基塌陷、基础不均匀沉降等危险，基础不均匀下沉会导致设备损坏、管线破裂，发生坍塌、灼伤、触电等事故。</w:t>
      </w:r>
    </w:p>
    <w:p w14:paraId="0F5BFBF1">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（2）水文地质方面</w:t>
      </w:r>
    </w:p>
    <w:p w14:paraId="02B30EC0">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地下水位：地下水位的变化，对工程建筑的危害影响较大，如地下水位上升，可引起浅基础地基承载力的降低，在有地震砂土液化的地区会引起液化的加剧，岩土体产生变形、滑移、崩塌失稳等不良的地质作用，继而可导致建构筑物下沉、位移、倾斜甚至坍塌；</w:t>
      </w:r>
    </w:p>
    <w:p w14:paraId="64F7EB2D">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地下水侵蚀：地下水侵蚀性的影响主要体现在水对混凝土、可溶性石材、管道以及金属材料的侵蚀和危害。突出表现在地下水的侵蚀性和地下水中的化学性质的积极作用，在工程上带来较大的危害，侵蚀性在或快或慢的进行，可改变各种建筑材料的使用预期，造成建构筑物使用寿命的降低；</w:t>
      </w:r>
    </w:p>
    <w:p w14:paraId="04BEAAB7">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过度开采地下水：若厂区或周边企业违规自设水井开采地下水，地下水的过度开采经常造成地面沉陷，塌陷的地面给工程造成极大的危害，可致使场地地质状况下降，导致建构筑物下沉、倾斜甚至坍塌，给人员带来安全隐患。</w:t>
      </w:r>
    </w:p>
    <w:p w14:paraId="1134508C">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（3）地震</w:t>
      </w:r>
    </w:p>
    <w:p w14:paraId="2CB04215">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该项目所在地抗震设防烈度为</w:t>
      </w:r>
      <w:r>
        <w:rPr>
          <w:rFonts w:hint="eastAsia" w:hAnsi="宋体" w:cs="宋体"/>
          <w:color w:val="000000" w:themeColor="text1"/>
          <w:sz w:val="28"/>
          <w:szCs w:val="28"/>
          <w:lang w:val="en-US" w:eastAsia="zh-CN"/>
          <w14:textFill>
            <w14:solidFill>
              <w14:schemeClr w14:val="tx1"/>
            </w14:solidFill>
          </w14:textFill>
        </w:rPr>
        <w:t>7</w:t>
      </w:r>
      <w:r>
        <w:rPr>
          <w:rFonts w:hint="eastAsia" w:ascii="宋体" w:hAnsi="宋体" w:cs="宋体"/>
          <w:color w:val="000000" w:themeColor="text1"/>
          <w:sz w:val="28"/>
          <w:szCs w:val="28"/>
          <w14:textFill>
            <w14:solidFill>
              <w14:schemeClr w14:val="tx1"/>
            </w14:solidFill>
          </w14:textFill>
        </w:rPr>
        <w:t>度，如各建构筑物抗震设防等级不满足要求，地震可破坏建筑物基础，造成建筑物坍塌，造成人员、财产重大损失。</w:t>
      </w:r>
    </w:p>
    <w:p w14:paraId="06FD9F79">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周边环境方面的危险、有害因素分析</w:t>
      </w:r>
    </w:p>
    <w:p w14:paraId="58419F80">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南华昆轻树脂瓦开发有限公司位于南华县龙川镇老高坝工业园区内，</w:t>
      </w:r>
      <w:r>
        <w:rPr>
          <w:rFonts w:hint="eastAsia" w:ascii="宋体" w:hAnsi="宋体" w:eastAsia="宋体" w:cs="宋体"/>
          <w:color w:val="000000" w:themeColor="text1"/>
          <w:sz w:val="28"/>
          <w:szCs w:val="28"/>
          <w:lang w:val="en-US" w:eastAsia="zh-CN"/>
          <w14:textFill>
            <w14:solidFill>
              <w14:schemeClr w14:val="tx1"/>
            </w14:solidFill>
          </w14:textFill>
        </w:rPr>
        <w:t>东面为南华瑞泰保温材料有限公司（该企业已倒闭）；项目南面约10m处为南华县贝赢再生资源有限责任公司（目前属停产状态）、约100m外为茂森再生科技有限公司（该企业为锌锭加工）；项目西面为南华腾越混凝土有限公司和玻璃厂（目前为闲置状态）。</w:t>
      </w:r>
    </w:p>
    <w:p w14:paraId="5F0C6F61">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周边环境对项目的影响：因该项目厂区</w:t>
      </w:r>
      <w:r>
        <w:rPr>
          <w:rFonts w:hint="eastAsia" w:hAnsi="宋体" w:cs="宋体"/>
          <w:color w:val="000000" w:themeColor="text1"/>
          <w:sz w:val="28"/>
          <w:szCs w:val="28"/>
          <w:lang w:val="en-US" w:eastAsia="zh-CN"/>
          <w14:textFill>
            <w14:solidFill>
              <w14:schemeClr w14:val="tx1"/>
            </w14:solidFill>
          </w14:textFill>
        </w:rPr>
        <w:t>与</w:t>
      </w:r>
      <w:r>
        <w:rPr>
          <w:rFonts w:hint="eastAsia" w:ascii="宋体" w:hAnsi="宋体" w:eastAsia="宋体" w:cs="宋体"/>
          <w:color w:val="000000" w:themeColor="text1"/>
          <w:sz w:val="28"/>
          <w:szCs w:val="28"/>
          <w:lang w:val="en-US" w:eastAsia="zh-CN"/>
          <w14:textFill>
            <w14:solidFill>
              <w14:schemeClr w14:val="tx1"/>
            </w14:solidFill>
          </w14:textFill>
        </w:rPr>
        <w:t>南华县贝赢再生资源有限责任公司相距10m，</w:t>
      </w:r>
      <w:r>
        <w:rPr>
          <w:rFonts w:hint="eastAsia" w:ascii="宋体" w:hAnsi="宋体" w:cs="宋体"/>
          <w:color w:val="000000" w:themeColor="text1"/>
          <w:sz w:val="28"/>
          <w:szCs w:val="28"/>
          <w14:textFill>
            <w14:solidFill>
              <w14:schemeClr w14:val="tx1"/>
            </w14:solidFill>
          </w14:textFill>
        </w:rPr>
        <w:t>周边企业发生火灾，可能会造成项目火灾等危险，导致厂房受损、人员伤亡等危险。</w:t>
      </w:r>
    </w:p>
    <w:p w14:paraId="11267FD2">
      <w:pPr>
        <w:pStyle w:val="5"/>
        <w:keepNext w:val="0"/>
        <w:keepLines w:val="0"/>
        <w:spacing w:before="0" w:after="0"/>
        <w:rPr>
          <w:rFonts w:ascii="黑体" w:hAnsi="黑体"/>
          <w:b w:val="0"/>
          <w:color w:val="000000" w:themeColor="text1"/>
          <w14:textFill>
            <w14:solidFill>
              <w14:schemeClr w14:val="tx1"/>
            </w14:solidFill>
          </w14:textFill>
        </w:rPr>
      </w:pPr>
      <w:bookmarkStart w:id="368" w:name="_Toc30001394"/>
      <w:bookmarkStart w:id="369" w:name="_Toc30503"/>
      <w:bookmarkStart w:id="370" w:name="_Toc61474416"/>
      <w:bookmarkStart w:id="371" w:name="_Toc26286"/>
      <w:bookmarkStart w:id="372" w:name="_Toc21198"/>
      <w:r>
        <w:rPr>
          <w:rFonts w:ascii="黑体" w:hAnsi="黑体"/>
          <w:b w:val="0"/>
          <w:color w:val="000000" w:themeColor="text1"/>
          <w14:textFill>
            <w14:solidFill>
              <w14:schemeClr w14:val="tx1"/>
            </w14:solidFill>
          </w14:textFill>
        </w:rPr>
        <w:t>3.5.2总平面布置危险性分析</w:t>
      </w:r>
      <w:bookmarkEnd w:id="368"/>
      <w:bookmarkEnd w:id="369"/>
      <w:bookmarkEnd w:id="370"/>
      <w:bookmarkEnd w:id="371"/>
      <w:bookmarkEnd w:id="372"/>
    </w:p>
    <w:p w14:paraId="051FA0E9">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项目总体布置应全面考虑自然条件、社会环境、安全卫生设施、交通道路、建筑物间的防火间距、枢纽规划和环境绿化等对劳动安全和职业卫生都有直接影响的因素，应统一规划，合理安排。</w:t>
      </w:r>
    </w:p>
    <w:p w14:paraId="0ACD08E0">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总平面布置可能对项目造成危害的主要因素是防火间距、风向、道路、采光、通风、布置等方面。总平面布置不合理可能会导致火灾、物体打击、机械伤害、车辆伤害、触电等危险。引发事故的原因主要有：</w:t>
      </w:r>
    </w:p>
    <w:p w14:paraId="63B7C19E">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1.设备、设施安全通道预留不足或相关通道阻塞，可导致设备检修、巡检不便，发生机械伤害、触电等类型事故。</w:t>
      </w:r>
    </w:p>
    <w:p w14:paraId="6D69CA42">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2.总平面布置考虑不全面，对各功能区划分不合理，各功能区安全间距不足，消防安全通道宽度不够，导致各功能区相互影响，降低项目的安全程度，在发生事故时不能及时疏散和救援，致使事故损失增大。</w:t>
      </w:r>
    </w:p>
    <w:p w14:paraId="0B869815">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3.设备布置过于拥挤，作业区域空间狭小，未设防护挡板等可导致人员受到机械伤害，物体打击伤害。</w:t>
      </w:r>
    </w:p>
    <w:p w14:paraId="056506D5">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4.运输车停车区域规划不合理，无固定等候车位等容易造成车辆伤害。</w:t>
      </w:r>
    </w:p>
    <w:p w14:paraId="48B33BC3">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5.总平面布置如未结合物料防火特性，可燃物品储存混乱，发生火灾事故时可能导致火势蔓延影响扩大。</w:t>
      </w:r>
    </w:p>
    <w:p w14:paraId="4C73D5AC">
      <w:pPr>
        <w:pStyle w:val="4"/>
        <w:keepNext w:val="0"/>
        <w:keepLines w:val="0"/>
        <w:spacing w:before="156" w:beforeLines="50" w:after="156" w:afterLines="50"/>
        <w:jc w:val="center"/>
        <w:rPr>
          <w:rFonts w:ascii="楷体" w:hAnsi="楷体"/>
          <w:bCs/>
          <w:color w:val="000000" w:themeColor="text1"/>
          <w14:textFill>
            <w14:solidFill>
              <w14:schemeClr w14:val="tx1"/>
            </w14:solidFill>
          </w14:textFill>
        </w:rPr>
      </w:pPr>
      <w:bookmarkStart w:id="373" w:name="_Toc25268"/>
      <w:bookmarkStart w:id="374" w:name="_Toc15976"/>
      <w:r>
        <w:rPr>
          <w:rFonts w:hint="eastAsia" w:ascii="楷体" w:hAnsi="楷体"/>
          <w:bCs/>
          <w:color w:val="000000" w:themeColor="text1"/>
          <w14:textFill>
            <w14:solidFill>
              <w14:schemeClr w14:val="tx1"/>
            </w14:solidFill>
          </w14:textFill>
        </w:rPr>
        <w:t>3.</w:t>
      </w:r>
      <w:r>
        <w:rPr>
          <w:rFonts w:hint="eastAsia"/>
          <w:bCs/>
          <w:color w:val="000000" w:themeColor="text1"/>
          <w:lang w:val="en-US" w:eastAsia="zh-CN"/>
          <w14:textFill>
            <w14:solidFill>
              <w14:schemeClr w14:val="tx1"/>
            </w14:solidFill>
          </w14:textFill>
        </w:rPr>
        <w:t>6</w:t>
      </w:r>
      <w:r>
        <w:rPr>
          <w:rFonts w:hint="eastAsia" w:ascii="楷体" w:hAnsi="楷体"/>
          <w:bCs/>
          <w:color w:val="000000" w:themeColor="text1"/>
          <w14:textFill>
            <w14:solidFill>
              <w14:schemeClr w14:val="tx1"/>
            </w14:solidFill>
          </w14:textFill>
        </w:rPr>
        <w:t xml:space="preserve"> 生产过程中固有危险、有害因素辨识与分析</w:t>
      </w:r>
      <w:bookmarkEnd w:id="373"/>
      <w:bookmarkEnd w:id="374"/>
    </w:p>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14:paraId="7DBCA7AE">
      <w:pPr>
        <w:pStyle w:val="5"/>
        <w:spacing w:line="360" w:lineRule="auto"/>
        <w:rPr>
          <w:rFonts w:hint="eastAsia" w:ascii="Times New Roman" w:hAnsi="Times New Roman" w:cs="Times New Roman"/>
          <w:color w:val="000000" w:themeColor="text1"/>
          <w14:textFill>
            <w14:solidFill>
              <w14:schemeClr w14:val="tx1"/>
            </w14:solidFill>
          </w14:textFill>
        </w:rPr>
      </w:pPr>
      <w:bookmarkStart w:id="375" w:name="_Toc11562"/>
      <w:bookmarkStart w:id="376" w:name="_Toc18504"/>
      <w:r>
        <w:rPr>
          <w:rFonts w:hint="eastAsia"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1</w:t>
      </w:r>
      <w:r>
        <w:rPr>
          <w:rFonts w:hint="eastAsia" w:ascii="Times New Roman" w:hAnsi="Times New Roman" w:cs="Times New Roman"/>
          <w:color w:val="000000" w:themeColor="text1"/>
          <w14:textFill>
            <w14:solidFill>
              <w14:schemeClr w14:val="tx1"/>
            </w14:solidFill>
          </w14:textFill>
        </w:rPr>
        <w:t>火灾、爆炸</w:t>
      </w:r>
      <w:bookmarkEnd w:id="375"/>
      <w:bookmarkEnd w:id="376"/>
    </w:p>
    <w:p w14:paraId="082D1607">
      <w:pPr>
        <w:adjustRightInd w:val="0"/>
        <w:snapToGrid w:val="0"/>
        <w:spacing w:line="50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3.</w:t>
      </w:r>
      <w:r>
        <w:rPr>
          <w:rFonts w:hint="eastAsia" w:hAnsi="宋体"/>
          <w:color w:val="000000" w:themeColor="text1"/>
          <w:sz w:val="28"/>
          <w:szCs w:val="28"/>
          <w:lang w:val="en-US" w:eastAsia="zh-CN"/>
          <w14:textFill>
            <w14:solidFill>
              <w14:schemeClr w14:val="tx1"/>
            </w14:solidFill>
          </w14:textFill>
        </w:rPr>
        <w:t>6</w:t>
      </w:r>
      <w:r>
        <w:rPr>
          <w:rFonts w:hint="eastAsia" w:ascii="宋体" w:hAnsi="宋体"/>
          <w:color w:val="000000" w:themeColor="text1"/>
          <w:sz w:val="28"/>
          <w:szCs w:val="28"/>
          <w14:textFill>
            <w14:solidFill>
              <w14:schemeClr w14:val="tx1"/>
            </w14:solidFill>
          </w14:textFill>
        </w:rPr>
        <w:t>.</w:t>
      </w:r>
      <w:r>
        <w:rPr>
          <w:rFonts w:hint="eastAsia" w:hAnsi="宋体"/>
          <w:color w:val="000000" w:themeColor="text1"/>
          <w:sz w:val="28"/>
          <w:szCs w:val="28"/>
          <w:lang w:val="en-US" w:eastAsia="zh-CN"/>
          <w14:textFill>
            <w14:solidFill>
              <w14:schemeClr w14:val="tx1"/>
            </w14:solidFill>
          </w14:textFill>
        </w:rPr>
        <w:t>1</w:t>
      </w:r>
      <w:r>
        <w:rPr>
          <w:rFonts w:hint="eastAsia" w:ascii="宋体" w:hAnsi="宋体"/>
          <w:color w:val="000000" w:themeColor="text1"/>
          <w:sz w:val="28"/>
          <w:szCs w:val="28"/>
          <w14:textFill>
            <w14:solidFill>
              <w14:schemeClr w14:val="tx1"/>
            </w14:solidFill>
          </w14:textFill>
        </w:rPr>
        <w:t>.1 电气火灾</w:t>
      </w:r>
    </w:p>
    <w:p w14:paraId="3A2B4948">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1、电缆火灾危险性分析</w:t>
      </w:r>
    </w:p>
    <w:p w14:paraId="138DDED4">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电缆的绝缘材料、填充物和保护层如浸渍纸、漆布、橡胶、塑料等均属可燃物质，具有火灾危险性。引起电缆火灾和爆炸的原因有外部起火引起的着火、有电缆本身缺陷引起的着火。</w:t>
      </w:r>
    </w:p>
    <w:p w14:paraId="42959895">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（1）外部起火引起电缆着火的原因主要有：</w:t>
      </w:r>
    </w:p>
    <w:p w14:paraId="0ECD838E">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①开关设备及其他电气设备短路或接触电阻过大产生高温起火将附近电缆引燃；</w:t>
      </w:r>
    </w:p>
    <w:p w14:paraId="415E849F">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②安装施工和检修时高温焊渣等掉到电缆上引起着火；</w:t>
      </w:r>
    </w:p>
    <w:p w14:paraId="041545C3">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③其他可燃、易燃物质着火后将附近电缆引燃。</w:t>
      </w:r>
    </w:p>
    <w:p w14:paraId="08C30AF6">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（2）电缆本身缺陷引起电缆着火的原因：</w:t>
      </w:r>
    </w:p>
    <w:p w14:paraId="54363F23">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①电缆本身在制造时有缺陷，在敷设时保护铅皮损坏或在运行中电缆绝缘受到机械损伤，引起电缆相间或相与铅皮之间的绝缘击穿而发生电弧。电弧高温能引燃电缆内的绝缘材料和电缆外层的麻布等；</w:t>
      </w:r>
    </w:p>
    <w:p w14:paraId="078C270C">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②电缆长期受水、酸、碱和其他有腐蚀性气体或液体腐蚀使保护层破坏，绝缘强度降低，引起电缆短路起火；</w:t>
      </w:r>
    </w:p>
    <w:p w14:paraId="0F1423F5">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③在长时间运行中，由于过负荷、过热等原因使电缆绝缘加速老化、干枯，绝缘强度降低，引起电缆相间或对地击穿短路起火；</w:t>
      </w:r>
    </w:p>
    <w:p w14:paraId="5A641907">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④电缆外护套破损或密封不良，使电缆发生水渗浸受潮，导致绝缘击穿短路；</w:t>
      </w:r>
    </w:p>
    <w:p w14:paraId="583881DB">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⑤过电压使电缆绝缘击穿发生短路起火；</w:t>
      </w:r>
    </w:p>
    <w:p w14:paraId="11E150CC">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⑥安装时电缆的曲率半径过小，致使绝缘折断受损发生短路；</w:t>
      </w:r>
    </w:p>
    <w:p w14:paraId="6F4C35EF">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⑦电缆终端接头和中间接头接触不良发生爆炸短路事故，引起电缆着火。</w:t>
      </w:r>
    </w:p>
    <w:p w14:paraId="5C918428">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2、其它电气火灾</w:t>
      </w:r>
    </w:p>
    <w:p w14:paraId="0CDED095">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常用电气包括断路器、隔离开关、电动机、照明灯具、变压器等火灾危险性较大的电气设备。这些电气设备在发生故障时，可能会引燃绝缘材料或其它可燃物质，造成火灾、爆炸事故的发生。</w:t>
      </w:r>
    </w:p>
    <w:p w14:paraId="117AD77E">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3、电气设备引发的火灾、爆炸事故</w:t>
      </w:r>
    </w:p>
    <w:p w14:paraId="77F3E1A2">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电气设备表面温度超标，可能会使堆积在设备表面的可燃物发生燃烧，引发火灾、爆炸事故。</w:t>
      </w:r>
    </w:p>
    <w:p w14:paraId="6C9462BA">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4、气瓶火灾、爆炸</w:t>
      </w:r>
    </w:p>
    <w:p w14:paraId="54F7D734">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气瓶的材质、结构有缺陷，制造质量不合要求；在搬运装卸作业违章，造成抛、滑、滚、撞气瓶；气瓶直接受热；放气速度过快，产生静电火花或绝热压缩现象；未按期作技术检验等因素均会导致气瓶发生火灾、爆炸事故的发生。</w:t>
      </w:r>
    </w:p>
    <w:p w14:paraId="6A395A85">
      <w:pPr>
        <w:pStyle w:val="5"/>
        <w:spacing w:line="360" w:lineRule="auto"/>
        <w:rPr>
          <w:rFonts w:ascii="Times New Roman" w:hAnsi="Times New Roman"/>
          <w:color w:val="000000" w:themeColor="text1"/>
          <w14:textFill>
            <w14:solidFill>
              <w14:schemeClr w14:val="tx1"/>
            </w14:solidFill>
          </w14:textFill>
        </w:rPr>
      </w:pPr>
      <w:bookmarkStart w:id="377" w:name="_Toc314143784"/>
      <w:bookmarkStart w:id="378" w:name="_Toc314238245"/>
      <w:bookmarkStart w:id="379" w:name="_Toc313524437"/>
      <w:bookmarkStart w:id="380" w:name="_Toc15147"/>
      <w:bookmarkStart w:id="381" w:name="_Toc15935"/>
      <w:bookmarkStart w:id="382" w:name="_Toc341693612"/>
      <w:bookmarkStart w:id="383" w:name="_Toc19212"/>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.2压力容器爆炸</w:t>
      </w:r>
      <w:bookmarkEnd w:id="377"/>
      <w:bookmarkEnd w:id="378"/>
      <w:bookmarkEnd w:id="379"/>
      <w:bookmarkEnd w:id="380"/>
      <w:bookmarkEnd w:id="381"/>
      <w:bookmarkEnd w:id="382"/>
      <w:bookmarkEnd w:id="383"/>
    </w:p>
    <w:p w14:paraId="01DE6E86">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color w:val="000000" w:themeColor="text1"/>
          <w:sz w:val="28"/>
          <w:szCs w:val="28"/>
          <w:lang w:val="zh-CN"/>
          <w14:textFill>
            <w14:solidFill>
              <w14:schemeClr w14:val="tx1"/>
            </w14:solidFill>
          </w14:textFill>
        </w:rPr>
      </w:pPr>
      <w:r>
        <w:rPr>
          <w:rFonts w:hAnsi="宋体"/>
          <w:color w:val="000000" w:themeColor="text1"/>
          <w:sz w:val="28"/>
          <w:szCs w:val="28"/>
          <w14:textFill>
            <w14:solidFill>
              <w14:schemeClr w14:val="tx1"/>
            </w14:solidFill>
          </w14:textFill>
        </w:rPr>
        <w:t>该</w:t>
      </w:r>
      <w:r>
        <w:rPr>
          <w:rFonts w:hint="eastAsia" w:hAnsi="宋体"/>
          <w:color w:val="000000" w:themeColor="text1"/>
          <w:sz w:val="28"/>
          <w:szCs w:val="28"/>
          <w14:textFill>
            <w14:solidFill>
              <w14:schemeClr w14:val="tx1"/>
            </w14:solidFill>
          </w14:textFill>
        </w:rPr>
        <w:t>厂检修用的乙炔、氧气瓶</w:t>
      </w:r>
      <w:r>
        <w:rPr>
          <w:rFonts w:hAnsi="宋体"/>
          <w:color w:val="000000" w:themeColor="text1"/>
          <w:sz w:val="28"/>
          <w:szCs w:val="28"/>
          <w14:textFill>
            <w14:solidFill>
              <w14:schemeClr w14:val="tx1"/>
            </w14:solidFill>
          </w14:textFill>
        </w:rPr>
        <w:t>等压力容器，</w:t>
      </w:r>
      <w:r>
        <w:rPr>
          <w:rFonts w:hint="eastAsia" w:hAnsi="宋体"/>
          <w:color w:val="000000" w:themeColor="text1"/>
          <w:sz w:val="28"/>
          <w:szCs w:val="28"/>
          <w14:textFill>
            <w14:solidFill>
              <w14:schemeClr w14:val="tx1"/>
            </w14:solidFill>
          </w14:textFill>
        </w:rPr>
        <w:t>由于管理不善，受日光暴晒、明火等，使瓶温过高、压力剧增，直至超过瓶体材料强度极限，发生爆炸。</w:t>
      </w:r>
      <w:r>
        <w:rPr>
          <w:color w:val="000000" w:themeColor="text1"/>
          <w:sz w:val="28"/>
          <w:szCs w:val="28"/>
          <w:lang w:val="zh-CN"/>
          <w14:textFill>
            <w14:solidFill>
              <w14:schemeClr w14:val="tx1"/>
            </w14:solidFill>
          </w14:textFill>
        </w:rPr>
        <w:t>压力容器发生事故的原因主要有：</w:t>
      </w:r>
    </w:p>
    <w:p w14:paraId="33E487B8">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color w:val="000000" w:themeColor="text1"/>
          <w:sz w:val="28"/>
          <w:szCs w:val="28"/>
          <w:lang w:val="zh-CN"/>
          <w14:textFill>
            <w14:solidFill>
              <w14:schemeClr w14:val="tx1"/>
            </w14:solidFill>
          </w14:textFill>
        </w:rPr>
      </w:pPr>
      <w:r>
        <w:rPr>
          <w:color w:val="000000" w:themeColor="text1"/>
          <w:sz w:val="28"/>
          <w:szCs w:val="28"/>
          <w:lang w:val="zh-CN"/>
          <w14:textFill>
            <w14:solidFill>
              <w14:schemeClr w14:val="tx1"/>
            </w14:solidFill>
          </w14:textFill>
        </w:rPr>
        <w:t>1、超温、超压：因超出额定工作压力使设备、管道、连接件、管道附件破裂而导致爆炸。</w:t>
      </w:r>
    </w:p>
    <w:p w14:paraId="0CB05F78">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color w:val="000000" w:themeColor="text1"/>
          <w:sz w:val="28"/>
          <w:szCs w:val="28"/>
          <w:lang w:val="zh-CN"/>
          <w14:textFill>
            <w14:solidFill>
              <w14:schemeClr w14:val="tx1"/>
            </w14:solidFill>
          </w14:textFill>
        </w:rPr>
      </w:pPr>
      <w:r>
        <w:rPr>
          <w:color w:val="000000" w:themeColor="text1"/>
          <w:sz w:val="28"/>
          <w:szCs w:val="28"/>
          <w:lang w:val="zh-CN"/>
          <w14:textFill>
            <w14:solidFill>
              <w14:schemeClr w14:val="tx1"/>
            </w14:solidFill>
          </w14:textFill>
        </w:rPr>
        <w:t>2、腐蚀：压力容器、管道及其连接件、附件在运行过程中由于腐蚀等原因造成强度下降，不能承受正常工作压力而破裂爆炸。</w:t>
      </w:r>
    </w:p>
    <w:p w14:paraId="4E716808">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color w:val="000000" w:themeColor="text1"/>
          <w:sz w:val="28"/>
          <w:szCs w:val="28"/>
          <w:lang w:val="zh-CN"/>
          <w14:textFill>
            <w14:solidFill>
              <w14:schemeClr w14:val="tx1"/>
            </w14:solidFill>
          </w14:textFill>
        </w:rPr>
      </w:pPr>
      <w:r>
        <w:rPr>
          <w:color w:val="000000" w:themeColor="text1"/>
          <w:sz w:val="28"/>
          <w:szCs w:val="28"/>
          <w:lang w:val="zh-CN"/>
          <w14:textFill>
            <w14:solidFill>
              <w14:schemeClr w14:val="tx1"/>
            </w14:solidFill>
          </w14:textFill>
        </w:rPr>
        <w:t>3、设计、安装缺陷：压力管道设计失误，或在安装过程中存在质量问题可能导致爆炸。</w:t>
      </w:r>
    </w:p>
    <w:p w14:paraId="5B6AFD4C">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color w:val="000000" w:themeColor="text1"/>
          <w:sz w:val="28"/>
          <w:szCs w:val="28"/>
          <w:lang w:val="zh-CN"/>
          <w14:textFill>
            <w14:solidFill>
              <w14:schemeClr w14:val="tx1"/>
            </w14:solidFill>
          </w14:textFill>
        </w:rPr>
      </w:pPr>
      <w:r>
        <w:rPr>
          <w:color w:val="000000" w:themeColor="text1"/>
          <w:sz w:val="28"/>
          <w:szCs w:val="28"/>
          <w:lang w:val="zh-CN"/>
          <w14:textFill>
            <w14:solidFill>
              <w14:schemeClr w14:val="tx1"/>
            </w14:solidFill>
          </w14:textFill>
        </w:rPr>
        <w:t>4、管道堵塞：管道因进入异物、腐蚀、物料夹带等原因可能造成堵塞，使其内部憋压而导致超压爆炸。</w:t>
      </w:r>
    </w:p>
    <w:p w14:paraId="35969A76">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color w:val="000000" w:themeColor="text1"/>
          <w:sz w:val="28"/>
          <w:szCs w:val="28"/>
          <w:lang w:val="zh-CN"/>
          <w14:textFill>
            <w14:solidFill>
              <w14:schemeClr w14:val="tx1"/>
            </w14:solidFill>
          </w14:textFill>
        </w:rPr>
      </w:pPr>
      <w:r>
        <w:rPr>
          <w:color w:val="000000" w:themeColor="text1"/>
          <w:sz w:val="28"/>
          <w:szCs w:val="28"/>
          <w:lang w:val="zh-CN"/>
          <w14:textFill>
            <w14:solidFill>
              <w14:schemeClr w14:val="tx1"/>
            </w14:solidFill>
          </w14:textFill>
        </w:rPr>
        <w:t>5、其他缺陷：如垫片材质选择错误，混入</w:t>
      </w:r>
      <w:r>
        <w:rPr>
          <w:rFonts w:hint="eastAsia"/>
          <w:color w:val="000000" w:themeColor="text1"/>
          <w:sz w:val="28"/>
          <w:szCs w:val="28"/>
          <w:lang w:val="zh-CN"/>
          <w14:textFill>
            <w14:solidFill>
              <w14:schemeClr w14:val="tx1"/>
            </w14:solidFill>
          </w14:textFill>
        </w:rPr>
        <w:t>其他</w:t>
      </w:r>
      <w:r>
        <w:rPr>
          <w:color w:val="000000" w:themeColor="text1"/>
          <w:sz w:val="28"/>
          <w:szCs w:val="28"/>
          <w:lang w:val="zh-CN"/>
          <w14:textFill>
            <w14:solidFill>
              <w14:schemeClr w14:val="tx1"/>
            </w14:solidFill>
          </w14:textFill>
        </w:rPr>
        <w:t>物质，形成爆炸性混合物等也可能导致压力管道爆炸事故发生。</w:t>
      </w:r>
    </w:p>
    <w:p w14:paraId="2433AF8F">
      <w:pPr>
        <w:keepNext w:val="0"/>
        <w:keepLines w:val="0"/>
        <w:pageBreakBefore w:val="0"/>
        <w:widowControl w:val="0"/>
        <w:kinsoku/>
        <w:wordWrap/>
        <w:overflowPunct/>
        <w:topLinePunct w:val="0"/>
        <w:bidi w:val="0"/>
        <w:snapToGrid/>
        <w:spacing w:line="500" w:lineRule="exact"/>
        <w:ind w:firstLine="560" w:firstLineChars="200"/>
        <w:textAlignment w:val="auto"/>
        <w:rPr>
          <w:rFonts w:hAnsi="宋体"/>
          <w:color w:val="000000" w:themeColor="text1"/>
          <w:sz w:val="28"/>
          <w:szCs w:val="28"/>
          <w14:textFill>
            <w14:solidFill>
              <w14:schemeClr w14:val="tx1"/>
            </w14:solidFill>
          </w14:textFill>
        </w:rPr>
      </w:pPr>
      <w:r>
        <w:rPr>
          <w:color w:val="000000" w:themeColor="text1"/>
          <w:sz w:val="28"/>
          <w:szCs w:val="28"/>
          <w:lang w:val="zh-CN"/>
          <w14:textFill>
            <w14:solidFill>
              <w14:schemeClr w14:val="tx1"/>
            </w14:solidFill>
          </w14:textFill>
        </w:rPr>
        <w:t>压力容器爆炸事故不但直接损害管道、设备，而且会造成内部物料泄漏，引发火灾、爆炸、中毒等二次事故。</w:t>
      </w:r>
    </w:p>
    <w:p w14:paraId="26198739">
      <w:pPr>
        <w:pStyle w:val="5"/>
        <w:spacing w:line="360" w:lineRule="auto"/>
        <w:rPr>
          <w:rFonts w:ascii="Times New Roman" w:hAnsi="Times New Roman"/>
          <w:color w:val="000000" w:themeColor="text1"/>
          <w14:textFill>
            <w14:solidFill>
              <w14:schemeClr w14:val="tx1"/>
            </w14:solidFill>
          </w14:textFill>
        </w:rPr>
      </w:pPr>
      <w:bookmarkStart w:id="384" w:name="_Toc314143785"/>
      <w:bookmarkStart w:id="385" w:name="_Toc314238246"/>
      <w:bookmarkStart w:id="386" w:name="_Toc313524438"/>
      <w:bookmarkStart w:id="387" w:name="_Toc8388"/>
      <w:bookmarkStart w:id="388" w:name="_Toc341693613"/>
      <w:bookmarkStart w:id="389" w:name="_Toc32410"/>
      <w:bookmarkStart w:id="390" w:name="_Toc3655"/>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.3 机械伤害</w:t>
      </w:r>
      <w:bookmarkEnd w:id="384"/>
      <w:bookmarkEnd w:id="385"/>
      <w:bookmarkEnd w:id="386"/>
      <w:bookmarkEnd w:id="387"/>
      <w:bookmarkEnd w:id="388"/>
      <w:bookmarkEnd w:id="389"/>
      <w:bookmarkEnd w:id="390"/>
    </w:p>
    <w:p w14:paraId="16E58060">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rFonts w:ascii="宋体" w:hAnsi="Times New Roman" w:eastAsia="宋体" w:cs="Times New Roman"/>
          <w:color w:val="000000" w:themeColor="text1"/>
          <w:sz w:val="28"/>
          <w:szCs w:val="28"/>
          <w:lang w:val="zh-CN"/>
          <w14:textFill>
            <w14:solidFill>
              <w14:schemeClr w14:val="tx1"/>
            </w14:solidFill>
          </w14:textFill>
        </w:rPr>
      </w:pPr>
      <w:bookmarkStart w:id="391" w:name="_Toc341693614"/>
      <w:bookmarkStart w:id="392" w:name="_Toc314238247"/>
      <w:bookmarkStart w:id="393" w:name="_Toc314143786"/>
      <w:bookmarkStart w:id="394" w:name="_Toc23917"/>
      <w:bookmarkStart w:id="395" w:name="_Toc313524439"/>
      <w:r>
        <w:rPr>
          <w:rFonts w:ascii="宋体" w:hAnsi="Times New Roman" w:eastAsia="宋体" w:cs="Times New Roman"/>
          <w:color w:val="000000" w:themeColor="text1"/>
          <w:sz w:val="28"/>
          <w:szCs w:val="28"/>
          <w:lang w:val="zh-CN"/>
          <w14:textFill>
            <w14:solidFill>
              <w14:schemeClr w14:val="tx1"/>
            </w14:solidFill>
          </w14:textFill>
        </w:rPr>
        <w:t>机械伤害指各种机械设备转动（静止）部件、工具、加工件等直接与人体接触引起的夹击、碰撞、剪切、卷入、绞、碾、割、刺等伤害。</w:t>
      </w:r>
    </w:p>
    <w:p w14:paraId="4EAE9E4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rFonts w:ascii="宋体" w:hAnsi="Times New Roman" w:eastAsia="宋体" w:cs="Times New Roman"/>
          <w:color w:val="000000" w:themeColor="text1"/>
          <w:sz w:val="28"/>
          <w:szCs w:val="28"/>
          <w:lang w:val="zh-CN"/>
          <w14:textFill>
            <w14:solidFill>
              <w14:schemeClr w14:val="tx1"/>
            </w14:solidFill>
          </w14:textFill>
        </w:rPr>
      </w:pPr>
      <w:r>
        <w:rPr>
          <w:rFonts w:ascii="宋体" w:hAnsi="Times New Roman" w:eastAsia="宋体" w:cs="Times New Roman"/>
          <w:color w:val="000000" w:themeColor="text1"/>
          <w:sz w:val="28"/>
          <w:szCs w:val="28"/>
          <w:lang w:val="zh-CN"/>
          <w14:textFill>
            <w14:solidFill>
              <w14:schemeClr w14:val="tx1"/>
            </w14:solidFill>
          </w14:textFill>
        </w:rPr>
        <w:t>运转机械，若运转部分缺少防护设施，或操作人员违章操作，在设备运转过程中投加物料，则可能导致机械伤害事故的发生；在设备检修过程中，也可能因为各种工具使用不当造成机械伤害。</w:t>
      </w:r>
    </w:p>
    <w:p w14:paraId="70D61513">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rFonts w:ascii="宋体" w:hAnsi="Times New Roman" w:eastAsia="宋体" w:cs="Times New Roman"/>
          <w:color w:val="000000" w:themeColor="text1"/>
          <w:sz w:val="28"/>
          <w:szCs w:val="28"/>
          <w:lang w:val="zh-CN"/>
          <w14:textFill>
            <w14:solidFill>
              <w14:schemeClr w14:val="tx1"/>
            </w14:solidFill>
          </w14:textFill>
        </w:rPr>
      </w:pPr>
      <w:r>
        <w:rPr>
          <w:rFonts w:ascii="宋体" w:hAnsi="Times New Roman" w:eastAsia="宋体" w:cs="Times New Roman"/>
          <w:color w:val="000000" w:themeColor="text1"/>
          <w:sz w:val="28"/>
          <w:szCs w:val="28"/>
          <w:lang w:val="zh-CN"/>
          <w14:textFill>
            <w14:solidFill>
              <w14:schemeClr w14:val="tx1"/>
            </w14:solidFill>
          </w14:textFill>
        </w:rPr>
        <w:t>造成机械伤害事故的主要原因包括：</w:t>
      </w:r>
    </w:p>
    <w:p w14:paraId="6468F7D9">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rFonts w:ascii="宋体" w:hAnsi="Times New Roman" w:eastAsia="宋体" w:cs="Times New Roman"/>
          <w:color w:val="000000" w:themeColor="text1"/>
          <w:sz w:val="28"/>
          <w:szCs w:val="28"/>
          <w:lang w:val="zh-CN"/>
          <w14:textFill>
            <w14:solidFill>
              <w14:schemeClr w14:val="tx1"/>
            </w14:solidFill>
          </w14:textFill>
        </w:rPr>
      </w:pPr>
      <w:r>
        <w:rPr>
          <w:rFonts w:hint="eastAsia" w:ascii="宋体" w:hAnsi="Times New Roman" w:eastAsia="宋体" w:cs="Times New Roman"/>
          <w:color w:val="000000" w:themeColor="text1"/>
          <w:sz w:val="28"/>
          <w:szCs w:val="28"/>
          <w:lang w:val="zh-CN"/>
          <w14:textFill>
            <w14:solidFill>
              <w14:schemeClr w14:val="tx1"/>
            </w14:solidFill>
          </w14:textFill>
        </w:rPr>
        <w:t>1.</w:t>
      </w:r>
      <w:r>
        <w:rPr>
          <w:rFonts w:ascii="宋体" w:hAnsi="Times New Roman" w:eastAsia="宋体" w:cs="Times New Roman"/>
          <w:color w:val="000000" w:themeColor="text1"/>
          <w:sz w:val="28"/>
          <w:szCs w:val="28"/>
          <w:lang w:val="zh-CN"/>
          <w14:textFill>
            <w14:solidFill>
              <w14:schemeClr w14:val="tx1"/>
            </w14:solidFill>
          </w14:textFill>
        </w:rPr>
        <w:t>安全操作规程不健全或管理不善，对操作人员缺乏基本培训。操作人员不按安全操作规程操作，未正确</w:t>
      </w:r>
      <w:r>
        <w:rPr>
          <w:rFonts w:hint="eastAsia" w:ascii="宋体" w:hAnsi="Times New Roman" w:eastAsia="宋体" w:cs="Times New Roman"/>
          <w:color w:val="000000" w:themeColor="text1"/>
          <w:sz w:val="28"/>
          <w:szCs w:val="28"/>
          <w:lang w:val="zh-CN"/>
          <w14:textFill>
            <w14:solidFill>
              <w14:schemeClr w14:val="tx1"/>
            </w14:solidFill>
          </w14:textFill>
        </w:rPr>
        <w:t>佩戴</w:t>
      </w:r>
      <w:r>
        <w:rPr>
          <w:rFonts w:ascii="宋体" w:hAnsi="Times New Roman" w:eastAsia="宋体" w:cs="Times New Roman"/>
          <w:color w:val="000000" w:themeColor="text1"/>
          <w:sz w:val="28"/>
          <w:szCs w:val="28"/>
          <w:lang w:val="zh-CN"/>
          <w14:textFill>
            <w14:solidFill>
              <w14:schemeClr w14:val="tx1"/>
            </w14:solidFill>
          </w14:textFill>
        </w:rPr>
        <w:t>防护用具等。</w:t>
      </w:r>
    </w:p>
    <w:p w14:paraId="5246D40F">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rFonts w:ascii="宋体" w:hAnsi="Times New Roman" w:eastAsia="宋体" w:cs="Times New Roman"/>
          <w:color w:val="000000" w:themeColor="text1"/>
          <w:sz w:val="28"/>
          <w:szCs w:val="28"/>
          <w:lang w:val="zh-CN"/>
          <w14:textFill>
            <w14:solidFill>
              <w14:schemeClr w14:val="tx1"/>
            </w14:solidFill>
          </w14:textFill>
        </w:rPr>
      </w:pPr>
      <w:r>
        <w:rPr>
          <w:rFonts w:hint="eastAsia" w:ascii="宋体" w:hAnsi="Times New Roman" w:eastAsia="宋体" w:cs="Times New Roman"/>
          <w:color w:val="000000" w:themeColor="text1"/>
          <w:sz w:val="28"/>
          <w:szCs w:val="28"/>
          <w:lang w:val="zh-CN"/>
          <w14:textFill>
            <w14:solidFill>
              <w14:schemeClr w14:val="tx1"/>
            </w14:solidFill>
          </w14:textFill>
        </w:rPr>
        <w:t>2.</w:t>
      </w:r>
      <w:r>
        <w:rPr>
          <w:rFonts w:ascii="宋体" w:hAnsi="Times New Roman" w:eastAsia="宋体" w:cs="Times New Roman"/>
          <w:color w:val="000000" w:themeColor="text1"/>
          <w:sz w:val="28"/>
          <w:szCs w:val="28"/>
          <w:lang w:val="zh-CN"/>
          <w14:textFill>
            <w14:solidFill>
              <w14:schemeClr w14:val="tx1"/>
            </w14:solidFill>
          </w14:textFill>
        </w:rPr>
        <w:t>设备在非最佳状态下运转。机械设备存在缺陷，机械设备的组成部件、附件和安全防护装置的功能失效和人为损坏等，均可能导致机械伤害事故的发生。</w:t>
      </w:r>
    </w:p>
    <w:p w14:paraId="612ED3AE">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rFonts w:ascii="宋体" w:hAnsi="Times New Roman" w:eastAsia="宋体" w:cs="Times New Roman"/>
          <w:color w:val="000000" w:themeColor="text1"/>
          <w:sz w:val="28"/>
          <w:szCs w:val="28"/>
          <w:lang w:val="zh-CN"/>
          <w14:textFill>
            <w14:solidFill>
              <w14:schemeClr w14:val="tx1"/>
            </w14:solidFill>
          </w14:textFill>
        </w:rPr>
      </w:pPr>
      <w:r>
        <w:rPr>
          <w:rFonts w:hint="eastAsia" w:ascii="宋体" w:hAnsi="Times New Roman" w:eastAsia="宋体" w:cs="Times New Roman"/>
          <w:color w:val="000000" w:themeColor="text1"/>
          <w:sz w:val="28"/>
          <w:szCs w:val="28"/>
          <w:lang w:val="zh-CN"/>
          <w14:textFill>
            <w14:solidFill>
              <w14:schemeClr w14:val="tx1"/>
            </w14:solidFill>
          </w14:textFill>
        </w:rPr>
        <w:t>3.</w:t>
      </w:r>
      <w:r>
        <w:rPr>
          <w:rFonts w:ascii="宋体" w:hAnsi="Times New Roman" w:eastAsia="宋体" w:cs="Times New Roman"/>
          <w:color w:val="000000" w:themeColor="text1"/>
          <w:sz w:val="28"/>
          <w:szCs w:val="28"/>
          <w:lang w:val="zh-CN"/>
          <w14:textFill>
            <w14:solidFill>
              <w14:schemeClr w14:val="tx1"/>
            </w14:solidFill>
          </w14:textFill>
        </w:rPr>
        <w:t>工作场地环境不好也是造成机械伤害事故的原因之一。如工作场地照明不良、温度、噪声过高、地面或脚踏板被弄脏、设备布局不合理、零件及半成品堆放不合理等。</w:t>
      </w:r>
    </w:p>
    <w:p w14:paraId="0CCBCA4E">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rPr>
          <w:rFonts w:ascii="宋体" w:hAnsi="Times New Roman" w:eastAsia="宋体" w:cs="Times New Roman"/>
          <w:color w:val="000000" w:themeColor="text1"/>
          <w:sz w:val="28"/>
          <w:szCs w:val="28"/>
          <w:lang w:val="zh-CN"/>
          <w14:textFill>
            <w14:solidFill>
              <w14:schemeClr w14:val="tx1"/>
            </w14:solidFill>
          </w14:textFill>
        </w:rPr>
      </w:pPr>
      <w:r>
        <w:rPr>
          <w:rFonts w:hint="eastAsia" w:ascii="宋体" w:hAnsi="Times New Roman" w:eastAsia="宋体" w:cs="Times New Roman"/>
          <w:color w:val="000000" w:themeColor="text1"/>
          <w:sz w:val="28"/>
          <w:szCs w:val="28"/>
          <w:lang w:val="zh-CN"/>
          <w14:textFill>
            <w14:solidFill>
              <w14:schemeClr w14:val="tx1"/>
            </w14:solidFill>
          </w14:textFill>
        </w:rPr>
        <w:t>4.</w:t>
      </w:r>
      <w:r>
        <w:rPr>
          <w:rFonts w:ascii="宋体" w:hAnsi="Times New Roman" w:eastAsia="宋体" w:cs="Times New Roman"/>
          <w:color w:val="000000" w:themeColor="text1"/>
          <w:sz w:val="28"/>
          <w:szCs w:val="28"/>
          <w:lang w:val="zh-CN"/>
          <w14:textFill>
            <w14:solidFill>
              <w14:schemeClr w14:val="tx1"/>
            </w14:solidFill>
          </w14:textFill>
        </w:rPr>
        <w:t>各机械设备的防护措施设置不当，操作人员在进行操作、检修或在事故状态时，就有发生机械伤害的可能。如出现故障不停机处理、检修时无人监护、不挂禁动牌、启动前不全面检查等都易造成机械伤害事故；另外，如果联轴器质量不好、安装不牢、无防护罩或操作失误，可能发生联轴器破碎飞出伤人事故；当转动部分缺少护栏护罩，操作、擦洗时，操作人员触及还可能发生撞击、衣物或长发被缠绕而造成伤害。</w:t>
      </w:r>
    </w:p>
    <w:p w14:paraId="6E830321">
      <w:pPr>
        <w:pStyle w:val="5"/>
        <w:spacing w:beforeLines="50" w:afterLines="50" w:line="360" w:lineRule="auto"/>
        <w:rPr>
          <w:color w:val="000000" w:themeColor="text1"/>
          <w14:textFill>
            <w14:solidFill>
              <w14:schemeClr w14:val="tx1"/>
            </w14:solidFill>
          </w14:textFill>
        </w:rPr>
      </w:pPr>
      <w:bookmarkStart w:id="396" w:name="_Toc30874"/>
      <w:bookmarkStart w:id="397" w:name="_Toc7155"/>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.4 起重伤害</w:t>
      </w:r>
      <w:bookmarkEnd w:id="391"/>
      <w:bookmarkEnd w:id="392"/>
      <w:bookmarkEnd w:id="393"/>
      <w:bookmarkEnd w:id="394"/>
      <w:bookmarkEnd w:id="395"/>
      <w:bookmarkEnd w:id="396"/>
      <w:bookmarkEnd w:id="397"/>
    </w:p>
    <w:p w14:paraId="0FFCE4B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hAnsi="宋体"/>
          <w:color w:val="000000" w:themeColor="text1"/>
          <w:sz w:val="28"/>
          <w:szCs w:val="28"/>
          <w14:textFill>
            <w14:solidFill>
              <w14:schemeClr w14:val="tx1"/>
            </w14:solidFill>
          </w14:textFill>
        </w:rPr>
      </w:pPr>
      <w:r>
        <w:rPr>
          <w:rFonts w:hint="eastAsia" w:hAnsi="宋体"/>
          <w:color w:val="000000" w:themeColor="text1"/>
          <w:sz w:val="28"/>
          <w:szCs w:val="28"/>
          <w14:textFill>
            <w14:solidFill>
              <w14:schemeClr w14:val="tx1"/>
            </w14:solidFill>
          </w14:textFill>
        </w:rPr>
        <w:t>起重伤害是指从事各种起重作业时发生的伤害事故。</w:t>
      </w:r>
    </w:p>
    <w:p w14:paraId="0AF681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造成起重伤害事故的主要原因</w:t>
      </w:r>
      <w:r>
        <w:rPr>
          <w:rFonts w:hint="eastAsia" w:hAnsi="宋体" w:cs="宋体"/>
          <w:color w:val="000000" w:themeColor="text1"/>
          <w:sz w:val="28"/>
          <w:szCs w:val="28"/>
          <w:lang w:eastAsia="zh-CN"/>
          <w14:textFill>
            <w14:solidFill>
              <w14:schemeClr w14:val="tx1"/>
            </w14:solidFill>
          </w14:textFill>
        </w:rPr>
        <w:t>：</w:t>
      </w:r>
    </w:p>
    <w:p w14:paraId="79C90A7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1.操作因素主要有：</w:t>
      </w:r>
    </w:p>
    <w:p w14:paraId="645886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1）起吊方式不当、捆绑不牢造成的脱钩、起重物散落或摆动伤人；</w:t>
      </w:r>
    </w:p>
    <w:p w14:paraId="2A21F4C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2）违反操作规程，如超载起重、人处于危险区工作等造成的人员伤亡和设备损坏，以及因司机不按规定使用限重器、限位器、制动器或不按规定归位、锚定造成的超载、过卷扬、出轨、倾翻等事故；</w:t>
      </w:r>
    </w:p>
    <w:p w14:paraId="47A53B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3）指挥不当、动作不协调造成的碰撞等。</w:t>
      </w:r>
    </w:p>
    <w:p w14:paraId="284A690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2.设备因素主要有：</w:t>
      </w:r>
    </w:p>
    <w:p w14:paraId="533B9A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1）吊具失效，如吊钩、钢丝绳、网具等损坏而造成的重物坠落；</w:t>
      </w:r>
    </w:p>
    <w:p w14:paraId="17AE99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2）起重设备的操纵系统失灵或安全装置失效而引起的事故，如制动装置失灵而造成重物的冲击和夹挤；</w:t>
      </w:r>
    </w:p>
    <w:p w14:paraId="5F4D45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3）构件强度不够导致的事故；</w:t>
      </w:r>
    </w:p>
    <w:p w14:paraId="0467AA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4）电器损坏而造成的触电事故；</w:t>
      </w:r>
    </w:p>
    <w:p w14:paraId="0C6610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5）因啃轨、超磨损或弯曲造成的起重机出轨事故等。</w:t>
      </w:r>
    </w:p>
    <w:p w14:paraId="1C154E7F">
      <w:pPr>
        <w:pStyle w:val="5"/>
        <w:spacing w:line="360" w:lineRule="auto"/>
        <w:rPr>
          <w:rFonts w:ascii="Times New Roman" w:hAnsi="Times New Roman"/>
          <w:color w:val="000000" w:themeColor="text1"/>
          <w14:textFill>
            <w14:solidFill>
              <w14:schemeClr w14:val="tx1"/>
            </w14:solidFill>
          </w14:textFill>
        </w:rPr>
      </w:pPr>
      <w:bookmarkStart w:id="398" w:name="_Toc314238248"/>
      <w:bookmarkStart w:id="399" w:name="_Toc27458"/>
      <w:bookmarkStart w:id="400" w:name="_Toc15892"/>
      <w:bookmarkStart w:id="401" w:name="_Toc341693615"/>
      <w:bookmarkStart w:id="402" w:name="_Toc313524440"/>
      <w:bookmarkStart w:id="403" w:name="_Toc314143787"/>
      <w:bookmarkStart w:id="404" w:name="_Toc32516"/>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.5 中毒</w:t>
      </w:r>
      <w:r>
        <w:rPr>
          <w:rFonts w:hint="eastAsia" w:ascii="Times New Roman" w:hAnsi="Times New Roman"/>
          <w:color w:val="000000" w:themeColor="text1"/>
          <w:lang w:val="en-US" w:eastAsia="zh-CN"/>
          <w14:textFill>
            <w14:solidFill>
              <w14:schemeClr w14:val="tx1"/>
            </w14:solidFill>
          </w14:textFill>
        </w:rPr>
        <w:t>和</w:t>
      </w:r>
      <w:r>
        <w:rPr>
          <w:rFonts w:hint="eastAsia" w:ascii="Times New Roman" w:hAnsi="Times New Roman"/>
          <w:color w:val="000000" w:themeColor="text1"/>
          <w14:textFill>
            <w14:solidFill>
              <w14:schemeClr w14:val="tx1"/>
            </w14:solidFill>
          </w14:textFill>
        </w:rPr>
        <w:t>窒息</w:t>
      </w:r>
      <w:bookmarkEnd w:id="398"/>
      <w:bookmarkEnd w:id="399"/>
      <w:bookmarkEnd w:id="400"/>
      <w:bookmarkEnd w:id="401"/>
      <w:bookmarkEnd w:id="402"/>
      <w:bookmarkEnd w:id="403"/>
      <w:bookmarkEnd w:id="404"/>
    </w:p>
    <w:p w14:paraId="125399F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中毒和窒息是指机体过量、大量接触化学毒物，引发组织结构和功能损害、代谢障碍而发生疾病、死亡或因外界氧气不足或其他气体过多或者呼吸系统发生障碍而呼吸困难甚至停止呼吸。</w:t>
      </w:r>
    </w:p>
    <w:p w14:paraId="1E3DBE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作业人员进入</w:t>
      </w:r>
      <w:r>
        <w:rPr>
          <w:rFonts w:hint="eastAsia" w:ascii="宋体" w:hAnsi="宋体" w:eastAsia="宋体" w:cs="Times New Roman"/>
          <w:color w:val="000000" w:themeColor="text1"/>
          <w:sz w:val="28"/>
          <w:szCs w:val="28"/>
          <w:lang w:val="en-US" w:eastAsia="zh-CN"/>
          <w14:textFill>
            <w14:solidFill>
              <w14:schemeClr w14:val="tx1"/>
            </w14:solidFill>
          </w14:textFill>
        </w:rPr>
        <w:t>水泥、石粉筒仓、料仓、粉碎机及混料机内部、循环水池、化粪池、设备地坑、污水处理池</w:t>
      </w:r>
      <w:r>
        <w:rPr>
          <w:rFonts w:hint="eastAsia" w:ascii="宋体" w:hAnsi="宋体" w:eastAsia="宋体" w:cs="Times New Roman"/>
          <w:color w:val="000000" w:themeColor="text1"/>
          <w:sz w:val="28"/>
          <w:szCs w:val="28"/>
          <w14:textFill>
            <w14:solidFill>
              <w14:schemeClr w14:val="tx1"/>
            </w14:solidFill>
          </w14:textFill>
        </w:rPr>
        <w:t>等进行检维修、清理作业。</w:t>
      </w:r>
    </w:p>
    <w:p w14:paraId="58CA44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hAnsi="宋体"/>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在进行有限空间作业时，未制定有限空间作业制度，并未严格按其要求执行；未对从事有限空间作业的现场负责人、监护人员、作业人员、应急救援人员进行专项安全培训；未对有限空间进行辨识，确定有限空间的数量、位置以及危险有害因素等基本情况；未严格遵守</w:t>
      </w:r>
      <w:r>
        <w:rPr>
          <w:rFonts w:hint="eastAsia" w:ascii="宋体" w:hAnsi="宋体" w:eastAsia="宋体" w:cs="Times New Roman"/>
          <w:color w:val="000000" w:themeColor="text1"/>
          <w:sz w:val="28"/>
          <w:szCs w:val="28"/>
          <w:lang w:eastAsia="zh-CN"/>
          <w14:textFill>
            <w14:solidFill>
              <w14:schemeClr w14:val="tx1"/>
            </w14:solidFill>
          </w14:textFill>
        </w:rPr>
        <w:t>“</w:t>
      </w:r>
      <w:r>
        <w:rPr>
          <w:rFonts w:hint="eastAsia" w:ascii="宋体" w:hAnsi="宋体" w:eastAsia="宋体" w:cs="Times New Roman"/>
          <w:color w:val="000000" w:themeColor="text1"/>
          <w:sz w:val="28"/>
          <w:szCs w:val="28"/>
          <w14:textFill>
            <w14:solidFill>
              <w14:schemeClr w14:val="tx1"/>
            </w14:solidFill>
          </w14:textFill>
        </w:rPr>
        <w:t>先通风、再检测、后作业</w:t>
      </w:r>
      <w:r>
        <w:rPr>
          <w:rFonts w:hint="eastAsia" w:ascii="宋体" w:hAnsi="宋体" w:eastAsia="宋体" w:cs="Times New Roman"/>
          <w:color w:val="000000" w:themeColor="text1"/>
          <w:sz w:val="28"/>
          <w:szCs w:val="28"/>
          <w:lang w:eastAsia="zh-CN"/>
          <w14:textFill>
            <w14:solidFill>
              <w14:schemeClr w14:val="tx1"/>
            </w14:solidFill>
          </w14:textFill>
        </w:rPr>
        <w:t>”</w:t>
      </w:r>
      <w:r>
        <w:rPr>
          <w:rFonts w:hint="eastAsia" w:ascii="宋体" w:hAnsi="宋体" w:eastAsia="宋体" w:cs="Times New Roman"/>
          <w:color w:val="000000" w:themeColor="text1"/>
          <w:sz w:val="28"/>
          <w:szCs w:val="28"/>
          <w14:textFill>
            <w14:solidFill>
              <w14:schemeClr w14:val="tx1"/>
            </w14:solidFill>
          </w14:textFill>
        </w:rPr>
        <w:t>的原则；未检测氧浓度、易燃易爆物质浓度、有毒有害气体浓度，且未与标准、规范要求对比确认</w:t>
      </w:r>
      <w:r>
        <w:rPr>
          <w:rFonts w:hint="eastAsia" w:ascii="宋体" w:hAnsi="宋体" w:eastAsia="宋体" w:cs="Times New Roman"/>
          <w:color w:val="000000" w:themeColor="text1"/>
          <w:sz w:val="28"/>
          <w:szCs w:val="28"/>
          <w:lang w:eastAsia="zh-CN"/>
          <w14:textFill>
            <w14:solidFill>
              <w14:schemeClr w14:val="tx1"/>
            </w14:solidFill>
          </w14:textFill>
        </w:rPr>
        <w:t>，</w:t>
      </w:r>
      <w:r>
        <w:rPr>
          <w:rFonts w:hint="eastAsia" w:ascii="宋体" w:hAnsi="宋体" w:eastAsia="宋体" w:cs="Times New Roman"/>
          <w:color w:val="000000" w:themeColor="text1"/>
          <w:sz w:val="28"/>
          <w:szCs w:val="28"/>
          <w14:textFill>
            <w14:solidFill>
              <w14:schemeClr w14:val="tx1"/>
            </w14:solidFill>
          </w14:textFill>
        </w:rPr>
        <w:t>导致氧含</w:t>
      </w:r>
      <w:r>
        <w:rPr>
          <w:rFonts w:hint="eastAsia" w:ascii="宋体" w:hAnsi="宋体" w:eastAsia="宋体" w:cs="Times New Roman"/>
          <w:color w:val="000000" w:themeColor="text1"/>
          <w:sz w:val="28"/>
          <w:szCs w:val="28"/>
          <w:lang w:val="en-US" w:eastAsia="zh-CN"/>
          <w14:textFill>
            <w14:solidFill>
              <w14:schemeClr w14:val="tx1"/>
            </w14:solidFill>
          </w14:textFill>
        </w:rPr>
        <w:t>量</w:t>
      </w:r>
      <w:r>
        <w:rPr>
          <w:rFonts w:hint="eastAsia" w:ascii="宋体" w:hAnsi="宋体" w:eastAsia="宋体" w:cs="Times New Roman"/>
          <w:color w:val="000000" w:themeColor="text1"/>
          <w:sz w:val="28"/>
          <w:szCs w:val="28"/>
          <w14:textFill>
            <w14:solidFill>
              <w14:schemeClr w14:val="tx1"/>
            </w14:solidFill>
          </w14:textFill>
        </w:rPr>
        <w:t>不满足规范要求仍坚持作业等会引发中毒和窒息危险。</w:t>
      </w:r>
    </w:p>
    <w:p w14:paraId="7122D364">
      <w:pPr>
        <w:pStyle w:val="5"/>
        <w:spacing w:line="360" w:lineRule="auto"/>
        <w:rPr>
          <w:rFonts w:ascii="Times New Roman" w:hAnsi="Times New Roman"/>
          <w:color w:val="000000" w:themeColor="text1"/>
          <w14:textFill>
            <w14:solidFill>
              <w14:schemeClr w14:val="tx1"/>
            </w14:solidFill>
          </w14:textFill>
        </w:rPr>
      </w:pPr>
      <w:bookmarkStart w:id="405" w:name="_Toc25893"/>
      <w:bookmarkStart w:id="406" w:name="_Toc341693616"/>
      <w:bookmarkStart w:id="407" w:name="_Toc313524441"/>
      <w:bookmarkStart w:id="408" w:name="_Toc314143788"/>
      <w:bookmarkStart w:id="409" w:name="_Toc4547"/>
      <w:bookmarkStart w:id="410" w:name="_Toc314238249"/>
      <w:bookmarkStart w:id="411" w:name="_Toc15109"/>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.6 高处坠落</w:t>
      </w:r>
      <w:bookmarkEnd w:id="405"/>
      <w:bookmarkEnd w:id="406"/>
      <w:bookmarkEnd w:id="407"/>
      <w:bookmarkEnd w:id="408"/>
      <w:bookmarkEnd w:id="409"/>
      <w:bookmarkEnd w:id="410"/>
      <w:bookmarkEnd w:id="411"/>
    </w:p>
    <w:p w14:paraId="6509C7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Ansi="宋体"/>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凡在距离基准面垂直距离为2m以上，有可能坠落的高处作业均称为高处作业。</w:t>
      </w:r>
      <w:r>
        <w:rPr>
          <w:rFonts w:hint="eastAsia" w:hAnsi="宋体"/>
          <w:color w:val="000000" w:themeColor="text1"/>
          <w:sz w:val="28"/>
          <w:szCs w:val="28"/>
          <w14:textFill>
            <w14:solidFill>
              <w14:schemeClr w14:val="tx1"/>
            </w14:solidFill>
          </w14:textFill>
        </w:rPr>
        <w:t>为了实现配料、输送、储存作业等生产需要，相应的设备、设施布置在不同高度建筑物和构筑物上。在生产运行中，人员巡检、配件材料的起吊搬运、更换、库内物料清理均需人员在走道、爬梯、平台等高空进行作业。若防护措施不全或损坏、人员操作失误、室外天气影响，可能发生检修、巡检人员高处坠落事故。</w:t>
      </w:r>
    </w:p>
    <w:p w14:paraId="6A87FDA1">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color w:val="000000" w:themeColor="text1"/>
          <w:sz w:val="28"/>
          <w:szCs w:val="28"/>
          <w14:textFill>
            <w14:solidFill>
              <w14:schemeClr w14:val="tx1"/>
            </w14:solidFill>
          </w14:textFill>
        </w:rPr>
      </w:pPr>
      <w:r>
        <w:rPr>
          <w:color w:val="000000" w:themeColor="text1"/>
          <w:spacing w:val="10"/>
          <w:sz w:val="28"/>
          <w:szCs w:val="30"/>
          <w14:textFill>
            <w14:solidFill>
              <w14:schemeClr w14:val="tx1"/>
            </w14:solidFill>
          </w14:textFill>
        </w:rPr>
        <w:t>造成高处坠落事故的原因主要有：</w:t>
      </w:r>
    </w:p>
    <w:p w14:paraId="01FA6D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1.无安全防护栏、坑（沟）盖板等设施或设施损坏；</w:t>
      </w:r>
    </w:p>
    <w:p w14:paraId="2B77FD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2.高处作业时没有按要求佩戴安全带（绳）、安全帽或采取其他有效的安全保护措施；</w:t>
      </w:r>
    </w:p>
    <w:p w14:paraId="49DF9F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3.高处作业时不按规定使用安全保护装置或安全防护装置有缺陷；</w:t>
      </w:r>
    </w:p>
    <w:p w14:paraId="7C6439F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4.违章作业；</w:t>
      </w:r>
    </w:p>
    <w:p w14:paraId="419E2C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5.疏忽大意，疲劳过度或酒后作业；</w:t>
      </w:r>
    </w:p>
    <w:p w14:paraId="46A01D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6.高处作业安全管理不到位；</w:t>
      </w:r>
    </w:p>
    <w:p w14:paraId="68A9E5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bookmarkStart w:id="412" w:name="_Toc341693617"/>
      <w:bookmarkStart w:id="413" w:name="_Toc313524442"/>
      <w:bookmarkStart w:id="414" w:name="_Toc314238250"/>
      <w:bookmarkStart w:id="415" w:name="_Toc314143789"/>
      <w:bookmarkStart w:id="416" w:name="_Toc7152"/>
      <w:bookmarkStart w:id="417" w:name="_Toc5035"/>
      <w:r>
        <w:rPr>
          <w:rFonts w:hint="eastAsia" w:hAnsi="宋体" w:cs="宋体"/>
          <w:color w:val="000000" w:themeColor="text1"/>
          <w:sz w:val="28"/>
          <w:szCs w:val="28"/>
          <w:lang w:val="en-US" w:eastAsia="zh-CN"/>
          <w14:textFill>
            <w14:solidFill>
              <w14:schemeClr w14:val="tx1"/>
            </w14:solidFill>
          </w14:textFill>
        </w:rPr>
        <w:t>7.</w:t>
      </w:r>
      <w:r>
        <w:rPr>
          <w:rFonts w:hint="eastAsia" w:ascii="宋体" w:hAnsi="宋体" w:cs="宋体"/>
          <w:color w:val="000000" w:themeColor="text1"/>
          <w:sz w:val="28"/>
          <w:szCs w:val="28"/>
          <w14:textFill>
            <w14:solidFill>
              <w14:schemeClr w14:val="tx1"/>
            </w14:solidFill>
          </w14:textFill>
        </w:rPr>
        <w:t>高处作业人员有职业禁忌；</w:t>
      </w:r>
    </w:p>
    <w:p w14:paraId="68FCBB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hAnsi="宋体" w:cs="宋体"/>
          <w:color w:val="000000" w:themeColor="text1"/>
          <w:sz w:val="28"/>
          <w:szCs w:val="28"/>
          <w:lang w:val="en-US" w:eastAsia="zh-CN"/>
          <w14:textFill>
            <w14:solidFill>
              <w14:schemeClr w14:val="tx1"/>
            </w14:solidFill>
          </w14:textFill>
        </w:rPr>
        <w:t>8.</w:t>
      </w:r>
      <w:r>
        <w:rPr>
          <w:rFonts w:hint="eastAsia" w:ascii="宋体" w:hAnsi="宋体" w:cs="宋体"/>
          <w:color w:val="000000" w:themeColor="text1"/>
          <w:sz w:val="28"/>
          <w:szCs w:val="28"/>
          <w14:textFill>
            <w14:solidFill>
              <w14:schemeClr w14:val="tx1"/>
            </w14:solidFill>
          </w14:textFill>
        </w:rPr>
        <w:t>无安全警示标识。</w:t>
      </w:r>
    </w:p>
    <w:p w14:paraId="2AE7D8C1">
      <w:pPr>
        <w:pStyle w:val="5"/>
        <w:spacing w:line="360" w:lineRule="auto"/>
        <w:rPr>
          <w:rFonts w:ascii="Times New Roman" w:hAnsi="Times New Roman"/>
          <w:color w:val="000000" w:themeColor="text1"/>
          <w14:textFill>
            <w14:solidFill>
              <w14:schemeClr w14:val="tx1"/>
            </w14:solidFill>
          </w14:textFill>
        </w:rPr>
      </w:pPr>
      <w:bookmarkStart w:id="418" w:name="_Toc31508"/>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.7 物体打击</w:t>
      </w:r>
      <w:bookmarkEnd w:id="412"/>
      <w:bookmarkEnd w:id="413"/>
      <w:bookmarkEnd w:id="414"/>
      <w:bookmarkEnd w:id="415"/>
      <w:bookmarkEnd w:id="416"/>
      <w:bookmarkEnd w:id="417"/>
      <w:bookmarkEnd w:id="418"/>
    </w:p>
    <w:p w14:paraId="0D0AE81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bookmarkStart w:id="419" w:name="_Toc31559"/>
      <w:bookmarkStart w:id="420" w:name="_Toc341693618"/>
      <w:bookmarkStart w:id="421" w:name="_Toc314143790"/>
      <w:bookmarkStart w:id="422" w:name="_Toc314238251"/>
      <w:bookmarkStart w:id="423" w:name="_Toc313524443"/>
      <w:r>
        <w:rPr>
          <w:color w:val="000000" w:themeColor="text1"/>
          <w:sz w:val="28"/>
          <w:szCs w:val="28"/>
          <w14:textFill>
            <w14:solidFill>
              <w14:schemeClr w14:val="tx1"/>
            </w14:solidFill>
          </w14:textFill>
        </w:rPr>
        <w:t>在高处作业时，工具、零件等放置不当；设备的安装、检修、拆除过程中，由于工艺措施不当或违章、冒险作业，而导致产品、零部件等发生移动和坠落，均有发生物体打击造成意外伤害的危险。</w:t>
      </w:r>
    </w:p>
    <w:p w14:paraId="2F3919B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车辆运输时货物堆放过高，可能导致货物坍塌，从而引起物体打击事故。</w:t>
      </w:r>
    </w:p>
    <w:p w14:paraId="016CB33C">
      <w:pPr>
        <w:pStyle w:val="5"/>
        <w:spacing w:line="360" w:lineRule="auto"/>
        <w:rPr>
          <w:rFonts w:ascii="Times New Roman" w:hAnsi="Times New Roman"/>
          <w:color w:val="000000" w:themeColor="text1"/>
          <w14:textFill>
            <w14:solidFill>
              <w14:schemeClr w14:val="tx1"/>
            </w14:solidFill>
          </w14:textFill>
        </w:rPr>
      </w:pPr>
      <w:bookmarkStart w:id="424" w:name="_Toc15963"/>
      <w:bookmarkStart w:id="425" w:name="_Toc13221"/>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.8 触电</w:t>
      </w:r>
      <w:bookmarkEnd w:id="419"/>
      <w:bookmarkEnd w:id="420"/>
      <w:bookmarkEnd w:id="421"/>
      <w:bookmarkEnd w:id="422"/>
      <w:bookmarkEnd w:id="423"/>
      <w:bookmarkEnd w:id="424"/>
      <w:bookmarkEnd w:id="425"/>
    </w:p>
    <w:p w14:paraId="35623E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本项目设置有配电柜、电机等电气设备，电气设备发生触电伤害的几率较高，这是由于其作业性质决定的。引起触电事故的主要原因，除了设计缺陷、设计不周等技术因素外，大部分是由于人员的不安全行为引起的，常见的发生触电伤害事故的主要原因有：</w:t>
      </w:r>
    </w:p>
    <w:p w14:paraId="4146D3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1</w:t>
      </w:r>
      <w:r>
        <w:rPr>
          <w:rFonts w:hint="eastAsia" w:hAnsi="宋体" w:cs="宋体"/>
          <w:color w:val="000000" w:themeColor="text1"/>
          <w:sz w:val="28"/>
          <w:lang w:eastAsia="zh-CN"/>
          <w14:textFill>
            <w14:solidFill>
              <w14:schemeClr w14:val="tx1"/>
            </w14:solidFill>
          </w14:textFill>
        </w:rPr>
        <w:t>.</w:t>
      </w:r>
      <w:r>
        <w:rPr>
          <w:rFonts w:hint="eastAsia" w:ascii="宋体" w:hAnsi="宋体" w:cs="宋体"/>
          <w:color w:val="000000" w:themeColor="text1"/>
          <w:sz w:val="28"/>
          <w14:textFill>
            <w14:solidFill>
              <w14:schemeClr w14:val="tx1"/>
            </w14:solidFill>
          </w14:textFill>
        </w:rPr>
        <w:t>电气设备及线路的日常管理、维护不当，电气设备、线路老化、绝缘破损、漏电且无接地接零保护。</w:t>
      </w:r>
    </w:p>
    <w:p w14:paraId="581636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2</w:t>
      </w:r>
      <w:r>
        <w:rPr>
          <w:rFonts w:hint="eastAsia" w:hAnsi="宋体" w:cs="宋体"/>
          <w:color w:val="000000" w:themeColor="text1"/>
          <w:sz w:val="28"/>
          <w:lang w:eastAsia="zh-CN"/>
          <w14:textFill>
            <w14:solidFill>
              <w14:schemeClr w14:val="tx1"/>
            </w14:solidFill>
          </w14:textFill>
        </w:rPr>
        <w:t>.</w:t>
      </w:r>
      <w:r>
        <w:rPr>
          <w:rFonts w:hint="eastAsia" w:ascii="宋体" w:hAnsi="宋体" w:cs="宋体"/>
          <w:color w:val="000000" w:themeColor="text1"/>
          <w:sz w:val="28"/>
          <w14:textFill>
            <w14:solidFill>
              <w14:schemeClr w14:val="tx1"/>
            </w14:solidFill>
          </w14:textFill>
        </w:rPr>
        <w:t>作业人员缺乏用电常识。</w:t>
      </w:r>
    </w:p>
    <w:p w14:paraId="5C2BEA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3</w:t>
      </w:r>
      <w:r>
        <w:rPr>
          <w:rFonts w:hint="eastAsia" w:hAnsi="宋体" w:cs="宋体"/>
          <w:color w:val="000000" w:themeColor="text1"/>
          <w:sz w:val="28"/>
          <w:lang w:eastAsia="zh-CN"/>
          <w14:textFill>
            <w14:solidFill>
              <w14:schemeClr w14:val="tx1"/>
            </w14:solidFill>
          </w14:textFill>
        </w:rPr>
        <w:t>.</w:t>
      </w:r>
      <w:r>
        <w:rPr>
          <w:rFonts w:hint="eastAsia" w:ascii="宋体" w:hAnsi="宋体" w:cs="宋体"/>
          <w:color w:val="000000" w:themeColor="text1"/>
          <w:sz w:val="28"/>
          <w14:textFill>
            <w14:solidFill>
              <w14:schemeClr w14:val="tx1"/>
            </w14:solidFill>
          </w14:textFill>
        </w:rPr>
        <w:t>条件不允许而带电作业，或在带电设备附近进行作业，不符合安全距离或无监护措施。</w:t>
      </w:r>
    </w:p>
    <w:p w14:paraId="56FAB3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4</w:t>
      </w:r>
      <w:r>
        <w:rPr>
          <w:rFonts w:hint="eastAsia" w:hAnsi="宋体" w:cs="宋体"/>
          <w:color w:val="000000" w:themeColor="text1"/>
          <w:sz w:val="28"/>
          <w:lang w:eastAsia="zh-CN"/>
          <w14:textFill>
            <w14:solidFill>
              <w14:schemeClr w14:val="tx1"/>
            </w14:solidFill>
          </w14:textFill>
        </w:rPr>
        <w:t>.</w:t>
      </w:r>
      <w:r>
        <w:rPr>
          <w:rFonts w:hint="eastAsia" w:hAnsi="宋体" w:cs="宋体"/>
          <w:color w:val="000000" w:themeColor="text1"/>
          <w:sz w:val="28"/>
          <w:lang w:val="en-US" w:eastAsia="zh-CN"/>
          <w14:textFill>
            <w14:solidFill>
              <w14:schemeClr w14:val="tx1"/>
            </w14:solidFill>
          </w14:textFill>
        </w:rPr>
        <w:t>检维修</w:t>
      </w:r>
      <w:r>
        <w:rPr>
          <w:rFonts w:hint="eastAsia" w:ascii="宋体" w:hAnsi="宋体" w:cs="宋体"/>
          <w:color w:val="000000" w:themeColor="text1"/>
          <w:sz w:val="28"/>
          <w14:textFill>
            <w14:solidFill>
              <w14:schemeClr w14:val="tx1"/>
            </w14:solidFill>
          </w14:textFill>
        </w:rPr>
        <w:t>中误合电闸送电；线路或电气设备检修完毕未办理工作票终结手续，就对停电设备恢复送电。</w:t>
      </w:r>
    </w:p>
    <w:p w14:paraId="3403817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5</w:t>
      </w:r>
      <w:r>
        <w:rPr>
          <w:rFonts w:hint="eastAsia" w:hAnsi="宋体" w:cs="宋体"/>
          <w:color w:val="000000" w:themeColor="text1"/>
          <w:sz w:val="28"/>
          <w:lang w:eastAsia="zh-CN"/>
          <w14:textFill>
            <w14:solidFill>
              <w14:schemeClr w14:val="tx1"/>
            </w14:solidFill>
          </w14:textFill>
        </w:rPr>
        <w:t>.</w:t>
      </w:r>
      <w:r>
        <w:rPr>
          <w:rFonts w:hint="eastAsia" w:ascii="宋体" w:hAnsi="宋体" w:cs="宋体"/>
          <w:color w:val="000000" w:themeColor="text1"/>
          <w:sz w:val="28"/>
          <w14:textFill>
            <w14:solidFill>
              <w14:schemeClr w14:val="tx1"/>
            </w14:solidFill>
          </w14:textFill>
        </w:rPr>
        <w:t>无漏电保护器或漏电保护器失效。</w:t>
      </w:r>
    </w:p>
    <w:p w14:paraId="32210A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hAnsi="宋体" w:cs="宋体"/>
          <w:color w:val="000000" w:themeColor="text1"/>
          <w:sz w:val="28"/>
          <w:lang w:val="en-US" w:eastAsia="zh-CN"/>
          <w14:textFill>
            <w14:solidFill>
              <w14:schemeClr w14:val="tx1"/>
            </w14:solidFill>
          </w14:textFill>
        </w:rPr>
        <w:t>6</w:t>
      </w:r>
      <w:r>
        <w:rPr>
          <w:rFonts w:hint="eastAsia" w:hAnsi="宋体" w:cs="宋体"/>
          <w:color w:val="000000" w:themeColor="text1"/>
          <w:sz w:val="28"/>
          <w:lang w:eastAsia="zh-CN"/>
          <w14:textFill>
            <w14:solidFill>
              <w14:schemeClr w14:val="tx1"/>
            </w14:solidFill>
          </w14:textFill>
        </w:rPr>
        <w:t>.</w:t>
      </w:r>
      <w:r>
        <w:rPr>
          <w:rFonts w:hint="eastAsia" w:ascii="宋体" w:hAnsi="宋体" w:cs="宋体"/>
          <w:color w:val="000000" w:themeColor="text1"/>
          <w:sz w:val="28"/>
          <w14:textFill>
            <w14:solidFill>
              <w14:schemeClr w14:val="tx1"/>
            </w14:solidFill>
          </w14:textFill>
        </w:rPr>
        <w:t>断路器失效、设备无接地接零或失效。</w:t>
      </w:r>
    </w:p>
    <w:p w14:paraId="432BB6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hAnsi="宋体" w:cs="宋体"/>
          <w:color w:val="000000" w:themeColor="text1"/>
          <w:sz w:val="28"/>
          <w:lang w:val="en-US" w:eastAsia="zh-CN"/>
          <w14:textFill>
            <w14:solidFill>
              <w14:schemeClr w14:val="tx1"/>
            </w14:solidFill>
          </w14:textFill>
        </w:rPr>
        <w:t>7</w:t>
      </w:r>
      <w:r>
        <w:rPr>
          <w:rFonts w:hint="eastAsia" w:hAnsi="宋体" w:cs="宋体"/>
          <w:color w:val="000000" w:themeColor="text1"/>
          <w:sz w:val="28"/>
          <w:lang w:eastAsia="zh-CN"/>
          <w14:textFill>
            <w14:solidFill>
              <w14:schemeClr w14:val="tx1"/>
            </w14:solidFill>
          </w14:textFill>
        </w:rPr>
        <w:t>.</w:t>
      </w:r>
      <w:r>
        <w:rPr>
          <w:rFonts w:hint="eastAsia" w:ascii="宋体" w:hAnsi="宋体" w:cs="宋体"/>
          <w:color w:val="000000" w:themeColor="text1"/>
          <w:sz w:val="28"/>
          <w14:textFill>
            <w14:solidFill>
              <w14:schemeClr w14:val="tx1"/>
            </w14:solidFill>
          </w14:textFill>
        </w:rPr>
        <w:t>电器开关损坏、漏电。</w:t>
      </w:r>
    </w:p>
    <w:p w14:paraId="439A90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hAnsi="宋体" w:cs="宋体"/>
          <w:color w:val="000000" w:themeColor="text1"/>
          <w:sz w:val="28"/>
          <w:lang w:val="en-US" w:eastAsia="zh-CN"/>
          <w14:textFill>
            <w14:solidFill>
              <w14:schemeClr w14:val="tx1"/>
            </w14:solidFill>
          </w14:textFill>
        </w:rPr>
        <w:t>8</w:t>
      </w:r>
      <w:r>
        <w:rPr>
          <w:rFonts w:hint="eastAsia" w:hAnsi="宋体" w:cs="宋体"/>
          <w:color w:val="000000" w:themeColor="text1"/>
          <w:sz w:val="28"/>
          <w:lang w:eastAsia="zh-CN"/>
          <w14:textFill>
            <w14:solidFill>
              <w14:schemeClr w14:val="tx1"/>
            </w14:solidFill>
          </w14:textFill>
        </w:rPr>
        <w:t>.</w:t>
      </w:r>
      <w:r>
        <w:rPr>
          <w:rFonts w:hint="eastAsia" w:ascii="宋体" w:hAnsi="宋体" w:cs="宋体"/>
          <w:color w:val="000000" w:themeColor="text1"/>
          <w:sz w:val="28"/>
          <w14:textFill>
            <w14:solidFill>
              <w14:schemeClr w14:val="tx1"/>
            </w14:solidFill>
          </w14:textFill>
        </w:rPr>
        <w:t>不严格执行工作票制度。</w:t>
      </w:r>
    </w:p>
    <w:p w14:paraId="0533D0D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hAnsi="宋体" w:cs="宋体"/>
          <w:color w:val="000000" w:themeColor="text1"/>
          <w:sz w:val="28"/>
          <w:lang w:val="en-US" w:eastAsia="zh-CN"/>
          <w14:textFill>
            <w14:solidFill>
              <w14:schemeClr w14:val="tx1"/>
            </w14:solidFill>
          </w14:textFill>
        </w:rPr>
        <w:t>9</w:t>
      </w:r>
      <w:r>
        <w:rPr>
          <w:rFonts w:hint="eastAsia" w:hAnsi="宋体" w:cs="宋体"/>
          <w:color w:val="000000" w:themeColor="text1"/>
          <w:sz w:val="28"/>
          <w:lang w:eastAsia="zh-CN"/>
          <w14:textFill>
            <w14:solidFill>
              <w14:schemeClr w14:val="tx1"/>
            </w14:solidFill>
          </w14:textFill>
        </w:rPr>
        <w:t>.</w:t>
      </w:r>
      <w:r>
        <w:rPr>
          <w:rFonts w:hint="eastAsia" w:ascii="宋体" w:hAnsi="宋体" w:cs="宋体"/>
          <w:color w:val="000000" w:themeColor="text1"/>
          <w:sz w:val="28"/>
          <w14:textFill>
            <w14:solidFill>
              <w14:schemeClr w14:val="tx1"/>
            </w14:solidFill>
          </w14:textFill>
        </w:rPr>
        <w:t>违章作业，如线路检修时不装设或未按规定装设接地线；装设接地线不验电；擅自扩大工作范围；使用电动工具的金属外壳不接地，不戴绝缘手套；在潮湿地区、金属容器内工作不穿绝缘鞋，无绝缘垫，无监护人等。</w:t>
      </w:r>
    </w:p>
    <w:p w14:paraId="2CEF8F41">
      <w:pPr>
        <w:pStyle w:val="5"/>
        <w:spacing w:line="360" w:lineRule="auto"/>
        <w:rPr>
          <w:rFonts w:ascii="Times New Roman" w:hAnsi="Times New Roman"/>
          <w:color w:val="000000" w:themeColor="text1"/>
          <w14:textFill>
            <w14:solidFill>
              <w14:schemeClr w14:val="tx1"/>
            </w14:solidFill>
          </w14:textFill>
        </w:rPr>
      </w:pPr>
      <w:bookmarkStart w:id="426" w:name="_Toc16092"/>
      <w:bookmarkStart w:id="427" w:name="_Toc313524444"/>
      <w:bookmarkStart w:id="428" w:name="_Toc341693619"/>
      <w:bookmarkStart w:id="429" w:name="_Toc314238252"/>
      <w:bookmarkStart w:id="430" w:name="_Toc314143791"/>
      <w:bookmarkStart w:id="431" w:name="_Toc30514"/>
      <w:bookmarkStart w:id="432" w:name="_Toc24806"/>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.9 车辆伤害</w:t>
      </w:r>
      <w:bookmarkEnd w:id="426"/>
      <w:bookmarkEnd w:id="427"/>
      <w:bookmarkEnd w:id="428"/>
      <w:bookmarkEnd w:id="429"/>
      <w:bookmarkEnd w:id="430"/>
      <w:bookmarkEnd w:id="431"/>
      <w:bookmarkEnd w:id="432"/>
    </w:p>
    <w:p w14:paraId="66C3C89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本项目中的原辅料和成品等均采用汽车进行运输，部分物料通过叉车进行厂内运输。车辆伤害事故的原因是多方面的，但主要是涉及人（驾驶员、行人、装卸工）、车（机动车与非机动车）、环境（道路及视线情况）这三个综合因素：</w:t>
      </w:r>
    </w:p>
    <w:p w14:paraId="3D2C521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违章驾车</w:t>
      </w:r>
    </w:p>
    <w:p w14:paraId="31C8DE9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指事故的当事人，由于思想方面的原因而导致错误操作行为，不按有关规定行驶，扰乱正常的企业内搬运秩序，致使事故发生。如酒后驾车，疲劳驾车，非驾驶员驾车，超速行驶，争道抢行，违章超车，违章装载等原因造成的车辆伤害事故。</w:t>
      </w:r>
    </w:p>
    <w:p w14:paraId="312CB2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疏忽大意</w:t>
      </w:r>
    </w:p>
    <w:p w14:paraId="13DF6E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指当事人由于心理或生理方面的原因，没有及时、正确的观察和判断道路情况，而造成失误，如情绪急躁、精神分散、心理烦乱、身体不适等都可能造成注意力下降，反应迟钝，表现出瞭望观察不周，遇到情况采取措施不及时或不当；也有的只凭主观想象判断情况，或过高地估计自己的经验技术，过分自信，引起操作失误导致事故。</w:t>
      </w:r>
    </w:p>
    <w:p w14:paraId="3A545F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车况不良</w:t>
      </w:r>
    </w:p>
    <w:p w14:paraId="2FD761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车辆的安全装置如转向、制动、喇叭、照明；后视镜和转向指示灯等不齐全有效；制动器等安全防护装置工作不可靠；车辆维护修理不及时，带“病”行驶。</w:t>
      </w:r>
    </w:p>
    <w:p w14:paraId="4DD6A5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环境</w:t>
      </w:r>
    </w:p>
    <w:p w14:paraId="64D260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道路条件差，路面出现破损、斜度过大未及时进行修复；现场“6S”管理不到位，如道路上出现障碍物未及时清理；因建筑物或自然环境影响造成视线不良等。</w:t>
      </w:r>
    </w:p>
    <w:p w14:paraId="1A8B9C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5</w:t>
      </w:r>
      <w:r>
        <w:rPr>
          <w:rFonts w:hint="eastAsia"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管理因素</w:t>
      </w:r>
    </w:p>
    <w:p w14:paraId="263EC5A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车辆安全行驶制度不落实，管理规章制度或操作规程不健全，非驾驶员驾车，车辆维修不及时，交通信号、标志、设施缺陷。</w:t>
      </w:r>
    </w:p>
    <w:p w14:paraId="20D432CB">
      <w:pPr>
        <w:pStyle w:val="5"/>
        <w:spacing w:line="360" w:lineRule="auto"/>
        <w:rPr>
          <w:rFonts w:ascii="Times New Roman" w:hAnsi="Times New Roman"/>
          <w:color w:val="000000" w:themeColor="text1"/>
          <w14:textFill>
            <w14:solidFill>
              <w14:schemeClr w14:val="tx1"/>
            </w14:solidFill>
          </w14:textFill>
        </w:rPr>
      </w:pPr>
      <w:bookmarkStart w:id="433" w:name="_Toc313524446"/>
      <w:bookmarkStart w:id="434" w:name="_Toc314143793"/>
      <w:bookmarkStart w:id="435" w:name="_Toc32193"/>
      <w:bookmarkStart w:id="436" w:name="_Toc341693621"/>
      <w:bookmarkStart w:id="437" w:name="_Toc314238254"/>
      <w:bookmarkStart w:id="438" w:name="_Toc20201"/>
      <w:bookmarkStart w:id="439" w:name="_Toc20662"/>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.10坍塌</w:t>
      </w:r>
      <w:bookmarkEnd w:id="433"/>
      <w:bookmarkEnd w:id="434"/>
      <w:bookmarkEnd w:id="435"/>
      <w:bookmarkEnd w:id="436"/>
      <w:bookmarkEnd w:id="437"/>
      <w:bookmarkEnd w:id="438"/>
      <w:bookmarkEnd w:id="439"/>
    </w:p>
    <w:p w14:paraId="157064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厂区内的建构筑物因碰撞、年久失修等原因坍塌，造成设备设施损失及人员伤亡。</w:t>
      </w:r>
    </w:p>
    <w:p w14:paraId="13FC197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厂房内平台、斜梯、支架等设施因过载、腐蚀、缺少维护等原因坍塌，造成财产损失及人员伤亡。</w:t>
      </w:r>
    </w:p>
    <w:p w14:paraId="2D809AC6">
      <w:pPr>
        <w:pStyle w:val="5"/>
        <w:spacing w:line="360" w:lineRule="auto"/>
        <w:rPr>
          <w:rFonts w:ascii="Times New Roman" w:hAnsi="Times New Roman"/>
          <w:color w:val="000000" w:themeColor="text1"/>
          <w14:textFill>
            <w14:solidFill>
              <w14:schemeClr w14:val="tx1"/>
            </w14:solidFill>
          </w14:textFill>
        </w:rPr>
      </w:pPr>
      <w:bookmarkStart w:id="440" w:name="_Toc314143794"/>
      <w:bookmarkStart w:id="441" w:name="_Toc31296"/>
      <w:bookmarkStart w:id="442" w:name="_Toc313524447"/>
      <w:bookmarkStart w:id="443" w:name="_Toc22738"/>
      <w:bookmarkStart w:id="444" w:name="_Toc341693622"/>
      <w:bookmarkStart w:id="445" w:name="_Toc314238255"/>
      <w:bookmarkStart w:id="446" w:name="_Toc25918"/>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6</w:t>
      </w:r>
      <w:r>
        <w:rPr>
          <w:rFonts w:hint="eastAsia" w:ascii="Times New Roman" w:hAnsi="Times New Roman"/>
          <w:color w:val="000000" w:themeColor="text1"/>
          <w14:textFill>
            <w14:solidFill>
              <w14:schemeClr w14:val="tx1"/>
            </w14:solidFill>
          </w14:textFill>
        </w:rPr>
        <w:t>.11淹溺</w:t>
      </w:r>
      <w:bookmarkEnd w:id="440"/>
      <w:bookmarkEnd w:id="441"/>
      <w:bookmarkEnd w:id="442"/>
      <w:bookmarkEnd w:id="443"/>
      <w:bookmarkEnd w:id="444"/>
      <w:bookmarkEnd w:id="445"/>
      <w:bookmarkEnd w:id="446"/>
    </w:p>
    <w:p w14:paraId="4FC85F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淹溺主要是由于人跌入水中，水进入人体呼吸</w:t>
      </w:r>
      <w:r>
        <w:rPr>
          <w:rFonts w:hint="eastAsia" w:ascii="宋体" w:hAnsi="宋体" w:eastAsia="宋体" w:cs="宋体"/>
          <w:color w:val="000000" w:themeColor="text1"/>
          <w:sz w:val="28"/>
          <w:szCs w:val="28"/>
          <w:lang w:val="en-GB" w:eastAsia="zh-CN"/>
          <w14:textFill>
            <w14:solidFill>
              <w14:schemeClr w14:val="tx1"/>
            </w14:solidFill>
          </w14:textFill>
        </w:rPr>
        <w:t>器官</w:t>
      </w:r>
      <w:r>
        <w:rPr>
          <w:rFonts w:hint="eastAsia" w:ascii="宋体" w:hAnsi="宋体" w:eastAsia="宋体" w:cs="宋体"/>
          <w:color w:val="000000" w:themeColor="text1"/>
          <w:sz w:val="28"/>
          <w:szCs w:val="28"/>
          <w:lang w:val="en-GB"/>
          <w14:textFill>
            <w14:solidFill>
              <w14:schemeClr w14:val="tx1"/>
            </w14:solidFill>
          </w14:textFill>
        </w:rPr>
        <w:t>后，由于窒息缺氧而产生昏迷，救治不及时会造成人员死亡。</w:t>
      </w:r>
    </w:p>
    <w:p w14:paraId="714F68E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w:t>
      </w:r>
      <w:r>
        <w:rPr>
          <w:rFonts w:hint="eastAsia" w:ascii="宋体" w:hAnsi="宋体" w:eastAsia="宋体" w:cs="宋体"/>
          <w:color w:val="000000" w:themeColor="text1"/>
          <w:sz w:val="28"/>
          <w:szCs w:val="28"/>
          <w:lang w:val="en-GB"/>
          <w14:textFill>
            <w14:solidFill>
              <w14:schemeClr w14:val="tx1"/>
            </w14:solidFill>
          </w14:textFill>
        </w:rPr>
        <w:t>项目的循环水池</w:t>
      </w:r>
      <w:r>
        <w:rPr>
          <w:rFonts w:hint="eastAsia" w:ascii="宋体" w:hAnsi="宋体" w:eastAsia="宋体" w:cs="宋体"/>
          <w:color w:val="000000" w:themeColor="text1"/>
          <w:sz w:val="28"/>
          <w:szCs w:val="28"/>
          <w:lang w:val="en-GB"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化粪池</w:t>
      </w:r>
      <w:r>
        <w:rPr>
          <w:rFonts w:hint="eastAsia" w:ascii="宋体" w:hAnsi="宋体" w:eastAsia="宋体" w:cs="宋体"/>
          <w:color w:val="000000" w:themeColor="text1"/>
          <w:sz w:val="28"/>
          <w:szCs w:val="28"/>
          <w:lang w:val="en-GB"/>
          <w14:textFill>
            <w14:solidFill>
              <w14:schemeClr w14:val="tx1"/>
            </w14:solidFill>
          </w14:textFill>
        </w:rPr>
        <w:t>，若未设置盖板或池边未设置防护栏杆或损坏，在照明条件差（特别是在夜间）的情况下，人员可能跌入水池，发生淹溺事故。</w:t>
      </w:r>
    </w:p>
    <w:p w14:paraId="7C370E4A">
      <w:pPr>
        <w:pStyle w:val="5"/>
        <w:spacing w:line="360" w:lineRule="auto"/>
        <w:rPr>
          <w:rFonts w:hint="eastAsia" w:ascii="Times New Roman" w:hAnsi="Times New Roman" w:cs="Times New Roman"/>
          <w:color w:val="000000" w:themeColor="text1"/>
          <w:lang w:val="en-US" w:eastAsia="zh-CN"/>
          <w14:textFill>
            <w14:solidFill>
              <w14:schemeClr w14:val="tx1"/>
            </w14:solidFill>
          </w14:textFill>
        </w:rPr>
      </w:pPr>
      <w:bookmarkStart w:id="447" w:name="_Toc23472"/>
      <w:r>
        <w:rPr>
          <w:rFonts w:hint="eastAsia" w:ascii="Times New Roman" w:hAnsi="Times New Roman" w:cs="Times New Roman"/>
          <w:color w:val="000000" w:themeColor="text1"/>
          <w:lang w:val="en-US" w:eastAsia="zh-CN"/>
          <w14:textFill>
            <w14:solidFill>
              <w14:schemeClr w14:val="tx1"/>
            </w14:solidFill>
          </w14:textFill>
        </w:rPr>
        <w:t>3.6.12 噪声</w:t>
      </w:r>
      <w:bookmarkEnd w:id="447"/>
    </w:p>
    <w:p w14:paraId="31FFFDA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噪声能引起听觉功能敏感度下降甚至造成耳聋，或引起神经衰弱、心血管疾病及消化系统等疾病的高发，使误操作率上升。其主要危害是对听力系统的损害，强噪声作用下，可导致永久性听力下降，内耳感音细胞遭损伤，引起噪声性耳聋。引发噪声危害的原因主要有：</w:t>
      </w:r>
    </w:p>
    <w:p w14:paraId="499245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1）机械设备运转不正常，造成剧烈震动或噪声超标。</w:t>
      </w:r>
    </w:p>
    <w:p w14:paraId="25ED2C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2）工作环境中噪声超标；人员长时间在噪声环境中劳动。</w:t>
      </w:r>
    </w:p>
    <w:p w14:paraId="08DDB9E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3）人员未采取防护措施或防护措施失效。</w:t>
      </w:r>
    </w:p>
    <w:p w14:paraId="3C9337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4）高噪声设备、场所贴邻低噪声设备、场所建造或布局不合理。</w:t>
      </w:r>
    </w:p>
    <w:p w14:paraId="3B6982E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5）高噪声设备未采取隔声、消声、吸声等安全措施。</w:t>
      </w:r>
    </w:p>
    <w:p w14:paraId="0F6A92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6）安全资金投入不足、安全教育培训不够、个体防护不到位等。</w:t>
      </w:r>
    </w:p>
    <w:p w14:paraId="7A82EA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本项目主要噪声源是各机械设备。</w:t>
      </w:r>
    </w:p>
    <w:p w14:paraId="5F793096">
      <w:pPr>
        <w:pStyle w:val="5"/>
        <w:spacing w:line="360" w:lineRule="auto"/>
        <w:rPr>
          <w:rFonts w:hint="eastAsia" w:ascii="Times New Roman" w:hAnsi="Times New Roman" w:cs="Times New Roman"/>
          <w:color w:val="000000" w:themeColor="text1"/>
          <w14:textFill>
            <w14:solidFill>
              <w14:schemeClr w14:val="tx1"/>
            </w14:solidFill>
          </w14:textFill>
        </w:rPr>
      </w:pPr>
      <w:bookmarkStart w:id="448" w:name="_Toc15553"/>
      <w:bookmarkStart w:id="449" w:name="_Toc31850"/>
      <w:r>
        <w:rPr>
          <w:rFonts w:hint="eastAsia"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lang w:val="en-US" w:eastAsia="zh-CN"/>
          <w14:textFill>
            <w14:solidFill>
              <w14:schemeClr w14:val="tx1"/>
            </w14:solidFill>
          </w14:textFill>
        </w:rPr>
        <w:t>6</w:t>
      </w:r>
      <w:r>
        <w:rPr>
          <w:rFonts w:hint="eastAsia"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13</w:t>
      </w:r>
      <w:r>
        <w:rPr>
          <w:rFonts w:hint="eastAsia" w:ascii="Times New Roman" w:hAnsi="Times New Roman" w:cs="Times New Roman"/>
          <w:color w:val="000000" w:themeColor="text1"/>
          <w14:textFill>
            <w14:solidFill>
              <w14:schemeClr w14:val="tx1"/>
            </w14:solidFill>
          </w14:textFill>
        </w:rPr>
        <w:t xml:space="preserve"> 粉尘</w:t>
      </w:r>
      <w:bookmarkEnd w:id="448"/>
      <w:bookmarkEnd w:id="449"/>
    </w:p>
    <w:p w14:paraId="715C10D9">
      <w:pPr>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生产性粉尘是指在生产中形成的，能较长时间漂浮在作业场所空气中的固体颗粒。人体对粉尘虽有良好的组织防御能力，但如果长期吸入高浓度粉尘，尤其是粒径小于2μm的飘尘或烟尘，仍能给人体造成严重伤害。长期接触粉尘，会对呼吸道、肺部、眼部及皮肤等造成危害。生产性粉尘除了对劳动者的身体健康造成危害之外，对生产亦有很多不良影响，如环境污染、影响视野、照明等。</w:t>
      </w:r>
    </w:p>
    <w:p w14:paraId="246B5868">
      <w:pPr>
        <w:adjustRightInd w:val="0"/>
        <w:snapToGrid w:val="0"/>
        <w:spacing w:line="500" w:lineRule="exact"/>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如果人体长期吸入粉尘能够导致肺炎。游离粉尘存储于肝、胰、肾、脑等器官细胞中。当细胞内粉尘浓度超过一定限度时，损伤细胞线粒，阻止代谢，引起中毒。</w:t>
      </w:r>
    </w:p>
    <w:p w14:paraId="6B4DB0B3">
      <w:pPr>
        <w:adjustRightInd w:val="0"/>
        <w:snapToGrid w:val="0"/>
        <w:spacing w:line="500" w:lineRule="exact"/>
        <w:ind w:firstLine="560" w:firstLineChars="200"/>
        <w:rPr>
          <w:rFonts w:hint="eastAsia" w:ascii="宋体" w:hAnsi="宋体" w:cs="宋体"/>
          <w:color w:val="000000" w:themeColor="text1"/>
          <w:sz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本项目主要粉尘来源为磨</w:t>
      </w:r>
      <w:r>
        <w:rPr>
          <w:rFonts w:hint="eastAsia" w:hAnsi="宋体" w:cs="宋体"/>
          <w:color w:val="000000" w:themeColor="text1"/>
          <w:sz w:val="28"/>
          <w:lang w:val="en-US" w:eastAsia="zh-CN"/>
          <w14:textFill>
            <w14:solidFill>
              <w14:schemeClr w14:val="tx1"/>
            </w14:solidFill>
          </w14:textFill>
        </w:rPr>
        <w:t>粉</w:t>
      </w:r>
      <w:r>
        <w:rPr>
          <w:rFonts w:hint="eastAsia" w:ascii="宋体" w:hAnsi="宋体" w:cs="宋体"/>
          <w:color w:val="000000" w:themeColor="text1"/>
          <w:sz w:val="28"/>
          <w14:textFill>
            <w14:solidFill>
              <w14:schemeClr w14:val="tx1"/>
            </w14:solidFill>
          </w14:textFill>
        </w:rPr>
        <w:t>工序等。</w:t>
      </w:r>
    </w:p>
    <w:p w14:paraId="3F786008">
      <w:pPr>
        <w:pStyle w:val="4"/>
        <w:keepNext w:val="0"/>
        <w:keepLines w:val="0"/>
        <w:spacing w:before="156" w:beforeLines="50" w:after="156" w:afterLines="50"/>
        <w:jc w:val="center"/>
        <w:rPr>
          <w:rFonts w:hint="eastAsia" w:ascii="楷体" w:hAnsi="楷体" w:cs="Times New Roman"/>
          <w:bCs/>
          <w:color w:val="000000" w:themeColor="text1"/>
          <w14:textFill>
            <w14:solidFill>
              <w14:schemeClr w14:val="tx1"/>
            </w14:solidFill>
          </w14:textFill>
        </w:rPr>
      </w:pPr>
      <w:bookmarkStart w:id="450" w:name="_Toc55567431"/>
      <w:bookmarkStart w:id="451" w:name="_Toc55945270"/>
      <w:bookmarkStart w:id="452" w:name="_Toc60925379"/>
      <w:bookmarkStart w:id="453" w:name="_Toc1203"/>
      <w:bookmarkStart w:id="454" w:name="_Toc6214"/>
      <w:bookmarkStart w:id="455" w:name="_Toc28024"/>
      <w:r>
        <w:rPr>
          <w:rFonts w:hint="eastAsia" w:cs="Times New Roman"/>
          <w:bCs/>
          <w:color w:val="000000" w:themeColor="text1"/>
          <w:lang w:val="en-US" w:eastAsia="zh-CN"/>
          <w14:textFill>
            <w14:solidFill>
              <w14:schemeClr w14:val="tx1"/>
            </w14:solidFill>
          </w14:textFill>
        </w:rPr>
        <w:t>3.7</w:t>
      </w:r>
      <w:r>
        <w:rPr>
          <w:rFonts w:hint="eastAsia" w:ascii="楷体" w:hAnsi="楷体" w:cs="Times New Roman"/>
          <w:bCs/>
          <w:color w:val="000000" w:themeColor="text1"/>
          <w14:textFill>
            <w14:solidFill>
              <w14:schemeClr w14:val="tx1"/>
            </w14:solidFill>
          </w14:textFill>
        </w:rPr>
        <w:t>公用和辅助设备设施危险有害因素辨识</w:t>
      </w:r>
      <w:bookmarkEnd w:id="450"/>
      <w:r>
        <w:rPr>
          <w:rFonts w:hint="eastAsia" w:ascii="楷体" w:hAnsi="楷体" w:cs="Times New Roman"/>
          <w:bCs/>
          <w:color w:val="000000" w:themeColor="text1"/>
          <w14:textFill>
            <w14:solidFill>
              <w14:schemeClr w14:val="tx1"/>
            </w14:solidFill>
          </w14:textFill>
        </w:rPr>
        <w:t>与分析</w:t>
      </w:r>
      <w:bookmarkEnd w:id="451"/>
      <w:bookmarkEnd w:id="452"/>
      <w:bookmarkEnd w:id="453"/>
      <w:bookmarkEnd w:id="454"/>
      <w:bookmarkEnd w:id="455"/>
    </w:p>
    <w:p w14:paraId="2BF1499E">
      <w:pPr>
        <w:pStyle w:val="5"/>
        <w:spacing w:line="360" w:lineRule="auto"/>
        <w:rPr>
          <w:rFonts w:hint="eastAsia" w:ascii="Times New Roman" w:hAnsi="Times New Roman" w:cs="Times New Roman"/>
          <w:color w:val="000000" w:themeColor="text1"/>
          <w14:textFill>
            <w14:solidFill>
              <w14:schemeClr w14:val="tx1"/>
            </w14:solidFill>
          </w14:textFill>
        </w:rPr>
      </w:pPr>
      <w:bookmarkStart w:id="456" w:name="_Toc294183141"/>
      <w:bookmarkStart w:id="457" w:name="_Toc297561905"/>
      <w:bookmarkStart w:id="458" w:name="_Toc55567432"/>
      <w:bookmarkStart w:id="459" w:name="_Toc464392607"/>
      <w:bookmarkStart w:id="460" w:name="_Toc55945271"/>
      <w:bookmarkStart w:id="461" w:name="_Toc413501904"/>
      <w:bookmarkStart w:id="462" w:name="_Toc17792038"/>
      <w:bookmarkStart w:id="463" w:name="_Toc60925380"/>
      <w:bookmarkStart w:id="464" w:name="_Toc4514"/>
      <w:bookmarkStart w:id="465" w:name="_Toc17628"/>
      <w:bookmarkStart w:id="466" w:name="_Toc16970"/>
      <w:r>
        <w:rPr>
          <w:rFonts w:hint="eastAsia" w:ascii="Times New Roman" w:hAnsi="Times New Roman" w:cs="Times New Roman"/>
          <w:color w:val="000000" w:themeColor="text1"/>
          <w:lang w:val="en-US" w:eastAsia="zh-CN"/>
          <w14:textFill>
            <w14:solidFill>
              <w14:schemeClr w14:val="tx1"/>
            </w14:solidFill>
          </w14:textFill>
        </w:rPr>
        <w:t>3.7.1</w:t>
      </w:r>
      <w:r>
        <w:rPr>
          <w:rFonts w:hint="eastAsia" w:ascii="Times New Roman" w:hAnsi="Times New Roman" w:cs="Times New Roman"/>
          <w:color w:val="000000" w:themeColor="text1"/>
          <w14:textFill>
            <w14:solidFill>
              <w14:schemeClr w14:val="tx1"/>
            </w14:solidFill>
          </w14:textFill>
        </w:rPr>
        <w:t>供配电系统</w:t>
      </w:r>
      <w:r>
        <w:rPr>
          <w:rFonts w:hint="eastAsia" w:ascii="Times New Roman" w:hAnsi="Times New Roman" w:cs="Times New Roman"/>
          <w:color w:val="000000" w:themeColor="text1"/>
          <w:lang w:eastAsia="zh-CN"/>
          <w14:textFill>
            <w14:solidFill>
              <w14:schemeClr w14:val="tx1"/>
            </w14:solidFill>
          </w14:textFill>
        </w:rPr>
        <w:t>危险有害因素</w:t>
      </w:r>
      <w:r>
        <w:rPr>
          <w:rFonts w:hint="eastAsia" w:ascii="Times New Roman" w:hAnsi="Times New Roman" w:cs="Times New Roman"/>
          <w:color w:val="000000" w:themeColor="text1"/>
          <w14:textFill>
            <w14:solidFill>
              <w14:schemeClr w14:val="tx1"/>
            </w14:solidFill>
          </w14:textFill>
        </w:rPr>
        <w:t>分析</w:t>
      </w:r>
      <w:bookmarkEnd w:id="456"/>
      <w:bookmarkEnd w:id="457"/>
      <w:bookmarkEnd w:id="458"/>
      <w:bookmarkEnd w:id="459"/>
      <w:bookmarkEnd w:id="460"/>
      <w:bookmarkEnd w:id="461"/>
      <w:bookmarkEnd w:id="462"/>
      <w:bookmarkEnd w:id="463"/>
      <w:bookmarkEnd w:id="464"/>
      <w:bookmarkEnd w:id="465"/>
      <w:bookmarkEnd w:id="466"/>
    </w:p>
    <w:p w14:paraId="6DA50E8D">
      <w:pPr>
        <w:keepNext w:val="0"/>
        <w:keepLines w:val="0"/>
        <w:pageBreakBefore w:val="0"/>
        <w:widowControl w:val="0"/>
        <w:kinsoku/>
        <w:wordWrap/>
        <w:overflowPunct/>
        <w:topLinePunct/>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本项目供配电系统设备主要有</w:t>
      </w:r>
      <w:r>
        <w:rPr>
          <w:rFonts w:hint="eastAsia" w:ascii="宋体" w:hAnsi="宋体" w:eastAsia="宋体" w:cs="宋体"/>
          <w:snapToGrid w:val="0"/>
          <w:color w:val="000000" w:themeColor="text1"/>
          <w:kern w:val="0"/>
          <w:sz w:val="28"/>
          <w:szCs w:val="28"/>
          <w14:textFill>
            <w14:solidFill>
              <w14:schemeClr w14:val="tx1"/>
            </w14:solidFill>
          </w14:textFill>
        </w:rPr>
        <w:t>变压器、电力线路、配电柜、照明灯具、用电设备等</w:t>
      </w:r>
      <w:r>
        <w:rPr>
          <w:rFonts w:hint="eastAsia" w:ascii="宋体" w:hAnsi="宋体" w:eastAsia="宋体" w:cs="宋体"/>
          <w:color w:val="000000" w:themeColor="text1"/>
          <w:sz w:val="28"/>
          <w:szCs w:val="28"/>
          <w14:textFill>
            <w14:solidFill>
              <w14:schemeClr w14:val="tx1"/>
            </w14:solidFill>
          </w14:textFill>
        </w:rPr>
        <w:t>。供配电系统主要存在火灾和触电危险：</w:t>
      </w:r>
    </w:p>
    <w:p w14:paraId="045C2BAD">
      <w:pPr>
        <w:keepNext w:val="0"/>
        <w:keepLines w:val="0"/>
        <w:pageBreakBefore w:val="0"/>
        <w:widowControl w:val="0"/>
        <w:numPr>
          <w:ilvl w:val="0"/>
          <w:numId w:val="12"/>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变压器火灾；</w:t>
      </w:r>
    </w:p>
    <w:p w14:paraId="744650C3">
      <w:pPr>
        <w:keepNext w:val="0"/>
        <w:keepLines w:val="0"/>
        <w:pageBreakBefore w:val="0"/>
        <w:widowControl w:val="0"/>
        <w:numPr>
          <w:ilvl w:val="0"/>
          <w:numId w:val="12"/>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电气线路火灾；</w:t>
      </w:r>
    </w:p>
    <w:p w14:paraId="318D2625">
      <w:pPr>
        <w:keepNext w:val="0"/>
        <w:keepLines w:val="0"/>
        <w:pageBreakBefore w:val="0"/>
        <w:widowControl w:val="0"/>
        <w:numPr>
          <w:ilvl w:val="0"/>
          <w:numId w:val="12"/>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其他电气设备危险性分析</w:t>
      </w:r>
    </w:p>
    <w:p w14:paraId="1573AE6B">
      <w:pPr>
        <w:keepNext w:val="0"/>
        <w:keepLines w:val="0"/>
        <w:pageBreakBefore w:val="0"/>
        <w:widowControl w:val="0"/>
        <w:numPr>
          <w:ilvl w:val="0"/>
          <w:numId w:val="13"/>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作业人员缺乏用电常识。</w:t>
      </w:r>
    </w:p>
    <w:p w14:paraId="7C5C8CBF">
      <w:pPr>
        <w:keepNext w:val="0"/>
        <w:keepLines w:val="0"/>
        <w:pageBreakBefore w:val="0"/>
        <w:widowControl w:val="0"/>
        <w:numPr>
          <w:ilvl w:val="0"/>
          <w:numId w:val="13"/>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电气设备及线路的日常管理、维护不当，电气设备、线路老化、绝缘破损、漏电且无接地接零保护。</w:t>
      </w:r>
    </w:p>
    <w:p w14:paraId="6B1DF6CE">
      <w:pPr>
        <w:keepNext w:val="0"/>
        <w:keepLines w:val="0"/>
        <w:pageBreakBefore w:val="0"/>
        <w:widowControl w:val="0"/>
        <w:numPr>
          <w:ilvl w:val="0"/>
          <w:numId w:val="13"/>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漏电保护器或漏电保护器失效。</w:t>
      </w:r>
    </w:p>
    <w:p w14:paraId="2F3214FB">
      <w:pPr>
        <w:keepNext w:val="0"/>
        <w:keepLines w:val="0"/>
        <w:pageBreakBefore w:val="0"/>
        <w:widowControl w:val="0"/>
        <w:numPr>
          <w:ilvl w:val="0"/>
          <w:numId w:val="13"/>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超标使用保险丝、空气开关等。</w:t>
      </w:r>
    </w:p>
    <w:p w14:paraId="583AF23F">
      <w:pPr>
        <w:keepNext w:val="0"/>
        <w:keepLines w:val="0"/>
        <w:pageBreakBefore w:val="0"/>
        <w:widowControl w:val="0"/>
        <w:numPr>
          <w:ilvl w:val="0"/>
          <w:numId w:val="13"/>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断路器失效、设备无接地接零或失效。</w:t>
      </w:r>
    </w:p>
    <w:p w14:paraId="6F6A2472">
      <w:pPr>
        <w:keepNext w:val="0"/>
        <w:keepLines w:val="0"/>
        <w:pageBreakBefore w:val="0"/>
        <w:widowControl w:val="0"/>
        <w:numPr>
          <w:ilvl w:val="0"/>
          <w:numId w:val="13"/>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电器开关损坏、漏电。</w:t>
      </w:r>
    </w:p>
    <w:p w14:paraId="4419EE75">
      <w:pPr>
        <w:keepNext w:val="0"/>
        <w:keepLines w:val="0"/>
        <w:pageBreakBefore w:val="0"/>
        <w:widowControl w:val="0"/>
        <w:numPr>
          <w:ilvl w:val="0"/>
          <w:numId w:val="13"/>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不严格执行工作票制度，违章作业，操作失误，如条件不允许而带电作业或施工中误合电闸送电等。</w:t>
      </w:r>
    </w:p>
    <w:p w14:paraId="5F443724">
      <w:pPr>
        <w:pStyle w:val="5"/>
        <w:spacing w:line="360" w:lineRule="auto"/>
        <w:rPr>
          <w:rFonts w:hint="eastAsia" w:ascii="Times New Roman" w:hAnsi="Times New Roman" w:cs="Times New Roman"/>
          <w:color w:val="000000" w:themeColor="text1"/>
          <w:lang w:val="en-US" w:eastAsia="zh-CN"/>
          <w14:textFill>
            <w14:solidFill>
              <w14:schemeClr w14:val="tx1"/>
            </w14:solidFill>
          </w14:textFill>
        </w:rPr>
      </w:pPr>
      <w:bookmarkStart w:id="467" w:name="_Toc2835"/>
      <w:bookmarkStart w:id="468" w:name="_Toc297561906"/>
      <w:bookmarkStart w:id="469" w:name="_Toc2035"/>
      <w:bookmarkStart w:id="470" w:name="_Toc55567433"/>
      <w:bookmarkStart w:id="471" w:name="_Toc294183142"/>
      <w:bookmarkStart w:id="472" w:name="_Toc464392610"/>
      <w:bookmarkStart w:id="473" w:name="_Toc413501907"/>
      <w:bookmarkStart w:id="474" w:name="_Toc60925381"/>
      <w:bookmarkStart w:id="475" w:name="_Toc17792039"/>
      <w:bookmarkStart w:id="476" w:name="_Toc55945272"/>
      <w:bookmarkStart w:id="477" w:name="_Toc9942"/>
      <w:r>
        <w:rPr>
          <w:rFonts w:hint="eastAsia" w:ascii="Times New Roman" w:hAnsi="Times New Roman" w:cs="Times New Roman"/>
          <w:color w:val="000000" w:themeColor="text1"/>
          <w:lang w:val="en-US" w:eastAsia="zh-CN"/>
          <w14:textFill>
            <w14:solidFill>
              <w14:schemeClr w14:val="tx1"/>
            </w14:solidFill>
          </w14:textFill>
        </w:rPr>
        <w:t>3.7.2给排水系统危险有害因素分析</w:t>
      </w:r>
      <w:bookmarkEnd w:id="467"/>
      <w:bookmarkEnd w:id="468"/>
      <w:bookmarkEnd w:id="469"/>
      <w:bookmarkEnd w:id="470"/>
      <w:bookmarkEnd w:id="471"/>
      <w:bookmarkEnd w:id="472"/>
      <w:bookmarkEnd w:id="473"/>
      <w:bookmarkEnd w:id="474"/>
      <w:bookmarkEnd w:id="475"/>
      <w:bookmarkEnd w:id="476"/>
      <w:bookmarkEnd w:id="477"/>
    </w:p>
    <w:p w14:paraId="6A03994A">
      <w:pPr>
        <w:keepNext w:val="0"/>
        <w:keepLines w:val="0"/>
        <w:pageBreakBefore w:val="0"/>
        <w:widowControl w:val="0"/>
        <w:kinsoku/>
        <w:wordWrap/>
        <w:overflowPunct/>
        <w:topLinePunct/>
        <w:autoSpaceDE/>
        <w:autoSpaceDN/>
        <w:bidi w:val="0"/>
        <w:adjustRightInd w:val="0"/>
        <w:snapToGrid w:val="0"/>
        <w:spacing w:line="500" w:lineRule="exact"/>
        <w:ind w:firstLine="560" w:firstLineChars="200"/>
        <w:textAlignment w:val="auto"/>
        <w:rPr>
          <w:rFonts w:hint="eastAsia" w:eastAsia="宋体"/>
          <w:color w:val="000000" w:themeColor="text1"/>
          <w:sz w:val="28"/>
          <w:szCs w:val="28"/>
          <w:lang w:eastAsia="zh-CN"/>
          <w14:textFill>
            <w14:solidFill>
              <w14:schemeClr w14:val="tx1"/>
            </w14:solidFill>
          </w14:textFill>
        </w:rPr>
      </w:pPr>
      <w:r>
        <w:rPr>
          <w:rFonts w:hint="eastAsia"/>
          <w:color w:val="000000" w:themeColor="text1"/>
          <w:sz w:val="28"/>
          <w:szCs w:val="28"/>
          <w14:textFill>
            <w14:solidFill>
              <w14:schemeClr w14:val="tx1"/>
            </w14:solidFill>
          </w14:textFill>
        </w:rPr>
        <w:t>本项目用水主要是</w:t>
      </w:r>
      <w:r>
        <w:rPr>
          <w:rFonts w:hint="eastAsia"/>
          <w:color w:val="000000" w:themeColor="text1"/>
          <w:sz w:val="28"/>
          <w:szCs w:val="28"/>
          <w:lang w:val="en-US" w:eastAsia="zh-CN"/>
          <w14:textFill>
            <w14:solidFill>
              <w14:schemeClr w14:val="tx1"/>
            </w14:solidFill>
          </w14:textFill>
        </w:rPr>
        <w:t>办公</w:t>
      </w:r>
      <w:r>
        <w:rPr>
          <w:rFonts w:hint="eastAsia"/>
          <w:color w:val="000000" w:themeColor="text1"/>
          <w:sz w:val="28"/>
          <w:szCs w:val="28"/>
          <w14:textFill>
            <w14:solidFill>
              <w14:schemeClr w14:val="tx1"/>
            </w14:solidFill>
          </w14:textFill>
        </w:rPr>
        <w:t>生活、循环水补充，如果在出现紧急事故需用水处理</w:t>
      </w:r>
      <w:r>
        <w:rPr>
          <w:rFonts w:hint="eastAsia"/>
          <w:color w:val="000000" w:themeColor="text1"/>
          <w:sz w:val="28"/>
          <w:szCs w:val="28"/>
          <w:lang w:eastAsia="zh-CN"/>
          <w14:textFill>
            <w14:solidFill>
              <w14:schemeClr w14:val="tx1"/>
            </w14:solidFill>
          </w14:textFill>
        </w:rPr>
        <w:t>时</w:t>
      </w:r>
      <w:r>
        <w:rPr>
          <w:rFonts w:hint="eastAsia"/>
          <w:color w:val="000000" w:themeColor="text1"/>
          <w:sz w:val="28"/>
          <w:szCs w:val="28"/>
          <w14:textFill>
            <w14:solidFill>
              <w14:schemeClr w14:val="tx1"/>
            </w14:solidFill>
          </w14:textFill>
        </w:rPr>
        <w:t>出现供水压力较小以及断水事故等时，会导致事故的扩大</w:t>
      </w:r>
      <w:r>
        <w:rPr>
          <w:rFonts w:hint="eastAsia"/>
          <w:color w:val="000000" w:themeColor="text1"/>
          <w:sz w:val="28"/>
          <w:szCs w:val="28"/>
          <w:lang w:eastAsia="zh-CN"/>
          <w14:textFill>
            <w14:solidFill>
              <w14:schemeClr w14:val="tx1"/>
            </w14:solidFill>
          </w14:textFill>
        </w:rPr>
        <w:t>。</w:t>
      </w:r>
    </w:p>
    <w:p w14:paraId="7EB089F5">
      <w:pPr>
        <w:pStyle w:val="5"/>
        <w:spacing w:line="360" w:lineRule="auto"/>
        <w:rPr>
          <w:rFonts w:hint="eastAsia" w:ascii="Times New Roman" w:hAnsi="Times New Roman" w:cs="Times New Roman"/>
          <w:color w:val="000000" w:themeColor="text1"/>
          <w:lang w:val="en-US" w:eastAsia="zh-CN"/>
          <w14:textFill>
            <w14:solidFill>
              <w14:schemeClr w14:val="tx1"/>
            </w14:solidFill>
          </w14:textFill>
        </w:rPr>
      </w:pPr>
      <w:bookmarkStart w:id="478" w:name="_Toc17792040"/>
      <w:bookmarkStart w:id="479" w:name="_Toc55945273"/>
      <w:bookmarkStart w:id="480" w:name="_Toc60925382"/>
      <w:bookmarkStart w:id="481" w:name="_Toc55567434"/>
      <w:bookmarkStart w:id="482" w:name="_Toc19092"/>
      <w:bookmarkStart w:id="483" w:name="_Toc22305"/>
      <w:bookmarkStart w:id="484" w:name="_Toc32603"/>
      <w:r>
        <w:rPr>
          <w:rFonts w:hint="eastAsia" w:ascii="Times New Roman" w:hAnsi="Times New Roman" w:cs="Times New Roman"/>
          <w:color w:val="000000" w:themeColor="text1"/>
          <w:lang w:val="en-US" w:eastAsia="zh-CN"/>
          <w14:textFill>
            <w14:solidFill>
              <w14:schemeClr w14:val="tx1"/>
            </w14:solidFill>
          </w14:textFill>
        </w:rPr>
        <w:t>3.7.3 供气系统</w:t>
      </w:r>
      <w:bookmarkEnd w:id="478"/>
      <w:bookmarkEnd w:id="479"/>
      <w:bookmarkEnd w:id="480"/>
      <w:bookmarkEnd w:id="481"/>
      <w:r>
        <w:rPr>
          <w:rFonts w:hint="eastAsia" w:ascii="Times New Roman" w:hAnsi="Times New Roman" w:cs="Times New Roman"/>
          <w:color w:val="000000" w:themeColor="text1"/>
          <w:lang w:val="en-US" w:eastAsia="zh-CN"/>
          <w14:textFill>
            <w14:solidFill>
              <w14:schemeClr w14:val="tx1"/>
            </w14:solidFill>
          </w14:textFill>
        </w:rPr>
        <w:t>危险有害因素</w:t>
      </w:r>
      <w:bookmarkEnd w:id="482"/>
      <w:bookmarkEnd w:id="483"/>
      <w:bookmarkEnd w:id="484"/>
    </w:p>
    <w:p w14:paraId="3631775F">
      <w:pPr>
        <w:keepNext w:val="0"/>
        <w:keepLines w:val="0"/>
        <w:pageBreakBefore w:val="0"/>
        <w:widowControl w:val="0"/>
        <w:kinsoku/>
        <w:wordWrap/>
        <w:overflowPunct/>
        <w:topLinePunct/>
        <w:autoSpaceDE w:val="0"/>
        <w:autoSpaceDN w:val="0"/>
        <w:bidi w:val="0"/>
        <w:adjustRightInd/>
        <w:snapToGrid/>
        <w:spacing w:line="500" w:lineRule="exact"/>
        <w:ind w:firstLine="560" w:firstLineChars="200"/>
        <w:textAlignment w:val="auto"/>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本项目</w:t>
      </w:r>
      <w:r>
        <w:rPr>
          <w:rFonts w:hint="eastAsia" w:hAnsi="宋体" w:cs="宋体"/>
          <w:bCs/>
          <w:color w:val="000000" w:themeColor="text1"/>
          <w:sz w:val="28"/>
          <w:szCs w:val="28"/>
          <w:lang w:val="en-US" w:eastAsia="zh-CN"/>
          <w14:textFill>
            <w14:solidFill>
              <w14:schemeClr w14:val="tx1"/>
            </w14:solidFill>
          </w14:textFill>
        </w:rPr>
        <w:t>生产车间</w:t>
      </w:r>
      <w:r>
        <w:rPr>
          <w:rFonts w:hint="eastAsia" w:ascii="宋体" w:hAnsi="宋体" w:eastAsia="宋体" w:cs="宋体"/>
          <w:bCs/>
          <w:color w:val="000000" w:themeColor="text1"/>
          <w:sz w:val="28"/>
          <w:szCs w:val="28"/>
          <w14:textFill>
            <w14:solidFill>
              <w14:schemeClr w14:val="tx1"/>
            </w14:solidFill>
          </w14:textFill>
        </w:rPr>
        <w:t>设有储气罐</w:t>
      </w:r>
      <w:r>
        <w:rPr>
          <w:rFonts w:hint="eastAsia" w:ascii="宋体" w:hAnsi="宋体" w:eastAsia="宋体" w:cs="宋体"/>
          <w:bCs/>
          <w:color w:val="000000" w:themeColor="text1"/>
          <w:sz w:val="28"/>
          <w:szCs w:val="28"/>
          <w:lang w:eastAsia="zh-CN"/>
          <w14:textFill>
            <w14:solidFill>
              <w14:schemeClr w14:val="tx1"/>
            </w14:solidFill>
          </w14:textFill>
        </w:rPr>
        <w:t>。</w:t>
      </w:r>
      <w:r>
        <w:rPr>
          <w:rFonts w:hint="eastAsia" w:ascii="宋体" w:hAnsi="宋体" w:eastAsia="宋体" w:cs="宋体"/>
          <w:bCs/>
          <w:color w:val="000000" w:themeColor="text1"/>
          <w:sz w:val="28"/>
          <w:szCs w:val="28"/>
          <w14:textFill>
            <w14:solidFill>
              <w14:schemeClr w14:val="tx1"/>
            </w14:solidFill>
          </w14:textFill>
        </w:rPr>
        <w:t>储气罐</w:t>
      </w:r>
      <w:r>
        <w:rPr>
          <w:rFonts w:hint="eastAsia" w:hAnsi="宋体" w:cs="宋体"/>
          <w:bCs/>
          <w:color w:val="000000" w:themeColor="text1"/>
          <w:sz w:val="28"/>
          <w:szCs w:val="28"/>
          <w:lang w:eastAsia="zh-CN"/>
          <w14:textFill>
            <w14:solidFill>
              <w14:schemeClr w14:val="tx1"/>
            </w14:solidFill>
          </w14:textFill>
        </w:rPr>
        <w:t>，</w:t>
      </w:r>
      <w:r>
        <w:rPr>
          <w:rFonts w:hint="eastAsia" w:ascii="宋体" w:hAnsi="宋体" w:eastAsia="宋体" w:cs="宋体"/>
          <w:bCs/>
          <w:color w:val="000000" w:themeColor="text1"/>
          <w:sz w:val="28"/>
          <w:szCs w:val="28"/>
          <w14:textFill>
            <w14:solidFill>
              <w14:schemeClr w14:val="tx1"/>
            </w14:solidFill>
          </w14:textFill>
        </w:rPr>
        <w:t>有发生物理爆炸的危险。发生物理爆炸的主要原因有：</w:t>
      </w:r>
    </w:p>
    <w:p w14:paraId="51A54F0A">
      <w:pPr>
        <w:keepNext w:val="0"/>
        <w:keepLines w:val="0"/>
        <w:pageBreakBefore w:val="0"/>
        <w:widowControl w:val="0"/>
        <w:numPr>
          <w:ilvl w:val="0"/>
          <w:numId w:val="14"/>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操作失当造成设备超压；</w:t>
      </w:r>
    </w:p>
    <w:p w14:paraId="3D8906D7">
      <w:pPr>
        <w:keepNext w:val="0"/>
        <w:keepLines w:val="0"/>
        <w:pageBreakBefore w:val="0"/>
        <w:widowControl w:val="0"/>
        <w:numPr>
          <w:ilvl w:val="0"/>
          <w:numId w:val="14"/>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安全装置不齐、不灵或装设不当，各种连锁保护装置单独或同时失灵；</w:t>
      </w:r>
    </w:p>
    <w:p w14:paraId="3C9F1341">
      <w:pPr>
        <w:keepNext w:val="0"/>
        <w:keepLines w:val="0"/>
        <w:pageBreakBefore w:val="0"/>
        <w:widowControl w:val="0"/>
        <w:numPr>
          <w:ilvl w:val="0"/>
          <w:numId w:val="14"/>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内外介质腐蚀使设备壁厚减薄，强度降低，承受不了额定压力；</w:t>
      </w:r>
    </w:p>
    <w:p w14:paraId="71CA7235">
      <w:pPr>
        <w:keepNext w:val="0"/>
        <w:keepLines w:val="0"/>
        <w:pageBreakBefore w:val="0"/>
        <w:widowControl w:val="0"/>
        <w:numPr>
          <w:ilvl w:val="0"/>
          <w:numId w:val="14"/>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在接管、焊缝、形状变化部位等结构薄弱处产生裂纹；</w:t>
      </w:r>
    </w:p>
    <w:p w14:paraId="33833C24">
      <w:pPr>
        <w:keepNext w:val="0"/>
        <w:keepLines w:val="0"/>
        <w:pageBreakBefore w:val="0"/>
        <w:widowControl w:val="0"/>
        <w:numPr>
          <w:ilvl w:val="0"/>
          <w:numId w:val="14"/>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储罐内因可燃性杂质超标、泄漏或阀门操作失当，导致器内或器外燃爆；</w:t>
      </w:r>
    </w:p>
    <w:p w14:paraId="1BB82168">
      <w:pPr>
        <w:keepNext w:val="0"/>
        <w:keepLines w:val="0"/>
        <w:pageBreakBefore w:val="0"/>
        <w:widowControl w:val="0"/>
        <w:numPr>
          <w:ilvl w:val="0"/>
          <w:numId w:val="14"/>
        </w:numPr>
        <w:kinsoku/>
        <w:wordWrap/>
        <w:overflowPunct/>
        <w:topLinePunct/>
        <w:autoSpaceDE/>
        <w:autoSpaceDN/>
        <w:bidi w:val="0"/>
        <w:adjustRightInd/>
        <w:snapToGrid/>
        <w:spacing w:line="500" w:lineRule="exact"/>
        <w:ind w:left="0" w:leftChars="0" w:firstLine="560" w:firstLineChars="200"/>
        <w:textAlignment w:val="auto"/>
        <w:rPr>
          <w:rFonts w:hint="eastAsia" w:ascii="宋体" w:hAnsi="宋体" w:cs="宋体"/>
          <w:color w:val="000000" w:themeColor="text1"/>
          <w:sz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设备本身未按规定期限进行检验检修，安全装置未按期校验；管理失当或违章操作</w:t>
      </w:r>
      <w:r>
        <w:rPr>
          <w:rFonts w:hint="eastAsia" w:ascii="宋体" w:hAnsi="宋体" w:eastAsia="宋体" w:cs="宋体"/>
          <w:color w:val="000000" w:themeColor="text1"/>
          <w:sz w:val="28"/>
          <w:szCs w:val="28"/>
          <w:lang w:eastAsia="zh-CN"/>
          <w14:textFill>
            <w14:solidFill>
              <w14:schemeClr w14:val="tx1"/>
            </w14:solidFill>
          </w14:textFill>
        </w:rPr>
        <w:t>。</w:t>
      </w:r>
    </w:p>
    <w:p w14:paraId="4DA46FE5">
      <w:pPr>
        <w:pStyle w:val="5"/>
        <w:rPr>
          <w:rFonts w:ascii="Times New Roman" w:hAnsi="Times New Roman"/>
          <w:color w:val="000000" w:themeColor="text1"/>
          <w14:textFill>
            <w14:solidFill>
              <w14:schemeClr w14:val="tx1"/>
            </w14:solidFill>
          </w14:textFill>
        </w:rPr>
      </w:pPr>
      <w:bookmarkStart w:id="485" w:name="_Toc24599"/>
      <w:bookmarkStart w:id="486" w:name="_Toc5567"/>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7</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4</w:t>
      </w:r>
      <w:r>
        <w:rPr>
          <w:rFonts w:hint="eastAsia" w:ascii="Times New Roman" w:hAnsi="Times New Roman"/>
          <w:color w:val="000000" w:themeColor="text1"/>
          <w14:textFill>
            <w14:solidFill>
              <w14:schemeClr w14:val="tx1"/>
            </w14:solidFill>
          </w14:textFill>
        </w:rPr>
        <w:t>安全管理缺陷的危险有害因素辨识</w:t>
      </w:r>
      <w:bookmarkEnd w:id="485"/>
      <w:bookmarkEnd w:id="486"/>
    </w:p>
    <w:p w14:paraId="2551B042">
      <w:pPr>
        <w:keepNext w:val="0"/>
        <w:keepLines w:val="0"/>
        <w:pageBreakBefore w:val="0"/>
        <w:widowControl w:val="0"/>
        <w:tabs>
          <w:tab w:val="left" w:pos="3900"/>
        </w:tabs>
        <w:kinsoku/>
        <w:wordWrap/>
        <w:overflowPunct/>
        <w:topLinePunct w:val="0"/>
        <w:bidi w:val="0"/>
        <w:adjustRightInd/>
        <w:snapToGrid/>
        <w:spacing w:line="500" w:lineRule="exact"/>
        <w:ind w:firstLine="560" w:firstLineChars="200"/>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安全管理是为保证及时、有效地实现既定的安全目标，是在预测、分析的基础上进行的计划、组织、协调、检查等工作，是预防故障和人员失误发生的有效手段，因此，管理缺陷是影响运行失控发生的重要因素。</w:t>
      </w:r>
    </w:p>
    <w:p w14:paraId="4B570E0E">
      <w:pPr>
        <w:keepNext w:val="0"/>
        <w:keepLines w:val="0"/>
        <w:pageBreakBefore w:val="0"/>
        <w:widowControl w:val="0"/>
        <w:tabs>
          <w:tab w:val="left" w:pos="3900"/>
        </w:tabs>
        <w:kinsoku/>
        <w:wordWrap/>
        <w:overflowPunct/>
        <w:topLinePunct w:val="0"/>
        <w:bidi w:val="0"/>
        <w:adjustRightInd/>
        <w:snapToGrid/>
        <w:spacing w:line="500" w:lineRule="exact"/>
        <w:ind w:firstLine="560" w:firstLineChars="200"/>
        <w:textAlignment w:val="auto"/>
        <w:rPr>
          <w:rFonts w:ascii="Times New Roman"/>
          <w:color w:val="000000" w:themeColor="text1"/>
          <w:sz w:val="28"/>
          <w:szCs w:val="28"/>
          <w14:textFill>
            <w14:solidFill>
              <w14:schemeClr w14:val="tx1"/>
            </w14:solidFill>
          </w14:textFill>
        </w:rPr>
      </w:pPr>
      <w:r>
        <w:rPr>
          <w:rFonts w:ascii="Times New Roman"/>
          <w:snapToGrid w:val="0"/>
          <w:color w:val="000000" w:themeColor="text1"/>
          <w:sz w:val="28"/>
          <w:szCs w:val="28"/>
          <w14:textFill>
            <w14:solidFill>
              <w14:schemeClr w14:val="tx1"/>
            </w14:solidFill>
          </w14:textFill>
        </w:rPr>
        <w:t>由于安全管理缺陷，现场监管不到位，可导致安全事故发生，</w:t>
      </w:r>
      <w:r>
        <w:rPr>
          <w:rFonts w:ascii="Times New Roman"/>
          <w:color w:val="000000" w:themeColor="text1"/>
          <w:sz w:val="28"/>
          <w:szCs w:val="28"/>
          <w14:textFill>
            <w14:solidFill>
              <w14:schemeClr w14:val="tx1"/>
            </w14:solidFill>
          </w14:textFill>
        </w:rPr>
        <w:t>管理缺陷主要体现在以下几方面：</w:t>
      </w:r>
    </w:p>
    <w:p w14:paraId="4179E4E8">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安全管理组织缺陷，如安全管理组织机构的结构、人员组成不适应生产系统；未按要求配备足额的管理人员，造成安全管理工作中存在衔接不当、管理空白、专业不全等；人员职权交叉，造成管理混乱；在解决重大问题上由最高领导一人凭借经验作决策，没有征求大多数人的意见；</w:t>
      </w:r>
    </w:p>
    <w:p w14:paraId="7183CEB0">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安全规章管理制度存在缺陷，如未根据自身特点制定、完善安全生产责任制、安全生产管理制度，造成工作中无章可循，生产次序混乱；安全生产责任制未落实到每个环节、每个岗位、每个人，各自职责不明确或职能部门；不同的安全规章管理制度之间缺少相互配合和促进机制；安全规章管理制度流于形式，内容不完善、不全面；安全规章管理制度要求与实际工作脱节等；</w:t>
      </w:r>
    </w:p>
    <w:p w14:paraId="54B3C425">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对从业人员的安全教育培训不足，如安全管理人员和基层操作人员未经过培训考核或培训学时不足，不具备相应的安全生产知识和上岗能力；员工素质低下，知识陈旧，观念落后，致使人员安全意识差、不安全行为数量增多；忽视对外协用工、外来参观、学习人员的安全教育培训等；</w:t>
      </w:r>
    </w:p>
    <w:p w14:paraId="60F477C3">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应急救援失效，如对突发事故无预见性，事故发生后无法及时组织救援；事故应急救援不迅速；事故判断不准确，导致采取的应急救援行动和战术决策不准确；事故救援缺乏有效性；应急响应过程中公众恐慌心理增加救援难度等；</w:t>
      </w:r>
    </w:p>
    <w:p w14:paraId="06F53BBF">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管理人员监督检查力度不足，有禁不止，有令不行，滋生违章行为等；</w:t>
      </w:r>
    </w:p>
    <w:p w14:paraId="78954AB5">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安全管理基础工作差；</w:t>
      </w:r>
    </w:p>
    <w:p w14:paraId="33E8FD18">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安全资金投入不足，安全教育培训不够、个人防护不到位、安全设施配备不足、未提供事故隐患排查治理所需的资金等导致事故的发生；</w:t>
      </w:r>
    </w:p>
    <w:p w14:paraId="3B2A7B4D">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为节约成本，不提供符合要求的安全防护设施和个人使用的劳动防护用品；</w:t>
      </w:r>
    </w:p>
    <w:p w14:paraId="06E23BB6">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隐患排查不彻底，治理措施不得当；</w:t>
      </w:r>
    </w:p>
    <w:p w14:paraId="183EE8D9">
      <w:pPr>
        <w:keepNext w:val="0"/>
        <w:keepLines w:val="0"/>
        <w:pageBreakBefore w:val="0"/>
        <w:widowControl w:val="0"/>
        <w:numPr>
          <w:ilvl w:val="0"/>
          <w:numId w:val="15"/>
        </w:numPr>
        <w:tabs>
          <w:tab w:val="left" w:pos="945"/>
        </w:tabs>
        <w:kinsoku/>
        <w:wordWrap/>
        <w:overflowPunct/>
        <w:topLinePunct w:val="0"/>
        <w:autoSpaceDE w:val="0"/>
        <w:autoSpaceDN w:val="0"/>
        <w:bidi w:val="0"/>
        <w:adjustRightInd/>
        <w:snapToGrid/>
        <w:spacing w:line="500" w:lineRule="exact"/>
        <w:ind w:firstLine="560" w:firstLineChars="200"/>
        <w:jc w:val="left"/>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未建立安全生产记录档案，不利于及时、全面</w:t>
      </w:r>
      <w:r>
        <w:rPr>
          <w:rFonts w:hint="eastAsia" w:ascii="Times New Roman"/>
          <w:color w:val="000000" w:themeColor="text1"/>
          <w:sz w:val="28"/>
          <w:szCs w:val="28"/>
          <w14:textFill>
            <w14:solidFill>
              <w14:schemeClr w14:val="tx1"/>
            </w14:solidFill>
          </w14:textFill>
        </w:rPr>
        <w:t>系统地掌握</w:t>
      </w:r>
      <w:r>
        <w:rPr>
          <w:rFonts w:ascii="Times New Roman"/>
          <w:color w:val="000000" w:themeColor="text1"/>
          <w:sz w:val="28"/>
          <w:szCs w:val="28"/>
          <w14:textFill>
            <w14:solidFill>
              <w14:schemeClr w14:val="tx1"/>
            </w14:solidFill>
          </w14:textFill>
        </w:rPr>
        <w:t>企业安全生产情况，及时</w:t>
      </w:r>
      <w:r>
        <w:rPr>
          <w:rFonts w:hint="eastAsia" w:ascii="Times New Roman"/>
          <w:color w:val="000000" w:themeColor="text1"/>
          <w:sz w:val="28"/>
          <w:szCs w:val="28"/>
          <w14:textFill>
            <w14:solidFill>
              <w14:schemeClr w14:val="tx1"/>
            </w14:solidFill>
          </w14:textFill>
        </w:rPr>
        <w:t>反映</w:t>
      </w:r>
      <w:r>
        <w:rPr>
          <w:rFonts w:ascii="Times New Roman"/>
          <w:color w:val="000000" w:themeColor="text1"/>
          <w:sz w:val="28"/>
          <w:szCs w:val="28"/>
          <w14:textFill>
            <w14:solidFill>
              <w14:schemeClr w14:val="tx1"/>
            </w14:solidFill>
          </w14:textFill>
        </w:rPr>
        <w:t>安全生产动态；不利于分析安全生产中的危险因素和作出安全管理决策；</w:t>
      </w:r>
    </w:p>
    <w:p w14:paraId="6EEDD1CF">
      <w:pPr>
        <w:keepNext w:val="0"/>
        <w:keepLines w:val="0"/>
        <w:pageBreakBefore w:val="0"/>
        <w:widowControl w:val="0"/>
        <w:numPr>
          <w:ilvl w:val="0"/>
          <w:numId w:val="15"/>
        </w:numPr>
        <w:kinsoku/>
        <w:wordWrap/>
        <w:overflowPunct/>
        <w:topLinePunct w:val="0"/>
        <w:bidi w:val="0"/>
        <w:adjustRightInd/>
        <w:snapToGrid/>
        <w:spacing w:line="500" w:lineRule="exact"/>
        <w:ind w:firstLine="560" w:firstLineChars="200"/>
        <w:textAlignment w:val="auto"/>
        <w:rPr>
          <w:rFonts w:hAnsi="宋体"/>
          <w:color w:val="000000" w:themeColor="text1"/>
          <w:sz w:val="28"/>
          <w:szCs w:val="28"/>
          <w14:textFill>
            <w14:solidFill>
              <w14:schemeClr w14:val="tx1"/>
            </w14:solidFill>
          </w14:textFill>
        </w:rPr>
      </w:pPr>
      <w:r>
        <w:rPr>
          <w:rFonts w:ascii="Times New Roman"/>
          <w:color w:val="000000" w:themeColor="text1"/>
          <w:sz w:val="28"/>
          <w:szCs w:val="28"/>
          <w14:textFill>
            <w14:solidFill>
              <w14:schemeClr w14:val="tx1"/>
            </w14:solidFill>
          </w14:textFill>
        </w:rPr>
        <w:t>对事故管理不当，使事故恶化，如迟报、漏报、谎报或瞒报事故，事故原因没有查清楚，群众没有受到教育等</w:t>
      </w:r>
      <w:r>
        <w:rPr>
          <w:rFonts w:ascii="Times New Roman"/>
          <w:bCs/>
          <w:color w:val="000000" w:themeColor="text1"/>
          <w:sz w:val="28"/>
          <w:szCs w:val="28"/>
          <w14:textFill>
            <w14:solidFill>
              <w14:schemeClr w14:val="tx1"/>
            </w14:solidFill>
          </w14:textFill>
        </w:rPr>
        <w:t>。</w:t>
      </w:r>
    </w:p>
    <w:p w14:paraId="3ABA2706">
      <w:pPr>
        <w:pStyle w:val="4"/>
        <w:snapToGrid/>
        <w:spacing w:line="360" w:lineRule="auto"/>
        <w:rPr>
          <w:rFonts w:hint="eastAsia" w:ascii="Times New Roman" w:hAnsi="Times New Roman" w:cs="Times New Roman"/>
          <w:color w:val="000000" w:themeColor="text1"/>
          <w14:textFill>
            <w14:solidFill>
              <w14:schemeClr w14:val="tx1"/>
            </w14:solidFill>
          </w14:textFill>
        </w:rPr>
      </w:pPr>
      <w:bookmarkStart w:id="487" w:name="_Toc10986"/>
      <w:bookmarkStart w:id="488" w:name="_Toc7018"/>
      <w:r>
        <w:rPr>
          <w:rFonts w:hint="eastAsia" w:ascii="Times New Roman" w:hAnsi="Times New Roman" w:cs="Times New Roman"/>
          <w:color w:val="000000" w:themeColor="text1"/>
          <w:lang w:val="en-US" w:eastAsia="zh-CN"/>
          <w14:textFill>
            <w14:solidFill>
              <w14:schemeClr w14:val="tx1"/>
            </w14:solidFill>
          </w14:textFill>
        </w:rPr>
        <w:t>3.8</w:t>
      </w:r>
      <w:r>
        <w:rPr>
          <w:rFonts w:hint="eastAsia" w:ascii="Times New Roman" w:hAnsi="Times New Roman" w:cs="Times New Roman"/>
          <w:color w:val="000000" w:themeColor="text1"/>
          <w14:textFill>
            <w14:solidFill>
              <w14:schemeClr w14:val="tx1"/>
            </w14:solidFill>
          </w14:textFill>
        </w:rPr>
        <w:t>主要危险、有害因素分布场所</w:t>
      </w:r>
      <w:bookmarkEnd w:id="487"/>
      <w:bookmarkEnd w:id="488"/>
    </w:p>
    <w:p w14:paraId="3464ED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kern w:val="3"/>
          <w:sz w:val="28"/>
          <w:szCs w:val="28"/>
          <w14:textFill>
            <w14:solidFill>
              <w14:schemeClr w14:val="tx1"/>
            </w14:solidFill>
          </w14:textFill>
        </w:rPr>
      </w:pPr>
      <w:bookmarkStart w:id="489" w:name="_Toc314213597"/>
      <w:r>
        <w:rPr>
          <w:color w:val="000000" w:themeColor="text1"/>
          <w:sz w:val="28"/>
          <w:szCs w:val="28"/>
          <w14:textFill>
            <w14:solidFill>
              <w14:schemeClr w14:val="tx1"/>
            </w14:solidFill>
          </w14:textFill>
        </w:rPr>
        <w:t>经以上分析可知，本项目生产过程中存在的主要危险、有害因素有：</w:t>
      </w:r>
      <w:bookmarkEnd w:id="489"/>
      <w:r>
        <w:rPr>
          <w:color w:val="000000" w:themeColor="text1"/>
          <w:sz w:val="28"/>
          <w:szCs w:val="28"/>
          <w14:textFill>
            <w14:solidFill>
              <w14:schemeClr w14:val="tx1"/>
            </w14:solidFill>
          </w14:textFill>
        </w:rPr>
        <w:t>物体打击、车辆伤害、机械伤害、触电、</w:t>
      </w:r>
      <w:r>
        <w:rPr>
          <w:rFonts w:hint="eastAsia"/>
          <w:color w:val="000000" w:themeColor="text1"/>
          <w:sz w:val="28"/>
          <w:szCs w:val="28"/>
          <w:lang w:val="en-US" w:eastAsia="zh-CN"/>
          <w14:textFill>
            <w14:solidFill>
              <w14:schemeClr w14:val="tx1"/>
            </w14:solidFill>
          </w14:textFill>
        </w:rPr>
        <w:t>淹溺、起重伤害</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火灾、高处坠落、坍塌、</w:t>
      </w:r>
      <w:r>
        <w:rPr>
          <w:rFonts w:hint="eastAsia"/>
          <w:color w:val="000000" w:themeColor="text1"/>
          <w:sz w:val="28"/>
          <w:szCs w:val="28"/>
          <w14:textFill>
            <w14:solidFill>
              <w14:schemeClr w14:val="tx1"/>
            </w14:solidFill>
          </w14:textFill>
        </w:rPr>
        <w:t>容器爆炸、</w:t>
      </w:r>
      <w:r>
        <w:rPr>
          <w:color w:val="000000" w:themeColor="text1"/>
          <w:sz w:val="28"/>
          <w:szCs w:val="28"/>
          <w14:textFill>
            <w14:solidFill>
              <w14:schemeClr w14:val="tx1"/>
            </w14:solidFill>
          </w14:textFill>
        </w:rPr>
        <w:t>其他伤害等。</w:t>
      </w:r>
    </w:p>
    <w:p w14:paraId="74EF4782">
      <w:pPr>
        <w:numPr>
          <w:numId w:val="0"/>
        </w:numPr>
        <w:adjustRightInd w:val="0"/>
        <w:snapToGrid w:val="0"/>
        <w:ind w:left="2640" w:leftChars="0"/>
        <w:jc w:val="left"/>
        <w:rPr>
          <w:b/>
          <w:bCs/>
          <w:color w:val="000000" w:themeColor="text1"/>
          <w:kern w:val="3"/>
          <w:sz w:val="24"/>
          <w14:textFill>
            <w14:solidFill>
              <w14:schemeClr w14:val="tx1"/>
            </w14:solidFill>
          </w14:textFill>
        </w:rPr>
      </w:pPr>
      <w:r>
        <w:rPr>
          <w:rFonts w:hint="eastAsia"/>
          <w:b/>
          <w:bCs/>
          <w:color w:val="000000" w:themeColor="text1"/>
          <w:kern w:val="3"/>
          <w:sz w:val="24"/>
          <w:lang w:val="en-US" w:eastAsia="zh-CN"/>
          <w14:textFill>
            <w14:solidFill>
              <w14:schemeClr w14:val="tx1"/>
            </w14:solidFill>
          </w14:textFill>
        </w:rPr>
        <w:t xml:space="preserve">表3-6 </w:t>
      </w:r>
      <w:r>
        <w:rPr>
          <w:b/>
          <w:bCs/>
          <w:color w:val="000000" w:themeColor="text1"/>
          <w:kern w:val="3"/>
          <w:sz w:val="24"/>
          <w14:textFill>
            <w14:solidFill>
              <w14:schemeClr w14:val="tx1"/>
            </w14:solidFill>
          </w14:textFill>
        </w:rPr>
        <w:t>危险有害因素存在的主要部位表</w:t>
      </w:r>
      <w:bookmarkStart w:id="490" w:name="_Toc320367387"/>
      <w:bookmarkStart w:id="491" w:name="_Toc320307923"/>
      <w:bookmarkStart w:id="492" w:name="_Toc393462887"/>
      <w:bookmarkStart w:id="493" w:name="_Toc393463075"/>
    </w:p>
    <w:bookmarkEnd w:id="490"/>
    <w:bookmarkEnd w:id="491"/>
    <w:bookmarkEnd w:id="492"/>
    <w:bookmarkEnd w:id="493"/>
    <w:tbl>
      <w:tblPr>
        <w:tblStyle w:val="53"/>
        <w:tblW w:w="82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367"/>
        <w:gridCol w:w="5147"/>
      </w:tblGrid>
      <w:tr w14:paraId="65BA1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13C0A8EF">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2367" w:type="dxa"/>
            <w:vAlign w:val="center"/>
          </w:tcPr>
          <w:p w14:paraId="5C6A6E0C">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主要危险、有害因素</w:t>
            </w:r>
          </w:p>
        </w:tc>
        <w:tc>
          <w:tcPr>
            <w:tcW w:w="5147" w:type="dxa"/>
            <w:vAlign w:val="center"/>
          </w:tcPr>
          <w:p w14:paraId="433BB19D">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主要存在部位</w:t>
            </w:r>
          </w:p>
        </w:tc>
      </w:tr>
      <w:tr w14:paraId="27485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46909AB0">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7A2AE00C">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物体打击</w:t>
            </w:r>
          </w:p>
        </w:tc>
        <w:tc>
          <w:tcPr>
            <w:tcW w:w="5147" w:type="dxa"/>
            <w:vAlign w:val="center"/>
          </w:tcPr>
          <w:p w14:paraId="1273E54B">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生产车间作业点</w:t>
            </w:r>
          </w:p>
        </w:tc>
      </w:tr>
      <w:tr w14:paraId="6F277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13" w:type="dxa"/>
            <w:vAlign w:val="center"/>
          </w:tcPr>
          <w:p w14:paraId="2F31BACD">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7DE01DC3">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车辆伤害</w:t>
            </w:r>
          </w:p>
        </w:tc>
        <w:tc>
          <w:tcPr>
            <w:tcW w:w="5147" w:type="dxa"/>
            <w:vAlign w:val="center"/>
          </w:tcPr>
          <w:p w14:paraId="1F12B83A">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厂区道路、装卸区等处</w:t>
            </w:r>
          </w:p>
        </w:tc>
      </w:tr>
      <w:tr w14:paraId="40268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35331C51">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731A8606">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机械伤害</w:t>
            </w:r>
          </w:p>
        </w:tc>
        <w:tc>
          <w:tcPr>
            <w:tcW w:w="5147" w:type="dxa"/>
            <w:vAlign w:val="center"/>
          </w:tcPr>
          <w:p w14:paraId="0DDB2C56">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各生产工序设备传动部位</w:t>
            </w:r>
          </w:p>
        </w:tc>
      </w:tr>
      <w:tr w14:paraId="6F903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5935981F">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46A106E9">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触电</w:t>
            </w:r>
          </w:p>
        </w:tc>
        <w:tc>
          <w:tcPr>
            <w:tcW w:w="5147" w:type="dxa"/>
            <w:vAlign w:val="center"/>
          </w:tcPr>
          <w:p w14:paraId="40BF9426">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厂区范围内各用电场所、区域</w:t>
            </w:r>
          </w:p>
        </w:tc>
      </w:tr>
      <w:tr w14:paraId="01E6E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0ED9E73D">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12E0C4B1">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淹溺</w:t>
            </w:r>
          </w:p>
        </w:tc>
        <w:tc>
          <w:tcPr>
            <w:tcW w:w="5147" w:type="dxa"/>
            <w:vAlign w:val="center"/>
          </w:tcPr>
          <w:p w14:paraId="71B00F3D">
            <w:pPr>
              <w:spacing w:line="240" w:lineRule="auto"/>
              <w:ind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循环水池</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化粪池等</w:t>
            </w:r>
          </w:p>
        </w:tc>
      </w:tr>
      <w:tr w14:paraId="0BAE7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0A8A4A8A">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017B67AC">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火灾</w:t>
            </w:r>
          </w:p>
        </w:tc>
        <w:tc>
          <w:tcPr>
            <w:tcW w:w="5147" w:type="dxa"/>
            <w:vAlign w:val="center"/>
          </w:tcPr>
          <w:p w14:paraId="7DFEB4F2">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w:t>
            </w:r>
            <w:r>
              <w:rPr>
                <w:rFonts w:hint="eastAsia" w:ascii="宋体" w:hAnsi="宋体" w:eastAsia="宋体" w:cs="宋体"/>
                <w:color w:val="000000" w:themeColor="text1"/>
                <w:sz w:val="21"/>
                <w:szCs w:val="21"/>
                <w14:textFill>
                  <w14:solidFill>
                    <w14:schemeClr w14:val="tx1"/>
                  </w14:solidFill>
                </w14:textFill>
              </w:rPr>
              <w:t>厂区</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办公楼、食堂、员工宿舍</w:t>
            </w:r>
          </w:p>
        </w:tc>
      </w:tr>
      <w:tr w14:paraId="245D3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03B5BB27">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35DD43E6">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高处坠落</w:t>
            </w:r>
          </w:p>
        </w:tc>
        <w:tc>
          <w:tcPr>
            <w:tcW w:w="5147" w:type="dxa"/>
            <w:vAlign w:val="center"/>
          </w:tcPr>
          <w:p w14:paraId="1C725D30">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在2m以上高度（含2m）作业过程</w:t>
            </w:r>
          </w:p>
        </w:tc>
      </w:tr>
      <w:tr w14:paraId="29DE2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68373A1F">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16E0DAFB">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坍塌</w:t>
            </w:r>
          </w:p>
        </w:tc>
        <w:tc>
          <w:tcPr>
            <w:tcW w:w="5147" w:type="dxa"/>
            <w:vAlign w:val="center"/>
          </w:tcPr>
          <w:p w14:paraId="5338CB1F">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原料、成品仓库</w:t>
            </w:r>
          </w:p>
        </w:tc>
      </w:tr>
      <w:tr w14:paraId="2E7DD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17409096">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7CF7E97D">
            <w:pPr>
              <w:spacing w:line="240" w:lineRule="auto"/>
              <w:ind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容器爆炸</w:t>
            </w:r>
          </w:p>
        </w:tc>
        <w:tc>
          <w:tcPr>
            <w:tcW w:w="5147" w:type="dxa"/>
            <w:vAlign w:val="center"/>
          </w:tcPr>
          <w:p w14:paraId="3A82B235">
            <w:pPr>
              <w:spacing w:line="240" w:lineRule="auto"/>
              <w:ind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检维修处、</w:t>
            </w:r>
            <w:r>
              <w:rPr>
                <w:rFonts w:hint="eastAsia" w:cs="Times New Roman"/>
                <w:color w:val="000000" w:themeColor="text1"/>
                <w:sz w:val="24"/>
                <w:szCs w:val="22"/>
                <w:lang w:val="en-US" w:eastAsia="zh-CN"/>
                <w14:textFill>
                  <w14:solidFill>
                    <w14:schemeClr w14:val="tx1"/>
                  </w14:solidFill>
                </w14:textFill>
              </w:rPr>
              <w:t>空压机储气罐</w:t>
            </w:r>
          </w:p>
        </w:tc>
      </w:tr>
      <w:tr w14:paraId="16B1C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4F465009">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04E3CC32">
            <w:pPr>
              <w:spacing w:line="240" w:lineRule="auto"/>
              <w:ind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起重伤害</w:t>
            </w:r>
          </w:p>
        </w:tc>
        <w:tc>
          <w:tcPr>
            <w:tcW w:w="5147" w:type="dxa"/>
            <w:vAlign w:val="center"/>
          </w:tcPr>
          <w:p w14:paraId="5D97BAF4">
            <w:pPr>
              <w:spacing w:line="240" w:lineRule="auto"/>
              <w:ind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起重机</w:t>
            </w:r>
            <w:r>
              <w:rPr>
                <w:rFonts w:hint="eastAsia" w:ascii="宋体" w:hAnsi="宋体" w:eastAsia="宋体" w:cs="宋体"/>
                <w:color w:val="000000" w:themeColor="text1"/>
                <w:sz w:val="21"/>
                <w:szCs w:val="21"/>
                <w:lang w:eastAsia="zh-CN"/>
                <w14:textFill>
                  <w14:solidFill>
                    <w14:schemeClr w14:val="tx1"/>
                  </w14:solidFill>
                </w14:textFill>
              </w:rPr>
              <w:t>作业</w:t>
            </w:r>
            <w:r>
              <w:rPr>
                <w:rFonts w:hint="eastAsia" w:ascii="宋体" w:hAnsi="宋体" w:eastAsia="宋体" w:cs="宋体"/>
                <w:color w:val="000000" w:themeColor="text1"/>
                <w:sz w:val="21"/>
                <w:szCs w:val="21"/>
                <w:lang w:val="en-US" w:eastAsia="zh-CN"/>
                <w14:textFill>
                  <w14:solidFill>
                    <w14:schemeClr w14:val="tx1"/>
                  </w14:solidFill>
                </w14:textFill>
              </w:rPr>
              <w:t>区域</w:t>
            </w:r>
          </w:p>
        </w:tc>
      </w:tr>
      <w:tr w14:paraId="1B70D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6B8002E5">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671CEB73">
            <w:pPr>
              <w:spacing w:line="240" w:lineRule="auto"/>
              <w:ind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中毒和窒息</w:t>
            </w:r>
          </w:p>
        </w:tc>
        <w:tc>
          <w:tcPr>
            <w:tcW w:w="5147" w:type="dxa"/>
            <w:vAlign w:val="center"/>
          </w:tcPr>
          <w:p w14:paraId="54BDAA7E">
            <w:pPr>
              <w:spacing w:line="240" w:lineRule="auto"/>
              <w:ind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化粪池、</w:t>
            </w:r>
            <w:r>
              <w:rPr>
                <w:rFonts w:hint="eastAsia" w:ascii="宋体" w:hAnsi="宋体" w:eastAsia="宋体" w:cs="宋体"/>
                <w:color w:val="000000" w:themeColor="text1"/>
                <w:sz w:val="21"/>
                <w:szCs w:val="21"/>
                <w14:textFill>
                  <w14:solidFill>
                    <w14:schemeClr w14:val="tx1"/>
                  </w14:solidFill>
                </w14:textFill>
              </w:rPr>
              <w:t>循环水池</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设备地坑、水泥、石粉筒仓</w:t>
            </w:r>
          </w:p>
        </w:tc>
      </w:tr>
      <w:tr w14:paraId="690F6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14:paraId="53151374">
            <w:pPr>
              <w:numPr>
                <w:ilvl w:val="0"/>
                <w:numId w:val="16"/>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2367" w:type="dxa"/>
            <w:vAlign w:val="center"/>
          </w:tcPr>
          <w:p w14:paraId="63F5CA62">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其他伤害</w:t>
            </w:r>
          </w:p>
        </w:tc>
        <w:tc>
          <w:tcPr>
            <w:tcW w:w="5147" w:type="dxa"/>
            <w:vAlign w:val="center"/>
          </w:tcPr>
          <w:p w14:paraId="502ECBF2">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各危险点</w:t>
            </w:r>
          </w:p>
        </w:tc>
      </w:tr>
    </w:tbl>
    <w:p w14:paraId="5CD01CD7">
      <w:pPr>
        <w:pStyle w:val="52"/>
        <w:rPr>
          <w:rFonts w:ascii="Times New Roman"/>
          <w:bCs/>
          <w:color w:val="000000" w:themeColor="text1"/>
          <w:sz w:val="28"/>
          <w:szCs w:val="28"/>
          <w14:textFill>
            <w14:solidFill>
              <w14:schemeClr w14:val="tx1"/>
            </w14:solidFill>
          </w14:textFill>
        </w:rPr>
      </w:pPr>
    </w:p>
    <w:p w14:paraId="614F2F0C">
      <w:pPr>
        <w:pStyle w:val="4"/>
        <w:snapToGrid/>
        <w:spacing w:line="360" w:lineRule="auto"/>
        <w:rPr>
          <w:rFonts w:ascii="Times New Roman" w:hAnsi="Times New Roman"/>
          <w:color w:val="000000" w:themeColor="text1"/>
          <w14:textFill>
            <w14:solidFill>
              <w14:schemeClr w14:val="tx1"/>
            </w14:solidFill>
          </w14:textFill>
        </w:rPr>
      </w:pPr>
      <w:bookmarkStart w:id="494" w:name="_Toc30159"/>
      <w:r>
        <w:rPr>
          <w:rFonts w:ascii="Times New Roman" w:hAnsi="Times New Roman"/>
          <w:color w:val="000000" w:themeColor="text1"/>
          <w14:textFill>
            <w14:solidFill>
              <w14:schemeClr w14:val="tx1"/>
            </w14:solidFill>
          </w14:textFill>
        </w:rPr>
        <w:t>3.</w:t>
      </w:r>
      <w:r>
        <w:rPr>
          <w:rFonts w:hint="eastAsia" w:ascii="Times New Roman" w:hAnsi="Times New Roman"/>
          <w:color w:val="000000" w:themeColor="text1"/>
          <w:lang w:val="en-US" w:eastAsia="zh-CN"/>
          <w14:textFill>
            <w14:solidFill>
              <w14:schemeClr w14:val="tx1"/>
            </w14:solidFill>
          </w14:textFill>
        </w:rPr>
        <w:t>9</w:t>
      </w:r>
      <w:r>
        <w:rPr>
          <w:rFonts w:ascii="Times New Roman" w:hAnsi="Times New Roman"/>
          <w:color w:val="000000" w:themeColor="text1"/>
          <w14:textFill>
            <w14:solidFill>
              <w14:schemeClr w14:val="tx1"/>
            </w14:solidFill>
          </w14:textFill>
        </w:rPr>
        <w:t>重大危险源辨识</w:t>
      </w:r>
      <w:bookmarkEnd w:id="494"/>
    </w:p>
    <w:p w14:paraId="2D2820B9">
      <w:pPr>
        <w:pStyle w:val="5"/>
        <w:spacing w:line="360" w:lineRule="auto"/>
        <w:rPr>
          <w:rFonts w:ascii="Times New Roman" w:hAnsi="Times New Roman" w:cs="Times New Roman"/>
          <w:color w:val="000000" w:themeColor="text1"/>
          <w14:textFill>
            <w14:solidFill>
              <w14:schemeClr w14:val="tx1"/>
            </w14:solidFill>
          </w14:textFill>
        </w:rPr>
      </w:pPr>
      <w:bookmarkStart w:id="495" w:name="_Toc20712"/>
      <w:bookmarkStart w:id="496" w:name="_Toc21915"/>
      <w:bookmarkStart w:id="497" w:name="_Toc4768"/>
      <w:r>
        <w:rPr>
          <w:rFonts w:hint="eastAsia" w:ascii="Times New Roman" w:hAnsi="Times New Roman" w:cs="Times New Roman"/>
          <w:color w:val="000000" w:themeColor="text1"/>
          <w:lang w:val="en-US" w:eastAsia="zh-CN"/>
          <w14:textFill>
            <w14:solidFill>
              <w14:schemeClr w14:val="tx1"/>
            </w14:solidFill>
          </w14:textFill>
        </w:rPr>
        <w:t>3.9.1</w:t>
      </w:r>
      <w:r>
        <w:rPr>
          <w:rFonts w:hint="eastAsia" w:ascii="Times New Roman" w:hAnsi="Times New Roman" w:cs="Times New Roman"/>
          <w:color w:val="000000" w:themeColor="text1"/>
          <w14:textFill>
            <w14:solidFill>
              <w14:schemeClr w14:val="tx1"/>
            </w14:solidFill>
          </w14:textFill>
        </w:rPr>
        <w:t>辨识方法</w:t>
      </w:r>
      <w:bookmarkEnd w:id="495"/>
      <w:bookmarkEnd w:id="496"/>
      <w:bookmarkEnd w:id="497"/>
    </w:p>
    <w:p w14:paraId="4F03C9A1">
      <w:pPr>
        <w:adjustRightInd w:val="0"/>
        <w:snapToGrid w:val="0"/>
        <w:spacing w:line="500" w:lineRule="exact"/>
        <w:ind w:firstLine="560" w:firstLineChars="200"/>
        <w:rPr>
          <w:rFonts w:hint="default" w:ascii="宋体" w:hAnsi="宋体" w:eastAsia="宋体"/>
          <w:color w:val="000000" w:themeColor="text1"/>
          <w:sz w:val="28"/>
          <w:szCs w:val="28"/>
          <w14:textFill>
            <w14:solidFill>
              <w14:schemeClr w14:val="tx1"/>
            </w14:solidFill>
          </w14:textFill>
        </w:rPr>
      </w:pPr>
      <w:r>
        <w:rPr>
          <w:rFonts w:ascii="宋体" w:hAnsi="宋体" w:eastAsia="宋体"/>
          <w:color w:val="000000" w:themeColor="text1"/>
          <w:sz w:val="28"/>
          <w:szCs w:val="28"/>
          <w14:textFill>
            <w14:solidFill>
              <w14:schemeClr w14:val="tx1"/>
            </w14:solidFill>
          </w14:textFill>
        </w:rPr>
        <w:t>根据《危险化学品重大危险源辨识》（GB</w:t>
      </w:r>
      <w:r>
        <w:rPr>
          <w:rFonts w:hint="eastAsia" w:ascii="宋体" w:hAnsi="宋体" w:eastAsia="宋体"/>
          <w:color w:val="000000" w:themeColor="text1"/>
          <w:sz w:val="28"/>
          <w:szCs w:val="28"/>
          <w:lang w:val="en-US" w:eastAsia="zh-CN"/>
          <w14:textFill>
            <w14:solidFill>
              <w14:schemeClr w14:val="tx1"/>
            </w14:solidFill>
          </w14:textFill>
        </w:rPr>
        <w:t xml:space="preserve"> </w:t>
      </w:r>
      <w:r>
        <w:rPr>
          <w:rFonts w:ascii="宋体" w:hAnsi="宋体" w:eastAsia="宋体"/>
          <w:color w:val="000000" w:themeColor="text1"/>
          <w:sz w:val="28"/>
          <w:szCs w:val="28"/>
          <w14:textFill>
            <w14:solidFill>
              <w14:schemeClr w14:val="tx1"/>
            </w14:solidFill>
          </w14:textFill>
        </w:rPr>
        <w:t>18218－</w:t>
      </w:r>
      <w:r>
        <w:rPr>
          <w:rFonts w:hint="eastAsia" w:ascii="宋体" w:hAnsi="宋体" w:eastAsia="宋体"/>
          <w:color w:val="000000" w:themeColor="text1"/>
          <w:sz w:val="28"/>
          <w:szCs w:val="28"/>
          <w14:textFill>
            <w14:solidFill>
              <w14:schemeClr w14:val="tx1"/>
            </w14:solidFill>
          </w14:textFill>
        </w:rPr>
        <w:t>2018</w:t>
      </w:r>
      <w:r>
        <w:rPr>
          <w:rFonts w:ascii="宋体" w:hAnsi="宋体" w:eastAsia="宋体"/>
          <w:color w:val="000000" w:themeColor="text1"/>
          <w:sz w:val="28"/>
          <w:szCs w:val="28"/>
          <w14:textFill>
            <w14:solidFill>
              <w14:schemeClr w14:val="tx1"/>
            </w14:solidFill>
          </w14:textFill>
        </w:rPr>
        <w:t>）的有关规定，重大危险源是指长期地或临时地</w:t>
      </w:r>
      <w:r>
        <w:rPr>
          <w:rFonts w:hint="eastAsia" w:ascii="宋体" w:hAnsi="宋体" w:eastAsia="宋体"/>
          <w:color w:val="000000" w:themeColor="text1"/>
          <w:sz w:val="28"/>
          <w:szCs w:val="28"/>
          <w14:textFill>
            <w14:solidFill>
              <w14:schemeClr w14:val="tx1"/>
            </w14:solidFill>
          </w14:textFill>
        </w:rPr>
        <w:t>生产、储存、使用和经营危险化学品</w:t>
      </w:r>
      <w:r>
        <w:rPr>
          <w:rFonts w:hint="default" w:ascii="宋体" w:hAnsi="宋体" w:eastAsia="宋体"/>
          <w:color w:val="000000" w:themeColor="text1"/>
          <w:sz w:val="28"/>
          <w:szCs w:val="28"/>
          <w14:textFill>
            <w14:solidFill>
              <w14:schemeClr w14:val="tx1"/>
            </w14:solidFill>
          </w14:textFill>
        </w:rPr>
        <w:t>，且危险化学品的数量等于或超过临界量的单元。</w:t>
      </w:r>
    </w:p>
    <w:p w14:paraId="76ACB7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olor w:val="000000" w:themeColor="text1"/>
          <w:sz w:val="28"/>
          <w:szCs w:val="28"/>
          <w14:textFill>
            <w14:solidFill>
              <w14:schemeClr w14:val="tx1"/>
            </w14:solidFill>
          </w14:textFill>
        </w:rPr>
      </w:pPr>
      <w:r>
        <w:rPr>
          <w:rFonts w:ascii="宋体" w:hAnsi="宋体" w:eastAsia="宋体"/>
          <w:color w:val="000000" w:themeColor="text1"/>
          <w:sz w:val="28"/>
          <w:szCs w:val="28"/>
          <w14:textFill>
            <w14:solidFill>
              <w14:schemeClr w14:val="tx1"/>
            </w14:solidFill>
          </w14:textFill>
        </w:rPr>
        <w:t>临界量是指对于某种或某类危险物质规定的数量；</w:t>
      </w:r>
      <w:r>
        <w:rPr>
          <w:rFonts w:hint="eastAsia" w:ascii="宋体" w:hAnsi="宋体" w:eastAsia="宋体"/>
          <w:color w:val="000000" w:themeColor="text1"/>
          <w:sz w:val="28"/>
          <w:szCs w:val="28"/>
          <w14:textFill>
            <w14:solidFill>
              <w14:schemeClr w14:val="tx1"/>
            </w14:solidFill>
          </w14:textFill>
        </w:rPr>
        <w:t>评价单元分为生产单元和存储单元：生产</w:t>
      </w:r>
      <w:r>
        <w:rPr>
          <w:rFonts w:ascii="宋体" w:hAnsi="宋体" w:eastAsia="宋体"/>
          <w:color w:val="000000" w:themeColor="text1"/>
          <w:sz w:val="28"/>
          <w:szCs w:val="28"/>
          <w14:textFill>
            <w14:solidFill>
              <w14:schemeClr w14:val="tx1"/>
            </w14:solidFill>
          </w14:textFill>
        </w:rPr>
        <w:t>单元是</w:t>
      </w:r>
      <w:r>
        <w:rPr>
          <w:rFonts w:hint="eastAsia" w:ascii="宋体" w:hAnsi="宋体" w:eastAsia="宋体"/>
          <w:color w:val="000000" w:themeColor="text1"/>
          <w:sz w:val="28"/>
          <w:szCs w:val="28"/>
          <w14:textFill>
            <w14:solidFill>
              <w14:schemeClr w14:val="tx1"/>
            </w14:solidFill>
          </w14:textFill>
        </w:rPr>
        <w:t>指危险化学品的生产、加工或使用的装置，装置之间设有切断阀时，以切断阀为界划分单元；存储单元是指用于危险化学品存储的储罐或仓库的相对独立的区域，储罐区以罐区的防火堤为界限划分独立的区域，仓库以独立库房（单独的建筑）为界限划分独立的区域。</w:t>
      </w:r>
    </w:p>
    <w:p w14:paraId="7F069A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olor w:val="000000" w:themeColor="text1"/>
          <w:sz w:val="28"/>
          <w:szCs w:val="28"/>
          <w14:textFill>
            <w14:solidFill>
              <w14:schemeClr w14:val="tx1"/>
            </w14:solidFill>
          </w14:textFill>
        </w:rPr>
      </w:pPr>
      <w:r>
        <w:rPr>
          <w:rFonts w:ascii="宋体" w:hAnsi="宋体" w:eastAsia="宋体"/>
          <w:color w:val="000000" w:themeColor="text1"/>
          <w:sz w:val="28"/>
          <w:szCs w:val="28"/>
          <w14:textFill>
            <w14:solidFill>
              <w14:schemeClr w14:val="tx1"/>
            </w14:solidFill>
          </w14:textFill>
        </w:rPr>
        <w:t>重大危险源辨识的依据是</w:t>
      </w:r>
      <w:r>
        <w:rPr>
          <w:rFonts w:hint="eastAsia" w:ascii="宋体" w:hAnsi="宋体" w:eastAsia="宋体"/>
          <w:color w:val="000000" w:themeColor="text1"/>
          <w:sz w:val="28"/>
          <w:szCs w:val="28"/>
          <w14:textFill>
            <w14:solidFill>
              <w14:schemeClr w14:val="tx1"/>
            </w14:solidFill>
          </w14:textFill>
        </w:rPr>
        <w:t>单元内危险化学品</w:t>
      </w:r>
      <w:r>
        <w:rPr>
          <w:rFonts w:ascii="宋体" w:hAnsi="宋体" w:eastAsia="宋体"/>
          <w:color w:val="000000" w:themeColor="text1"/>
          <w:sz w:val="28"/>
          <w:szCs w:val="28"/>
          <w14:textFill>
            <w14:solidFill>
              <w14:schemeClr w14:val="tx1"/>
            </w14:solidFill>
          </w14:textFill>
        </w:rPr>
        <w:t>的危险特性及其数量。当单元中存在的危险物质数量等于或超过标准所规定的临界量时，则该单元定为重大危险源。单元内存在危险物质的数量根据处理物质种类的多少，区分为以下两种情况：</w:t>
      </w:r>
    </w:p>
    <w:p w14:paraId="2071EA7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1.</w:t>
      </w:r>
      <w:r>
        <w:rPr>
          <w:rFonts w:ascii="宋体" w:hAnsi="宋体" w:eastAsia="宋体"/>
          <w:color w:val="000000" w:themeColor="text1"/>
          <w:sz w:val="28"/>
          <w:szCs w:val="28"/>
          <w14:textFill>
            <w14:solidFill>
              <w14:schemeClr w14:val="tx1"/>
            </w14:solidFill>
          </w14:textFill>
        </w:rPr>
        <w:t>单元内存在的危险物质为单一品种，则该物质的数量即为单元内危险物质的总量，若等于或超过相应的临界量，则定为重大危险源；</w:t>
      </w:r>
    </w:p>
    <w:p w14:paraId="4BF1F59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2.</w:t>
      </w:r>
      <w:r>
        <w:rPr>
          <w:rFonts w:ascii="宋体" w:hAnsi="宋体" w:eastAsia="宋体"/>
          <w:color w:val="000000" w:themeColor="text1"/>
          <w:sz w:val="28"/>
          <w:szCs w:val="28"/>
          <w14:textFill>
            <w14:solidFill>
              <w14:schemeClr w14:val="tx1"/>
            </w14:solidFill>
          </w14:textFill>
        </w:rPr>
        <w:t>单元内存在的危险物质为多品种时，则按下式计算，若满足，则定为重大危险源：</w:t>
      </w:r>
    </w:p>
    <w:p w14:paraId="039D0085">
      <w:pPr>
        <w:pStyle w:val="5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olor w:val="000000" w:themeColor="text1"/>
          <w:sz w:val="28"/>
          <w:szCs w:val="28"/>
          <w14:textFill>
            <w14:solidFill>
              <w14:schemeClr w14:val="tx1"/>
            </w14:solidFill>
          </w14:textFill>
        </w:rPr>
      </w:pPr>
      <w:r>
        <w:rPr>
          <w:rFonts w:hint="eastAsia" w:eastAsia="宋体"/>
          <w:color w:val="000000" w:themeColor="text1"/>
          <w:position w:val="-10"/>
          <w:sz w:val="28"/>
          <w:szCs w:val="28"/>
          <w:lang w:eastAsia="zh-CN"/>
          <w14:textFill>
            <w14:solidFill>
              <w14:schemeClr w14:val="tx1"/>
            </w14:solidFill>
          </w14:textFill>
        </w:rPr>
        <w:pict>
          <v:shape id="Object 111" o:spid="_x0000_s2050" o:spt="75" type="#_x0000_t75" style="position:absolute;left:0pt;margin-left:82pt;margin-top:8pt;height:36.2pt;width:191.05pt;mso-wrap-distance-bottom:0pt;mso-wrap-distance-top:0pt;z-index:251664384;mso-width-relative:page;mso-height-relative:page;" o:ole="t" filled="f" o:preferrelative="t" stroked="f" coordsize="21600,21600">
            <v:path/>
            <v:fill on="f" focussize="0,0"/>
            <v:stroke on="f"/>
            <v:imagedata r:id="rId29" o:title=""/>
            <o:lock v:ext="edit" aspectratio="t"/>
            <w10:wrap type="topAndBottom"/>
          </v:shape>
          <o:OLEObject Type="Embed" ProgID="Equation.3" ShapeID="Object 111" DrawAspect="Content" ObjectID="_1468075725" r:id="rId28">
            <o:LockedField>false</o:LockedField>
          </o:OLEObject>
        </w:pict>
      </w:r>
      <w:r>
        <w:rPr>
          <w:rFonts w:ascii="宋体" w:hAnsi="宋体" w:eastAsia="宋体"/>
          <w:color w:val="000000" w:themeColor="text1"/>
          <w:sz w:val="28"/>
          <w:szCs w:val="28"/>
          <w14:textFill>
            <w14:solidFill>
              <w14:schemeClr w14:val="tx1"/>
            </w14:solidFill>
          </w14:textFill>
        </w:rPr>
        <w:t>式中：q</w:t>
      </w:r>
      <w:r>
        <w:rPr>
          <w:rFonts w:ascii="宋体" w:hAnsi="宋体" w:eastAsia="宋体"/>
          <w:color w:val="000000" w:themeColor="text1"/>
          <w:sz w:val="28"/>
          <w:szCs w:val="28"/>
          <w:vertAlign w:val="subscript"/>
          <w14:textFill>
            <w14:solidFill>
              <w14:schemeClr w14:val="tx1"/>
            </w14:solidFill>
          </w14:textFill>
        </w:rPr>
        <w:t>1</w:t>
      </w:r>
      <w:r>
        <w:rPr>
          <w:rFonts w:ascii="宋体" w:hAnsi="宋体" w:eastAsia="宋体"/>
          <w:color w:val="000000" w:themeColor="text1"/>
          <w:sz w:val="28"/>
          <w:szCs w:val="28"/>
          <w14:textFill>
            <w14:solidFill>
              <w14:schemeClr w14:val="tx1"/>
            </w14:solidFill>
          </w14:textFill>
        </w:rPr>
        <w:t>，q</w:t>
      </w:r>
      <w:r>
        <w:rPr>
          <w:rFonts w:ascii="宋体" w:hAnsi="宋体" w:eastAsia="宋体"/>
          <w:color w:val="000000" w:themeColor="text1"/>
          <w:sz w:val="28"/>
          <w:szCs w:val="28"/>
          <w:vertAlign w:val="subscript"/>
          <w14:textFill>
            <w14:solidFill>
              <w14:schemeClr w14:val="tx1"/>
            </w14:solidFill>
          </w14:textFill>
        </w:rPr>
        <w:t>2</w:t>
      </w:r>
      <w:r>
        <w:rPr>
          <w:rFonts w:ascii="宋体" w:hAnsi="宋体" w:eastAsia="宋体"/>
          <w:color w:val="000000" w:themeColor="text1"/>
          <w:sz w:val="28"/>
          <w:szCs w:val="28"/>
          <w14:textFill>
            <w14:solidFill>
              <w14:schemeClr w14:val="tx1"/>
            </w14:solidFill>
          </w14:textFill>
        </w:rPr>
        <w:t>……q</w:t>
      </w:r>
      <w:r>
        <w:rPr>
          <w:rFonts w:ascii="宋体" w:hAnsi="宋体" w:eastAsia="宋体"/>
          <w:color w:val="000000" w:themeColor="text1"/>
          <w:sz w:val="28"/>
          <w:szCs w:val="28"/>
          <w:vertAlign w:val="subscript"/>
          <w14:textFill>
            <w14:solidFill>
              <w14:schemeClr w14:val="tx1"/>
            </w14:solidFill>
          </w14:textFill>
        </w:rPr>
        <w:t>n</w:t>
      </w:r>
      <w:r>
        <w:rPr>
          <w:rFonts w:ascii="宋体" w:hAnsi="宋体" w:eastAsia="宋体"/>
          <w:color w:val="000000" w:themeColor="text1"/>
          <w:sz w:val="28"/>
          <w:szCs w:val="28"/>
          <w14:textFill>
            <w14:solidFill>
              <w14:schemeClr w14:val="tx1"/>
            </w14:solidFill>
          </w14:textFill>
        </w:rPr>
        <w:t>——每种危险化学品实际存在量，t。</w:t>
      </w:r>
    </w:p>
    <w:p w14:paraId="77C5167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olor w:val="000000" w:themeColor="text1"/>
          <w:sz w:val="28"/>
          <w:szCs w:val="28"/>
          <w14:textFill>
            <w14:solidFill>
              <w14:schemeClr w14:val="tx1"/>
            </w14:solidFill>
          </w14:textFill>
        </w:rPr>
      </w:pPr>
      <w:r>
        <w:rPr>
          <w:rFonts w:ascii="宋体" w:hAnsi="宋体" w:eastAsia="宋体"/>
          <w:color w:val="000000" w:themeColor="text1"/>
          <w:sz w:val="28"/>
          <w:szCs w:val="28"/>
          <w14:textFill>
            <w14:solidFill>
              <w14:schemeClr w14:val="tx1"/>
            </w14:solidFill>
          </w14:textFill>
        </w:rPr>
        <w:t xml:space="preserve">      Q</w:t>
      </w:r>
      <w:r>
        <w:rPr>
          <w:rFonts w:ascii="宋体" w:hAnsi="宋体" w:eastAsia="宋体"/>
          <w:color w:val="000000" w:themeColor="text1"/>
          <w:sz w:val="28"/>
          <w:szCs w:val="28"/>
          <w:vertAlign w:val="subscript"/>
          <w14:textFill>
            <w14:solidFill>
              <w14:schemeClr w14:val="tx1"/>
            </w14:solidFill>
          </w14:textFill>
        </w:rPr>
        <w:t>1</w:t>
      </w:r>
      <w:r>
        <w:rPr>
          <w:rFonts w:ascii="宋体" w:hAnsi="宋体" w:eastAsia="宋体"/>
          <w:color w:val="000000" w:themeColor="text1"/>
          <w:sz w:val="28"/>
          <w:szCs w:val="28"/>
          <w14:textFill>
            <w14:solidFill>
              <w14:schemeClr w14:val="tx1"/>
            </w14:solidFill>
          </w14:textFill>
        </w:rPr>
        <w:t>，Q</w:t>
      </w:r>
      <w:r>
        <w:rPr>
          <w:rFonts w:ascii="宋体" w:hAnsi="宋体" w:eastAsia="宋体"/>
          <w:color w:val="000000" w:themeColor="text1"/>
          <w:sz w:val="28"/>
          <w:szCs w:val="28"/>
          <w:vertAlign w:val="subscript"/>
          <w14:textFill>
            <w14:solidFill>
              <w14:schemeClr w14:val="tx1"/>
            </w14:solidFill>
          </w14:textFill>
        </w:rPr>
        <w:t>2</w:t>
      </w:r>
      <w:r>
        <w:rPr>
          <w:rFonts w:ascii="宋体" w:hAnsi="宋体" w:eastAsia="宋体"/>
          <w:color w:val="000000" w:themeColor="text1"/>
          <w:sz w:val="28"/>
          <w:szCs w:val="28"/>
          <w14:textFill>
            <w14:solidFill>
              <w14:schemeClr w14:val="tx1"/>
            </w14:solidFill>
          </w14:textFill>
        </w:rPr>
        <w:t>……Q</w:t>
      </w:r>
      <w:r>
        <w:rPr>
          <w:rFonts w:ascii="宋体" w:hAnsi="宋体" w:eastAsia="宋体"/>
          <w:color w:val="000000" w:themeColor="text1"/>
          <w:sz w:val="28"/>
          <w:szCs w:val="28"/>
          <w:vertAlign w:val="subscript"/>
          <w14:textFill>
            <w14:solidFill>
              <w14:schemeClr w14:val="tx1"/>
            </w14:solidFill>
          </w14:textFill>
        </w:rPr>
        <w:t>n</w:t>
      </w:r>
      <w:r>
        <w:rPr>
          <w:rFonts w:ascii="宋体" w:hAnsi="宋体" w:eastAsia="宋体"/>
          <w:color w:val="000000" w:themeColor="text1"/>
          <w:sz w:val="28"/>
          <w:szCs w:val="28"/>
          <w14:textFill>
            <w14:solidFill>
              <w14:schemeClr w14:val="tx1"/>
            </w14:solidFill>
          </w14:textFill>
        </w:rPr>
        <w:t>——与各危险化学品相对应的临界量，t。</w:t>
      </w:r>
    </w:p>
    <w:p w14:paraId="54EB20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olor w:val="000000" w:themeColor="text1"/>
          <w:sz w:val="28"/>
          <w:szCs w:val="28"/>
          <w14:textFill>
            <w14:solidFill>
              <w14:schemeClr w14:val="tx1"/>
            </w14:solidFill>
          </w14:textFill>
        </w:rPr>
      </w:pPr>
      <w:r>
        <w:rPr>
          <w:rFonts w:hint="eastAsia" w:ascii="宋体" w:hAnsi="宋体" w:eastAsia="宋体"/>
          <w:color w:val="000000" w:themeColor="text1"/>
          <w:sz w:val="28"/>
          <w:szCs w:val="28"/>
          <w14:textFill>
            <w14:solidFill>
              <w14:schemeClr w14:val="tx1"/>
            </w14:solidFill>
          </w14:textFill>
        </w:rPr>
        <w:t>3.当确定单元为重大危险源后，需进一步确定重大危险源的分级；重大危险源的分级是以指标R来确定。重大危险源的分级指标R，是以单元内实际的危险物质与其所对应的物质的临界量的比值再乘以修正系数后的和来确定的。</w:t>
      </w:r>
    </w:p>
    <w:p w14:paraId="671DC194">
      <w:pPr>
        <w:pStyle w:val="5"/>
        <w:spacing w:line="360" w:lineRule="auto"/>
        <w:rPr>
          <w:rFonts w:hint="eastAsia" w:ascii="Times New Roman" w:hAnsi="Times New Roman" w:cs="Times New Roman"/>
          <w:color w:val="000000" w:themeColor="text1"/>
          <w:lang w:val="en-US" w:eastAsia="zh-CN"/>
          <w14:textFill>
            <w14:solidFill>
              <w14:schemeClr w14:val="tx1"/>
            </w14:solidFill>
          </w14:textFill>
        </w:rPr>
      </w:pPr>
      <w:bookmarkStart w:id="498" w:name="_Toc16130"/>
      <w:bookmarkStart w:id="499" w:name="_Toc3620"/>
      <w:bookmarkStart w:id="500" w:name="_Toc11680"/>
      <w:r>
        <w:rPr>
          <w:rFonts w:hint="eastAsia" w:ascii="Times New Roman" w:hAnsi="Times New Roman" w:cs="Times New Roman"/>
          <w:color w:val="000000" w:themeColor="text1"/>
          <w:lang w:val="en-US" w:eastAsia="zh-CN"/>
          <w14:textFill>
            <w14:solidFill>
              <w14:schemeClr w14:val="tx1"/>
            </w14:solidFill>
          </w14:textFill>
        </w:rPr>
        <w:t>3.9.2危险化学品重大危险源辨识过程</w:t>
      </w:r>
      <w:bookmarkEnd w:id="498"/>
      <w:bookmarkEnd w:id="499"/>
      <w:bookmarkEnd w:id="500"/>
    </w:p>
    <w:p w14:paraId="08EDC874">
      <w:pPr>
        <w:pStyle w:val="23"/>
        <w:keepNext w:val="0"/>
        <w:keepLines w:val="0"/>
        <w:pageBreakBefore w:val="0"/>
        <w:widowControl w:val="0"/>
        <w:kinsoku/>
        <w:wordWrap/>
        <w:overflowPunct w:val="0"/>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（1）辨识单元划分</w:t>
      </w:r>
    </w:p>
    <w:p w14:paraId="6A859FE4">
      <w:pPr>
        <w:pStyle w:val="23"/>
        <w:keepNext w:val="0"/>
        <w:keepLines w:val="0"/>
        <w:pageBreakBefore w:val="0"/>
        <w:widowControl w:val="0"/>
        <w:kinsoku/>
        <w:wordWrap/>
        <w:overflowPunct w:val="0"/>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根据《危险化学品重大危险源辨识》（GB18218-2018）的相关内容规定，将项目厂区检维修使用的乙炔、氧气各划分为一个储存单元。柴油作为叉车原料，厂区内储存柴油</w:t>
      </w:r>
      <w:r>
        <w:rPr>
          <w:rFonts w:hint="eastAsia" w:ascii="宋体" w:hAnsi="宋体" w:eastAsia="宋体" w:cs="宋体"/>
          <w:color w:val="000000" w:themeColor="text1"/>
          <w:kern w:val="0"/>
          <w:sz w:val="28"/>
          <w:szCs w:val="28"/>
          <w:lang w:eastAsia="zh-CN"/>
          <w14:textFill>
            <w14:solidFill>
              <w14:schemeClr w14:val="tx1"/>
            </w14:solidFill>
          </w14:textFill>
        </w:rPr>
        <w:t>，</w:t>
      </w:r>
      <w:r>
        <w:rPr>
          <w:rFonts w:hint="eastAsia" w:ascii="宋体" w:hAnsi="宋体" w:eastAsia="宋体" w:cs="宋体"/>
          <w:color w:val="000000" w:themeColor="text1"/>
          <w:kern w:val="0"/>
          <w:sz w:val="28"/>
          <w:szCs w:val="28"/>
          <w:lang w:val="en-US" w:eastAsia="zh-CN"/>
          <w14:textFill>
            <w14:solidFill>
              <w14:schemeClr w14:val="tx1"/>
            </w14:solidFill>
          </w14:textFill>
        </w:rPr>
        <w:t>约90L（0.09</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m</w:t>
      </w:r>
      <w:r>
        <w:rPr>
          <w:rFonts w:hint="eastAsia" w:ascii="宋体" w:hAnsi="宋体" w:eastAsia="宋体" w:cs="宋体"/>
          <w:b w:val="0"/>
          <w:bCs w:val="0"/>
          <w:color w:val="000000" w:themeColor="text1"/>
          <w:kern w:val="0"/>
          <w:sz w:val="28"/>
          <w:szCs w:val="28"/>
          <w:vertAlign w:val="superscript"/>
          <w:lang w:val="en-US" w:eastAsia="zh-CN" w:bidi="ar"/>
          <w14:textFill>
            <w14:solidFill>
              <w14:schemeClr w14:val="tx1"/>
            </w14:solidFill>
          </w14:textFill>
        </w:rPr>
        <w:t>3</w:t>
      </w:r>
      <w:r>
        <w:rPr>
          <w:rFonts w:hint="eastAsia" w:ascii="宋体" w:hAnsi="宋体" w:eastAsia="宋体" w:cs="宋体"/>
          <w:color w:val="000000" w:themeColor="text1"/>
          <w:kern w:val="0"/>
          <w:sz w:val="28"/>
          <w:szCs w:val="28"/>
          <w:lang w:val="en-US" w:eastAsia="zh-CN"/>
          <w14:textFill>
            <w14:solidFill>
              <w14:schemeClr w14:val="tx1"/>
            </w14:solidFill>
          </w14:textFill>
        </w:rPr>
        <w:t>）。</w:t>
      </w:r>
    </w:p>
    <w:p w14:paraId="37BD6D62">
      <w:pPr>
        <w:pStyle w:val="23"/>
        <w:keepNext w:val="0"/>
        <w:keepLines w:val="0"/>
        <w:pageBreakBefore w:val="0"/>
        <w:kinsoku/>
        <w:wordWrap/>
        <w:overflowPunct w:val="0"/>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（2）辨识过程</w:t>
      </w:r>
    </w:p>
    <w:p w14:paraId="5CF7BE1C">
      <w:pPr>
        <w:keepNext w:val="0"/>
        <w:keepLines w:val="0"/>
        <w:pageBreakBefore w:val="0"/>
        <w:widowControl/>
        <w:suppressLineNumbers w:val="0"/>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宋体" w:hAnsi="宋体" w:eastAsia="宋体" w:cs="宋体"/>
          <w:bCs/>
          <w:color w:val="000000" w:themeColor="text1"/>
          <w:kern w:val="28"/>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项目所涉及的危险化学品有乙炔、氧气</w:t>
      </w:r>
      <w:r>
        <w:rPr>
          <w:rFonts w:hint="eastAsia" w:ascii="宋体" w:hAnsi="宋体" w:eastAsia="宋体" w:cs="宋体"/>
          <w:color w:val="000000" w:themeColor="text1"/>
          <w:kern w:val="0"/>
          <w:sz w:val="28"/>
          <w:szCs w:val="28"/>
          <w:lang w:eastAsia="zh-CN"/>
          <w14:textFill>
            <w14:solidFill>
              <w14:schemeClr w14:val="tx1"/>
            </w14:solidFill>
          </w14:textFill>
        </w:rPr>
        <w:t>、</w:t>
      </w:r>
      <w:r>
        <w:rPr>
          <w:rFonts w:hint="eastAsia" w:ascii="宋体" w:hAnsi="宋体" w:eastAsia="宋体" w:cs="宋体"/>
          <w:color w:val="000000" w:themeColor="text1"/>
          <w:kern w:val="0"/>
          <w:sz w:val="28"/>
          <w:szCs w:val="28"/>
          <w:lang w:val="en-US" w:eastAsia="zh-CN"/>
          <w14:textFill>
            <w14:solidFill>
              <w14:schemeClr w14:val="tx1"/>
            </w14:solidFill>
          </w14:textFill>
        </w:rPr>
        <w:t>柴油</w:t>
      </w:r>
      <w:r>
        <w:rPr>
          <w:rFonts w:hint="eastAsia" w:ascii="宋体" w:hAnsi="宋体" w:eastAsia="宋体" w:cs="宋体"/>
          <w:color w:val="000000" w:themeColor="text1"/>
          <w:kern w:val="0"/>
          <w:sz w:val="28"/>
          <w:szCs w:val="28"/>
          <w14:textFill>
            <w14:solidFill>
              <w14:schemeClr w14:val="tx1"/>
            </w14:solidFill>
          </w14:textFill>
        </w:rPr>
        <w:t>。检维修使用的乙炔、氧气气瓶按标准罐容40L/瓶（乙炔6.8kg/瓶，氧气4.0kg/瓶）计，厂内最大各储存</w:t>
      </w:r>
      <w:r>
        <w:rPr>
          <w:rFonts w:hint="eastAsia" w:ascii="宋体" w:hAnsi="宋体" w:eastAsia="宋体" w:cs="宋体"/>
          <w:color w:val="000000" w:themeColor="text1"/>
          <w:kern w:val="0"/>
          <w:sz w:val="28"/>
          <w:szCs w:val="28"/>
          <w:lang w:val="en-US" w:eastAsia="zh-CN"/>
          <w14:textFill>
            <w14:solidFill>
              <w14:schemeClr w14:val="tx1"/>
            </w14:solidFill>
          </w14:textFill>
        </w:rPr>
        <w:t>2</w:t>
      </w:r>
      <w:r>
        <w:rPr>
          <w:rFonts w:hint="eastAsia" w:ascii="宋体" w:hAnsi="宋体" w:eastAsia="宋体" w:cs="宋体"/>
          <w:color w:val="000000" w:themeColor="text1"/>
          <w:kern w:val="0"/>
          <w:sz w:val="28"/>
          <w:szCs w:val="28"/>
          <w14:textFill>
            <w14:solidFill>
              <w14:schemeClr w14:val="tx1"/>
            </w14:solidFill>
          </w14:textFill>
        </w:rPr>
        <w:t>瓶；</w:t>
      </w:r>
      <w:r>
        <w:rPr>
          <w:rFonts w:hint="eastAsia" w:ascii="宋体" w:hAnsi="宋体" w:eastAsia="宋体" w:cs="宋体"/>
          <w:color w:val="000000" w:themeColor="text1"/>
          <w:kern w:val="0"/>
          <w:sz w:val="28"/>
          <w:szCs w:val="28"/>
          <w:lang w:val="en-US" w:eastAsia="zh-CN"/>
          <w14:textFill>
            <w14:solidFill>
              <w14:schemeClr w14:val="tx1"/>
            </w14:solidFill>
          </w14:textFill>
        </w:rPr>
        <w:t>厂区内最大储存柴油90L（</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柴油密度为 0.85×10</w:t>
      </w:r>
      <w:r>
        <w:rPr>
          <w:rFonts w:hint="eastAsia" w:ascii="宋体" w:hAnsi="宋体" w:eastAsia="宋体" w:cs="宋体"/>
          <w:b w:val="0"/>
          <w:bCs w:val="0"/>
          <w:color w:val="000000" w:themeColor="text1"/>
          <w:kern w:val="0"/>
          <w:sz w:val="28"/>
          <w:szCs w:val="28"/>
          <w:vertAlign w:val="superscript"/>
          <w:lang w:val="en-US" w:eastAsia="zh-CN" w:bidi="ar"/>
          <w14:textFill>
            <w14:solidFill>
              <w14:schemeClr w14:val="tx1"/>
            </w14:solidFill>
          </w14:textFill>
        </w:rPr>
        <w:t>3</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 xml:space="preserve"> kg/m</w:t>
      </w:r>
      <w:r>
        <w:rPr>
          <w:rFonts w:hint="eastAsia" w:ascii="宋体" w:hAnsi="宋体" w:eastAsia="宋体" w:cs="宋体"/>
          <w:b w:val="0"/>
          <w:bCs w:val="0"/>
          <w:color w:val="000000" w:themeColor="text1"/>
          <w:kern w:val="0"/>
          <w:sz w:val="28"/>
          <w:szCs w:val="28"/>
          <w:vertAlign w:val="superscript"/>
          <w:lang w:val="en-US" w:eastAsia="zh-CN" w:bidi="ar"/>
          <w14:textFill>
            <w14:solidFill>
              <w14:schemeClr w14:val="tx1"/>
            </w14:solidFill>
          </w14:textFill>
        </w:rPr>
        <w:t>3</w:t>
      </w:r>
      <w:r>
        <w:rPr>
          <w:rFonts w:hint="eastAsia" w:ascii="宋体" w:hAnsi="宋体" w:eastAsia="宋体" w:cs="宋体"/>
          <w:b w:val="0"/>
          <w:bCs w:val="0"/>
          <w:color w:val="000000" w:themeColor="text1"/>
          <w:kern w:val="0"/>
          <w:sz w:val="28"/>
          <w:szCs w:val="28"/>
          <w:lang w:val="en-US" w:eastAsia="zh-CN" w:bidi="ar"/>
          <w14:textFill>
            <w14:solidFill>
              <w14:schemeClr w14:val="tx1"/>
            </w14:solidFill>
          </w14:textFill>
        </w:rPr>
        <w:t xml:space="preserve"> </w:t>
      </w:r>
      <w:r>
        <w:rPr>
          <w:rFonts w:hint="eastAsia" w:ascii="宋体" w:hAnsi="宋体" w:eastAsia="宋体" w:cs="宋体"/>
          <w:color w:val="000000" w:themeColor="text1"/>
          <w:kern w:val="0"/>
          <w:sz w:val="28"/>
          <w:szCs w:val="28"/>
          <w14:textFill>
            <w14:solidFill>
              <w14:schemeClr w14:val="tx1"/>
            </w14:solidFill>
          </w14:textFill>
        </w:rPr>
        <w:t>）</w:t>
      </w:r>
      <w:r>
        <w:rPr>
          <w:rFonts w:hint="eastAsia" w:ascii="宋体" w:hAnsi="宋体" w:eastAsia="宋体" w:cs="宋体"/>
          <w:color w:val="000000" w:themeColor="text1"/>
          <w:kern w:val="0"/>
          <w:sz w:val="28"/>
          <w:szCs w:val="28"/>
          <w:lang w:eastAsia="zh-CN"/>
          <w14:textFill>
            <w14:solidFill>
              <w14:schemeClr w14:val="tx1"/>
            </w14:solidFill>
          </w14:textFill>
        </w:rPr>
        <w:t>。</w:t>
      </w:r>
      <w:r>
        <w:rPr>
          <w:rFonts w:hint="eastAsia" w:ascii="宋体" w:hAnsi="宋体" w:eastAsia="宋体" w:cs="宋体"/>
          <w:color w:val="000000" w:themeColor="text1"/>
          <w:kern w:val="0"/>
          <w:sz w:val="28"/>
          <w:szCs w:val="28"/>
          <w14:textFill>
            <w14:solidFill>
              <w14:schemeClr w14:val="tx1"/>
            </w14:solidFill>
          </w14:textFill>
        </w:rPr>
        <w:t>项目涉及重大危险源的危化品最大</w:t>
      </w:r>
      <w:r>
        <w:rPr>
          <w:rFonts w:hint="eastAsia" w:ascii="宋体" w:hAnsi="宋体" w:eastAsia="宋体" w:cs="宋体"/>
          <w:bCs/>
          <w:color w:val="000000" w:themeColor="text1"/>
          <w:sz w:val="28"/>
          <w:szCs w:val="28"/>
          <w14:textFill>
            <w14:solidFill>
              <w14:schemeClr w14:val="tx1"/>
            </w14:solidFill>
          </w14:textFill>
        </w:rPr>
        <w:t>储存</w:t>
      </w:r>
      <w:r>
        <w:rPr>
          <w:rFonts w:hint="eastAsia" w:ascii="宋体" w:hAnsi="宋体" w:eastAsia="宋体" w:cs="宋体"/>
          <w:color w:val="000000" w:themeColor="text1"/>
          <w:kern w:val="0"/>
          <w:sz w:val="28"/>
          <w:szCs w:val="28"/>
          <w14:textFill>
            <w14:solidFill>
              <w14:schemeClr w14:val="tx1"/>
            </w14:solidFill>
          </w14:textFill>
        </w:rPr>
        <w:t>量与相应的临界量对比见下表。</w:t>
      </w:r>
    </w:p>
    <w:p w14:paraId="5B74CA9B">
      <w:pPr>
        <w:overflowPunct w:val="0"/>
        <w:adjustRightInd w:val="0"/>
        <w:snapToGrid w:val="0"/>
        <w:spacing w:line="500" w:lineRule="exact"/>
        <w:jc w:val="cente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表</w:t>
      </w:r>
      <w:r>
        <w:rPr>
          <w:rFonts w:hint="eastAsia" w:ascii="宋体" w:hAnsi="宋体" w:eastAsia="宋体" w:cs="宋体"/>
          <w:b/>
          <w:bCs/>
          <w:color w:val="000000" w:themeColor="text1"/>
          <w:sz w:val="24"/>
          <w:lang w:val="en-US" w:eastAsia="zh-CN"/>
          <w14:textFill>
            <w14:solidFill>
              <w14:schemeClr w14:val="tx1"/>
            </w14:solidFill>
          </w14:textFill>
        </w:rPr>
        <w:t>3-7</w:t>
      </w:r>
      <w:r>
        <w:rPr>
          <w:rFonts w:hint="eastAsia" w:ascii="宋体" w:hAnsi="宋体" w:eastAsia="宋体" w:cs="宋体"/>
          <w:b/>
          <w:bCs/>
          <w:color w:val="000000" w:themeColor="text1"/>
          <w:sz w:val="24"/>
          <w14:textFill>
            <w14:solidFill>
              <w14:schemeClr w14:val="tx1"/>
            </w14:solidFill>
          </w14:textFill>
        </w:rPr>
        <w:t>危险化学品重大危险源计算表</w:t>
      </w:r>
    </w:p>
    <w:tbl>
      <w:tblPr>
        <w:tblStyle w:val="53"/>
        <w:tblW w:w="9364" w:type="dxa"/>
        <w:tblInd w:w="-11" w:type="dxa"/>
        <w:tblLayout w:type="fixed"/>
        <w:tblCellMar>
          <w:top w:w="0" w:type="dxa"/>
          <w:left w:w="0" w:type="dxa"/>
          <w:bottom w:w="0" w:type="dxa"/>
          <w:right w:w="0" w:type="dxa"/>
        </w:tblCellMar>
      </w:tblPr>
      <w:tblGrid>
        <w:gridCol w:w="743"/>
        <w:gridCol w:w="1110"/>
        <w:gridCol w:w="1512"/>
        <w:gridCol w:w="3166"/>
        <w:gridCol w:w="2126"/>
        <w:gridCol w:w="707"/>
      </w:tblGrid>
      <w:tr w14:paraId="6B35ACE5">
        <w:tblPrEx>
          <w:tblCellMar>
            <w:top w:w="0" w:type="dxa"/>
            <w:left w:w="0" w:type="dxa"/>
            <w:bottom w:w="0" w:type="dxa"/>
            <w:right w:w="0" w:type="dxa"/>
          </w:tblCellMar>
        </w:tblPrEx>
        <w:trPr>
          <w:cantSplit/>
          <w:trHeight w:val="454" w:hRule="atLeast"/>
          <w:tblHeader/>
        </w:trPr>
        <w:tc>
          <w:tcPr>
            <w:tcW w:w="743" w:type="dxa"/>
            <w:tcBorders>
              <w:top w:val="single" w:color="000000" w:sz="4" w:space="0"/>
              <w:left w:val="single" w:color="000000" w:sz="4" w:space="0"/>
              <w:bottom w:val="single" w:color="000000" w:sz="4" w:space="0"/>
              <w:right w:val="single" w:color="000000" w:sz="4" w:space="0"/>
            </w:tcBorders>
            <w:noWrap/>
            <w:vAlign w:val="center"/>
          </w:tcPr>
          <w:p w14:paraId="42AD04EE">
            <w:pPr>
              <w:pStyle w:val="359"/>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0F28B1C">
            <w:pPr>
              <w:pStyle w:val="359"/>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物质名称</w:t>
            </w:r>
          </w:p>
        </w:tc>
        <w:tc>
          <w:tcPr>
            <w:tcW w:w="1512" w:type="dxa"/>
            <w:tcBorders>
              <w:top w:val="single" w:color="000000" w:sz="4" w:space="0"/>
              <w:left w:val="single" w:color="000000" w:sz="4" w:space="0"/>
              <w:bottom w:val="single" w:color="000000" w:sz="4" w:space="0"/>
              <w:right w:val="single" w:color="000000" w:sz="4" w:space="0"/>
            </w:tcBorders>
            <w:noWrap/>
            <w:vAlign w:val="center"/>
          </w:tcPr>
          <w:p w14:paraId="4DF6A574">
            <w:pPr>
              <w:pStyle w:val="359"/>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临界量Q（t）</w:t>
            </w:r>
          </w:p>
        </w:tc>
        <w:tc>
          <w:tcPr>
            <w:tcW w:w="3166" w:type="dxa"/>
            <w:tcBorders>
              <w:top w:val="single" w:color="000000" w:sz="4" w:space="0"/>
              <w:left w:val="single" w:color="000000" w:sz="4" w:space="0"/>
              <w:bottom w:val="single" w:color="000000" w:sz="4" w:space="0"/>
              <w:right w:val="single" w:color="000000" w:sz="4" w:space="0"/>
            </w:tcBorders>
            <w:noWrap/>
            <w:vAlign w:val="center"/>
          </w:tcPr>
          <w:p w14:paraId="614725C4">
            <w:pPr>
              <w:pStyle w:val="359"/>
              <w:overflowPunct w:val="0"/>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lang w:eastAsia="zh-CN"/>
                <w14:textFill>
                  <w14:solidFill>
                    <w14:schemeClr w14:val="tx1"/>
                  </w14:solidFill>
                </w14:textFill>
              </w:rPr>
              <w:t>实际存在量</w:t>
            </w:r>
            <w:r>
              <w:rPr>
                <w:rFonts w:hint="eastAsia" w:ascii="宋体" w:hAnsi="宋体" w:eastAsia="宋体" w:cs="宋体"/>
                <w:b/>
                <w:bCs/>
                <w:color w:val="000000" w:themeColor="text1"/>
                <w:spacing w:val="-104"/>
                <w:sz w:val="21"/>
                <w:szCs w:val="21"/>
                <w14:textFill>
                  <w14:solidFill>
                    <w14:schemeClr w14:val="tx1"/>
                  </w14:solidFill>
                </w14:textFill>
              </w:rPr>
              <w:t>q</w:t>
            </w:r>
            <w:r>
              <w:rPr>
                <w:rFonts w:hint="eastAsia" w:ascii="宋体" w:hAnsi="宋体" w:eastAsia="宋体" w:cs="宋体"/>
                <w:b/>
                <w:bCs/>
                <w:color w:val="000000" w:themeColor="text1"/>
                <w:spacing w:val="2"/>
                <w:sz w:val="21"/>
                <w:szCs w:val="21"/>
                <w14:textFill>
                  <w14:solidFill>
                    <w14:schemeClr w14:val="tx1"/>
                  </w14:solidFill>
                </w14:textFill>
              </w:rPr>
              <w:t>（</w:t>
            </w:r>
            <w:r>
              <w:rPr>
                <w:rFonts w:hint="eastAsia" w:ascii="宋体" w:hAnsi="宋体" w:eastAsia="宋体" w:cs="宋体"/>
                <w:b/>
                <w:bCs/>
                <w:color w:val="000000" w:themeColor="text1"/>
                <w:spacing w:val="-4"/>
                <w:sz w:val="21"/>
                <w:szCs w:val="21"/>
                <w14:textFill>
                  <w14:solidFill>
                    <w14:schemeClr w14:val="tx1"/>
                  </w14:solidFill>
                </w14:textFill>
              </w:rPr>
              <w:t>t</w:t>
            </w:r>
            <w:r>
              <w:rPr>
                <w:rFonts w:hint="eastAsia" w:ascii="宋体" w:hAnsi="宋体" w:eastAsia="宋体" w:cs="宋体"/>
                <w:b/>
                <w:bCs/>
                <w:color w:val="000000" w:themeColor="text1"/>
                <w:sz w:val="21"/>
                <w:szCs w:val="21"/>
                <w14:textFill>
                  <w14:solidFill>
                    <w14:schemeClr w14:val="tx1"/>
                  </w14:solidFill>
                </w14:textFill>
              </w:rPr>
              <w:t>）</w:t>
            </w:r>
          </w:p>
        </w:tc>
        <w:tc>
          <w:tcPr>
            <w:tcW w:w="2126" w:type="dxa"/>
            <w:tcBorders>
              <w:top w:val="single" w:color="000000" w:sz="4" w:space="0"/>
              <w:left w:val="single" w:color="000000" w:sz="4" w:space="0"/>
              <w:bottom w:val="single" w:color="000000" w:sz="4" w:space="0"/>
              <w:right w:val="single" w:color="000000" w:sz="4" w:space="0"/>
            </w:tcBorders>
            <w:noWrap/>
            <w:vAlign w:val="center"/>
          </w:tcPr>
          <w:p w14:paraId="0EA48FFE">
            <w:pPr>
              <w:pStyle w:val="359"/>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lang w:eastAsia="zh-CN"/>
                <w14:textFill>
                  <w14:solidFill>
                    <w14:schemeClr w14:val="tx1"/>
                  </w14:solidFill>
                </w14:textFill>
              </w:rPr>
              <w:t>是否构成重大危险源</w:t>
            </w:r>
          </w:p>
        </w:tc>
        <w:tc>
          <w:tcPr>
            <w:tcW w:w="707" w:type="dxa"/>
            <w:tcBorders>
              <w:top w:val="single" w:color="000000" w:sz="4" w:space="0"/>
              <w:left w:val="single" w:color="000000" w:sz="4" w:space="0"/>
              <w:bottom w:val="single" w:color="000000" w:sz="4" w:space="0"/>
              <w:right w:val="single" w:color="000000" w:sz="4" w:space="0"/>
            </w:tcBorders>
            <w:noWrap/>
            <w:vAlign w:val="center"/>
          </w:tcPr>
          <w:p w14:paraId="3949613D">
            <w:pPr>
              <w:pStyle w:val="359"/>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sz w:val="21"/>
                <w:szCs w:val="21"/>
                <w:lang w:eastAsia="zh-CN"/>
                <w14:textFill>
                  <w14:solidFill>
                    <w14:schemeClr w14:val="tx1"/>
                  </w14:solidFill>
                </w14:textFill>
              </w:rPr>
              <w:t>备注</w:t>
            </w:r>
          </w:p>
        </w:tc>
      </w:tr>
      <w:tr w14:paraId="170F98C1">
        <w:tblPrEx>
          <w:tblCellMar>
            <w:top w:w="0" w:type="dxa"/>
            <w:left w:w="0" w:type="dxa"/>
            <w:bottom w:w="0" w:type="dxa"/>
            <w:right w:w="0" w:type="dxa"/>
          </w:tblCellMar>
        </w:tblPrEx>
        <w:trPr>
          <w:cantSplit/>
          <w:trHeight w:val="454" w:hRule="atLeast"/>
        </w:trPr>
        <w:tc>
          <w:tcPr>
            <w:tcW w:w="743" w:type="dxa"/>
            <w:tcBorders>
              <w:top w:val="single" w:color="000000" w:sz="4" w:space="0"/>
              <w:left w:val="single" w:color="000000" w:sz="4" w:space="0"/>
              <w:bottom w:val="single" w:color="000000" w:sz="4" w:space="0"/>
              <w:right w:val="single" w:color="000000" w:sz="4" w:space="0"/>
            </w:tcBorders>
            <w:noWrap/>
            <w:vAlign w:val="center"/>
          </w:tcPr>
          <w:p w14:paraId="7B6C6931">
            <w:pPr>
              <w:pStyle w:val="359"/>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1</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7E56900">
            <w:pPr>
              <w:pStyle w:val="359"/>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氧气</w:t>
            </w:r>
          </w:p>
        </w:tc>
        <w:tc>
          <w:tcPr>
            <w:tcW w:w="1512" w:type="dxa"/>
            <w:tcBorders>
              <w:top w:val="single" w:color="000000" w:sz="4" w:space="0"/>
              <w:left w:val="single" w:color="000000" w:sz="4" w:space="0"/>
              <w:bottom w:val="single" w:color="000000" w:sz="4" w:space="0"/>
              <w:right w:val="single" w:color="000000" w:sz="4" w:space="0"/>
            </w:tcBorders>
            <w:noWrap/>
            <w:vAlign w:val="center"/>
          </w:tcPr>
          <w:p w14:paraId="5407C02B">
            <w:pPr>
              <w:pStyle w:val="359"/>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200</w:t>
            </w:r>
          </w:p>
        </w:tc>
        <w:tc>
          <w:tcPr>
            <w:tcW w:w="3166" w:type="dxa"/>
            <w:tcBorders>
              <w:top w:val="single" w:color="000000" w:sz="4" w:space="0"/>
              <w:left w:val="single" w:color="000000" w:sz="4" w:space="0"/>
              <w:bottom w:val="single" w:color="000000" w:sz="4" w:space="0"/>
              <w:right w:val="single" w:color="000000" w:sz="4" w:space="0"/>
            </w:tcBorders>
            <w:noWrap/>
            <w:vAlign w:val="center"/>
          </w:tcPr>
          <w:p w14:paraId="115C44BA">
            <w:pPr>
              <w:pStyle w:val="359"/>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以厂区最大储存</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lang w:eastAsia="zh-CN"/>
                <w14:textFill>
                  <w14:solidFill>
                    <w14:schemeClr w14:val="tx1"/>
                  </w14:solidFill>
                </w14:textFill>
              </w:rPr>
              <w:t>瓶氧气进行计算：</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lang w:eastAsia="zh-CN"/>
                <w14:textFill>
                  <w14:solidFill>
                    <w14:schemeClr w14:val="tx1"/>
                  </w14:solidFill>
                </w14:textFill>
              </w:rPr>
              <w:t>×0.0086=0.0</w:t>
            </w:r>
            <w:r>
              <w:rPr>
                <w:rFonts w:hint="eastAsia" w:ascii="宋体" w:hAnsi="宋体" w:eastAsia="宋体" w:cs="宋体"/>
                <w:color w:val="000000" w:themeColor="text1"/>
                <w:sz w:val="21"/>
                <w:szCs w:val="21"/>
                <w:lang w:val="en-US" w:eastAsia="zh-CN"/>
                <w14:textFill>
                  <w14:solidFill>
                    <w14:schemeClr w14:val="tx1"/>
                  </w14:solidFill>
                </w14:textFill>
              </w:rPr>
              <w:t>172</w:t>
            </w:r>
            <w:r>
              <w:rPr>
                <w:rFonts w:hint="eastAsia" w:ascii="宋体" w:hAnsi="宋体" w:eastAsia="宋体" w:cs="宋体"/>
                <w:color w:val="000000" w:themeColor="text1"/>
                <w:sz w:val="21"/>
                <w:szCs w:val="21"/>
                <w:lang w:eastAsia="zh-CN"/>
                <w14:textFill>
                  <w14:solidFill>
                    <w14:schemeClr w14:val="tx1"/>
                  </w14:solidFill>
                </w14:textFill>
              </w:rPr>
              <w:t>t</w:t>
            </w:r>
          </w:p>
        </w:tc>
        <w:tc>
          <w:tcPr>
            <w:tcW w:w="2126" w:type="dxa"/>
            <w:tcBorders>
              <w:top w:val="single" w:color="000000" w:sz="4" w:space="0"/>
              <w:left w:val="single" w:color="000000" w:sz="4" w:space="0"/>
              <w:bottom w:val="single" w:color="000000" w:sz="4" w:space="0"/>
              <w:right w:val="single" w:color="000000" w:sz="4" w:space="0"/>
            </w:tcBorders>
            <w:noWrap/>
            <w:vAlign w:val="center"/>
          </w:tcPr>
          <w:p w14:paraId="63A0BDFB">
            <w:pPr>
              <w:pStyle w:val="359"/>
              <w:overflowPunct w:val="0"/>
              <w:adjustRightInd w:val="0"/>
              <w:snapToGrid w:val="0"/>
              <w:spacing w:line="300" w:lineRule="exact"/>
              <w:jc w:val="center"/>
              <w:rPr>
                <w:rFonts w:hint="eastAsia" w:ascii="宋体" w:hAnsi="宋体" w:eastAsia="宋体" w:cs="宋体"/>
                <w:color w:val="000000" w:themeColor="text1"/>
                <w:sz w:val="21"/>
                <w:szCs w:val="21"/>
                <w:lang w:eastAsia="zh-CN"/>
                <w14:textFill>
                  <w14:solidFill>
                    <w14:schemeClr w14:val="tx1"/>
                  </w14:solidFill>
                </w14:textFill>
              </w:rPr>
            </w:pPr>
            <w:r>
              <w:rPr>
                <w:rStyle w:val="64"/>
                <w:rFonts w:hint="eastAsia" w:ascii="宋体" w:hAnsi="宋体" w:eastAsia="宋体" w:cs="宋体"/>
                <w:color w:val="000000" w:themeColor="text1"/>
                <w:kern w:val="2"/>
                <w:sz w:val="21"/>
                <w:szCs w:val="21"/>
                <w:lang w:eastAsia="zh-CN"/>
                <w14:textFill>
                  <w14:solidFill>
                    <w14:schemeClr w14:val="tx1"/>
                  </w14:solidFill>
                </w14:textFill>
              </w:rPr>
              <w:t>否</w:t>
            </w:r>
          </w:p>
        </w:tc>
        <w:tc>
          <w:tcPr>
            <w:tcW w:w="707" w:type="dxa"/>
            <w:tcBorders>
              <w:top w:val="single" w:color="000000" w:sz="4" w:space="0"/>
              <w:left w:val="single" w:color="000000" w:sz="4" w:space="0"/>
              <w:bottom w:val="single" w:color="000000" w:sz="4" w:space="0"/>
              <w:right w:val="single" w:color="000000" w:sz="4" w:space="0"/>
            </w:tcBorders>
            <w:noWrap/>
            <w:vAlign w:val="center"/>
          </w:tcPr>
          <w:p w14:paraId="42767E06">
            <w:pPr>
              <w:overflowPunct w:val="0"/>
              <w:adjustRightInd w:val="0"/>
              <w:snapToGrid w:val="0"/>
              <w:spacing w:line="300" w:lineRule="exact"/>
              <w:jc w:val="center"/>
              <w:rPr>
                <w:rFonts w:hint="eastAsia" w:ascii="宋体" w:hAnsi="宋体" w:eastAsia="宋体" w:cs="宋体"/>
                <w:color w:val="000000" w:themeColor="text1"/>
                <w:sz w:val="21"/>
                <w:szCs w:val="21"/>
                <w:lang w:eastAsia="en-US"/>
                <w14:textFill>
                  <w14:solidFill>
                    <w14:schemeClr w14:val="tx1"/>
                  </w14:solidFill>
                </w14:textFill>
              </w:rPr>
            </w:pPr>
          </w:p>
        </w:tc>
      </w:tr>
      <w:tr w14:paraId="1492CA03">
        <w:tblPrEx>
          <w:tblCellMar>
            <w:top w:w="0" w:type="dxa"/>
            <w:left w:w="0" w:type="dxa"/>
            <w:bottom w:w="0" w:type="dxa"/>
            <w:right w:w="0" w:type="dxa"/>
          </w:tblCellMar>
        </w:tblPrEx>
        <w:trPr>
          <w:cantSplit/>
          <w:trHeight w:val="454" w:hRule="atLeast"/>
        </w:trPr>
        <w:tc>
          <w:tcPr>
            <w:tcW w:w="743" w:type="dxa"/>
            <w:tcBorders>
              <w:top w:val="single" w:color="000000" w:sz="4" w:space="0"/>
              <w:left w:val="single" w:color="000000" w:sz="4" w:space="0"/>
              <w:bottom w:val="single" w:color="000000" w:sz="4" w:space="0"/>
              <w:right w:val="single" w:color="000000" w:sz="4" w:space="0"/>
            </w:tcBorders>
            <w:noWrap/>
            <w:vAlign w:val="center"/>
          </w:tcPr>
          <w:p w14:paraId="27865A8F">
            <w:pPr>
              <w:pStyle w:val="359"/>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2</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E7CEDEF">
            <w:pPr>
              <w:pStyle w:val="359"/>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乙炔</w:t>
            </w:r>
          </w:p>
        </w:tc>
        <w:tc>
          <w:tcPr>
            <w:tcW w:w="1512" w:type="dxa"/>
            <w:tcBorders>
              <w:top w:val="single" w:color="000000" w:sz="4" w:space="0"/>
              <w:left w:val="single" w:color="000000" w:sz="4" w:space="0"/>
              <w:bottom w:val="single" w:color="000000" w:sz="4" w:space="0"/>
              <w:right w:val="single" w:color="000000" w:sz="4" w:space="0"/>
            </w:tcBorders>
            <w:noWrap/>
            <w:vAlign w:val="center"/>
          </w:tcPr>
          <w:p w14:paraId="2B992AE0">
            <w:pPr>
              <w:pStyle w:val="359"/>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1</w:t>
            </w:r>
          </w:p>
        </w:tc>
        <w:tc>
          <w:tcPr>
            <w:tcW w:w="3166" w:type="dxa"/>
            <w:tcBorders>
              <w:top w:val="single" w:color="000000" w:sz="4" w:space="0"/>
              <w:left w:val="single" w:color="000000" w:sz="4" w:space="0"/>
              <w:bottom w:val="single" w:color="000000" w:sz="4" w:space="0"/>
              <w:right w:val="single" w:color="000000" w:sz="4" w:space="0"/>
            </w:tcBorders>
            <w:noWrap/>
            <w:vAlign w:val="center"/>
          </w:tcPr>
          <w:p w14:paraId="3BBA3487">
            <w:pPr>
              <w:pStyle w:val="359"/>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以厂区最大储存</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lang w:eastAsia="zh-CN"/>
                <w14:textFill>
                  <w14:solidFill>
                    <w14:schemeClr w14:val="tx1"/>
                  </w14:solidFill>
                </w14:textFill>
              </w:rPr>
              <w:t>瓶氧气进行计算：</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lang w:eastAsia="zh-CN"/>
                <w14:textFill>
                  <w14:solidFill>
                    <w14:schemeClr w14:val="tx1"/>
                  </w14:solidFill>
                </w14:textFill>
              </w:rPr>
              <w:t>×0.007=0.0</w:t>
            </w:r>
            <w:r>
              <w:rPr>
                <w:rFonts w:hint="eastAsia" w:ascii="宋体" w:hAnsi="宋体" w:eastAsia="宋体" w:cs="宋体"/>
                <w:color w:val="000000" w:themeColor="text1"/>
                <w:sz w:val="21"/>
                <w:szCs w:val="21"/>
                <w:lang w:val="en-US" w:eastAsia="zh-CN"/>
                <w14:textFill>
                  <w14:solidFill>
                    <w14:schemeClr w14:val="tx1"/>
                  </w14:solidFill>
                </w14:textFill>
              </w:rPr>
              <w:t>14</w:t>
            </w:r>
            <w:r>
              <w:rPr>
                <w:rFonts w:hint="eastAsia" w:ascii="宋体" w:hAnsi="宋体" w:eastAsia="宋体" w:cs="宋体"/>
                <w:color w:val="000000" w:themeColor="text1"/>
                <w:sz w:val="21"/>
                <w:szCs w:val="21"/>
                <w:lang w:eastAsia="zh-CN"/>
                <w14:textFill>
                  <w14:solidFill>
                    <w14:schemeClr w14:val="tx1"/>
                  </w14:solidFill>
                </w14:textFill>
              </w:rPr>
              <w:t>t</w:t>
            </w:r>
          </w:p>
        </w:tc>
        <w:tc>
          <w:tcPr>
            <w:tcW w:w="2126" w:type="dxa"/>
            <w:tcBorders>
              <w:top w:val="single" w:color="000000" w:sz="4" w:space="0"/>
              <w:left w:val="single" w:color="000000" w:sz="4" w:space="0"/>
              <w:bottom w:val="single" w:color="000000" w:sz="4" w:space="0"/>
              <w:right w:val="single" w:color="000000" w:sz="4" w:space="0"/>
            </w:tcBorders>
            <w:noWrap/>
            <w:vAlign w:val="center"/>
          </w:tcPr>
          <w:p w14:paraId="34DB7FEA">
            <w:pPr>
              <w:pStyle w:val="359"/>
              <w:overflowPunct w:val="0"/>
              <w:adjustRightInd w:val="0"/>
              <w:snapToGrid w:val="0"/>
              <w:spacing w:line="300" w:lineRule="exact"/>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否</w:t>
            </w:r>
          </w:p>
        </w:tc>
        <w:tc>
          <w:tcPr>
            <w:tcW w:w="707" w:type="dxa"/>
            <w:tcBorders>
              <w:top w:val="single" w:color="000000" w:sz="4" w:space="0"/>
              <w:left w:val="single" w:color="000000" w:sz="4" w:space="0"/>
              <w:bottom w:val="single" w:color="000000" w:sz="4" w:space="0"/>
              <w:right w:val="single" w:color="000000" w:sz="4" w:space="0"/>
            </w:tcBorders>
            <w:noWrap/>
            <w:vAlign w:val="center"/>
          </w:tcPr>
          <w:p w14:paraId="295EB07C">
            <w:pPr>
              <w:overflowPunct w:val="0"/>
              <w:adjustRightInd w:val="0"/>
              <w:snapToGrid w:val="0"/>
              <w:spacing w:line="300" w:lineRule="exact"/>
              <w:jc w:val="center"/>
              <w:rPr>
                <w:rFonts w:hint="eastAsia" w:ascii="宋体" w:hAnsi="宋体" w:eastAsia="宋体" w:cs="宋体"/>
                <w:color w:val="000000" w:themeColor="text1"/>
                <w:sz w:val="21"/>
                <w:szCs w:val="21"/>
                <w:lang w:eastAsia="en-US"/>
                <w14:textFill>
                  <w14:solidFill>
                    <w14:schemeClr w14:val="tx1"/>
                  </w14:solidFill>
                </w14:textFill>
              </w:rPr>
            </w:pPr>
          </w:p>
        </w:tc>
      </w:tr>
      <w:tr w14:paraId="19444FDA">
        <w:tblPrEx>
          <w:tblCellMar>
            <w:top w:w="0" w:type="dxa"/>
            <w:left w:w="0" w:type="dxa"/>
            <w:bottom w:w="0" w:type="dxa"/>
            <w:right w:w="0" w:type="dxa"/>
          </w:tblCellMar>
        </w:tblPrEx>
        <w:trPr>
          <w:cantSplit/>
          <w:trHeight w:val="454" w:hRule="atLeast"/>
        </w:trPr>
        <w:tc>
          <w:tcPr>
            <w:tcW w:w="743" w:type="dxa"/>
            <w:tcBorders>
              <w:top w:val="single" w:color="000000" w:sz="4" w:space="0"/>
              <w:left w:val="single" w:color="000000" w:sz="4" w:space="0"/>
              <w:bottom w:val="single" w:color="000000" w:sz="4" w:space="0"/>
              <w:right w:val="single" w:color="000000" w:sz="4" w:space="0"/>
            </w:tcBorders>
            <w:noWrap/>
            <w:vAlign w:val="center"/>
          </w:tcPr>
          <w:p w14:paraId="27DD2A3C">
            <w:pPr>
              <w:pStyle w:val="359"/>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AEBB775">
            <w:pPr>
              <w:pStyle w:val="359"/>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柴油</w:t>
            </w:r>
          </w:p>
        </w:tc>
        <w:tc>
          <w:tcPr>
            <w:tcW w:w="1512" w:type="dxa"/>
            <w:tcBorders>
              <w:top w:val="single" w:color="000000" w:sz="4" w:space="0"/>
              <w:left w:val="single" w:color="000000" w:sz="4" w:space="0"/>
              <w:bottom w:val="single" w:color="000000" w:sz="4" w:space="0"/>
              <w:right w:val="single" w:color="000000" w:sz="4" w:space="0"/>
            </w:tcBorders>
            <w:noWrap/>
            <w:vAlign w:val="center"/>
          </w:tcPr>
          <w:p w14:paraId="0A610847">
            <w:pPr>
              <w:pStyle w:val="359"/>
              <w:overflowPunct w:val="0"/>
              <w:adjustRightInd w:val="0"/>
              <w:snapToGrid w:val="0"/>
              <w:spacing w:line="300" w:lineRule="exact"/>
              <w:ind w:left="0" w:leftChars="0"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5000</w:t>
            </w:r>
          </w:p>
        </w:tc>
        <w:tc>
          <w:tcPr>
            <w:tcW w:w="3166" w:type="dxa"/>
            <w:tcBorders>
              <w:top w:val="single" w:color="000000" w:sz="4" w:space="0"/>
              <w:left w:val="single" w:color="000000" w:sz="4" w:space="0"/>
              <w:bottom w:val="single" w:color="000000" w:sz="4" w:space="0"/>
              <w:right w:val="single" w:color="000000" w:sz="4" w:space="0"/>
            </w:tcBorders>
            <w:noWrap/>
            <w:vAlign w:val="center"/>
          </w:tcPr>
          <w:p w14:paraId="39095EC7">
            <w:pPr>
              <w:pStyle w:val="359"/>
              <w:overflowPunct w:val="0"/>
              <w:adjustRightInd w:val="0"/>
              <w:snapToGrid w:val="0"/>
              <w:spacing w:line="300" w:lineRule="exact"/>
              <w:ind w:left="0" w:leftChars="0" w:firstLine="0" w:firstLineChars="0"/>
              <w:jc w:val="both"/>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以厂区最大储存</w:t>
            </w:r>
            <w:r>
              <w:rPr>
                <w:rFonts w:hint="eastAsia" w:ascii="宋体" w:hAnsi="宋体" w:eastAsia="宋体" w:cs="宋体"/>
                <w:color w:val="000000" w:themeColor="text1"/>
                <w:sz w:val="21"/>
                <w:szCs w:val="21"/>
                <w:lang w:val="en-US" w:eastAsia="zh-CN"/>
                <w14:textFill>
                  <w14:solidFill>
                    <w14:schemeClr w14:val="tx1"/>
                  </w14:solidFill>
                </w14:textFill>
              </w:rPr>
              <w:t>90L柴油</w:t>
            </w:r>
            <w:r>
              <w:rPr>
                <w:rFonts w:hint="eastAsia" w:ascii="宋体" w:hAnsi="宋体" w:eastAsia="宋体" w:cs="宋体"/>
                <w:color w:val="000000" w:themeColor="text1"/>
                <w:sz w:val="21"/>
                <w:szCs w:val="21"/>
                <w:lang w:eastAsia="zh-CN"/>
                <w14:textFill>
                  <w14:solidFill>
                    <w14:schemeClr w14:val="tx1"/>
                  </w14:solidFill>
                </w14:textFill>
              </w:rPr>
              <w:t>进行计算：</w:t>
            </w:r>
            <w:r>
              <w:rPr>
                <w:rFonts w:hint="eastAsia" w:ascii="宋体" w:hAnsi="宋体" w:eastAsia="宋体" w:cs="宋体"/>
                <w:color w:val="000000" w:themeColor="text1"/>
                <w:sz w:val="21"/>
                <w:szCs w:val="21"/>
                <w:lang w:val="en-US" w:eastAsia="zh-CN"/>
                <w14:textFill>
                  <w14:solidFill>
                    <w14:schemeClr w14:val="tx1"/>
                  </w14:solidFill>
                </w14:textFill>
              </w:rPr>
              <w:t>0.09</w:t>
            </w:r>
            <w:r>
              <w:rPr>
                <w:rFonts w:hint="eastAsia" w:ascii="宋体" w:hAnsi="宋体" w:eastAsia="宋体" w:cs="宋体"/>
                <w:color w:val="000000" w:themeColor="text1"/>
                <w:sz w:val="21"/>
                <w:szCs w:val="21"/>
                <w:lang w:eastAsia="zh-CN"/>
                <w14:textFill>
                  <w14:solidFill>
                    <w14:schemeClr w14:val="tx1"/>
                  </w14:solidFill>
                </w14:textFill>
              </w:rPr>
              <w:t>×0.</w:t>
            </w:r>
            <w:r>
              <w:rPr>
                <w:rFonts w:hint="eastAsia" w:ascii="宋体" w:hAnsi="宋体" w:eastAsia="宋体" w:cs="宋体"/>
                <w:color w:val="000000" w:themeColor="text1"/>
                <w:sz w:val="21"/>
                <w:szCs w:val="21"/>
                <w:lang w:val="en-US" w:eastAsia="zh-CN"/>
                <w14:textFill>
                  <w14:solidFill>
                    <w14:schemeClr w14:val="tx1"/>
                  </w14:solidFill>
                </w14:textFill>
              </w:rPr>
              <w:t>85</w:t>
            </w:r>
            <w:r>
              <w:rPr>
                <w:rFonts w:hint="eastAsia" w:ascii="宋体" w:hAnsi="宋体" w:eastAsia="宋体" w:cs="宋体"/>
                <w:color w:val="000000" w:themeColor="text1"/>
                <w:sz w:val="21"/>
                <w:szCs w:val="21"/>
                <w:lang w:eastAsia="zh-CN"/>
                <w14:textFill>
                  <w14:solidFill>
                    <w14:schemeClr w14:val="tx1"/>
                  </w14:solidFill>
                </w14:textFill>
              </w:rPr>
              <w:t>=0.0</w:t>
            </w:r>
            <w:r>
              <w:rPr>
                <w:rFonts w:hint="eastAsia" w:ascii="宋体" w:hAnsi="宋体" w:eastAsia="宋体" w:cs="宋体"/>
                <w:color w:val="000000" w:themeColor="text1"/>
                <w:sz w:val="21"/>
                <w:szCs w:val="21"/>
                <w:lang w:val="en-US" w:eastAsia="zh-CN"/>
                <w14:textFill>
                  <w14:solidFill>
                    <w14:schemeClr w14:val="tx1"/>
                  </w14:solidFill>
                </w14:textFill>
              </w:rPr>
              <w:t>765</w:t>
            </w:r>
            <w:r>
              <w:rPr>
                <w:rFonts w:hint="eastAsia" w:ascii="宋体" w:hAnsi="宋体" w:eastAsia="宋体" w:cs="宋体"/>
                <w:color w:val="000000" w:themeColor="text1"/>
                <w:sz w:val="21"/>
                <w:szCs w:val="21"/>
                <w:lang w:eastAsia="zh-CN"/>
                <w14:textFill>
                  <w14:solidFill>
                    <w14:schemeClr w14:val="tx1"/>
                  </w14:solidFill>
                </w14:textFill>
              </w:rPr>
              <w:t>t</w:t>
            </w:r>
          </w:p>
        </w:tc>
        <w:tc>
          <w:tcPr>
            <w:tcW w:w="2126" w:type="dxa"/>
            <w:tcBorders>
              <w:top w:val="single" w:color="000000" w:sz="4" w:space="0"/>
              <w:left w:val="single" w:color="000000" w:sz="4" w:space="0"/>
              <w:bottom w:val="single" w:color="000000" w:sz="4" w:space="0"/>
              <w:right w:val="single" w:color="000000" w:sz="4" w:space="0"/>
            </w:tcBorders>
            <w:noWrap/>
            <w:vAlign w:val="center"/>
          </w:tcPr>
          <w:p w14:paraId="082AABBF">
            <w:pPr>
              <w:pStyle w:val="359"/>
              <w:overflowPunct w:val="0"/>
              <w:adjustRightInd w:val="0"/>
              <w:snapToGrid w:val="0"/>
              <w:spacing w:line="300" w:lineRule="exact"/>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否</w:t>
            </w:r>
          </w:p>
        </w:tc>
        <w:tc>
          <w:tcPr>
            <w:tcW w:w="707" w:type="dxa"/>
            <w:tcBorders>
              <w:top w:val="single" w:color="000000" w:sz="4" w:space="0"/>
              <w:left w:val="single" w:color="000000" w:sz="4" w:space="0"/>
              <w:bottom w:val="single" w:color="000000" w:sz="4" w:space="0"/>
              <w:right w:val="single" w:color="000000" w:sz="4" w:space="0"/>
            </w:tcBorders>
            <w:noWrap/>
            <w:vAlign w:val="center"/>
          </w:tcPr>
          <w:p w14:paraId="3C8E4D2B">
            <w:pPr>
              <w:overflowPunct w:val="0"/>
              <w:adjustRightInd w:val="0"/>
              <w:snapToGrid w:val="0"/>
              <w:spacing w:line="300" w:lineRule="exact"/>
              <w:jc w:val="center"/>
              <w:rPr>
                <w:rFonts w:hint="eastAsia" w:ascii="宋体" w:hAnsi="宋体" w:eastAsia="宋体" w:cs="宋体"/>
                <w:color w:val="000000" w:themeColor="text1"/>
                <w:sz w:val="21"/>
                <w:szCs w:val="21"/>
                <w:lang w:eastAsia="en-US"/>
                <w14:textFill>
                  <w14:solidFill>
                    <w14:schemeClr w14:val="tx1"/>
                  </w14:solidFill>
                </w14:textFill>
              </w:rPr>
            </w:pPr>
          </w:p>
        </w:tc>
      </w:tr>
    </w:tbl>
    <w:p w14:paraId="6B950664">
      <w:pPr>
        <w:keepNext w:val="0"/>
        <w:keepLines w:val="0"/>
        <w:pageBreakBefore w:val="0"/>
        <w:widowControl w:val="0"/>
        <w:tabs>
          <w:tab w:val="left" w:pos="851"/>
          <w:tab w:val="left" w:pos="1134"/>
        </w:tabs>
        <w:kinsoku/>
        <w:wordWrap/>
        <w:overflowPunct/>
        <w:topLinePunct w:val="0"/>
        <w:autoSpaceDE/>
        <w:autoSpaceDN/>
        <w:bidi w:val="0"/>
        <w:adjustRightInd/>
        <w:snapToGrid/>
        <w:spacing w:after="0" w:line="500" w:lineRule="exact"/>
        <w:ind w:firstLine="560" w:firstLineChars="200"/>
        <w:jc w:val="both"/>
        <w:textAlignment w:val="auto"/>
        <w:rPr>
          <w:rFonts w:hint="eastAsia" w:ascii="宋体" w:hAnsi="宋体" w:eastAsia="宋体" w:cs="宋体"/>
          <w:bCs/>
          <w:color w:val="000000" w:themeColor="text1"/>
          <w:kern w:val="2"/>
          <w:sz w:val="28"/>
          <w:szCs w:val="28"/>
          <w:lang w:val="en-US" w:eastAsia="zh-CN" w:bidi="ar-SA"/>
          <w14:textFill>
            <w14:solidFill>
              <w14:schemeClr w14:val="tx1"/>
            </w14:solidFill>
          </w14:textFill>
        </w:rPr>
      </w:pPr>
      <w:r>
        <w:rPr>
          <w:rFonts w:hint="eastAsia" w:ascii="宋体" w:hAnsi="宋体" w:eastAsia="宋体" w:cs="宋体"/>
          <w:snapToGrid w:val="0"/>
          <w:color w:val="000000" w:themeColor="text1"/>
          <w:kern w:val="0"/>
          <w:sz w:val="28"/>
          <w:szCs w:val="28"/>
          <w:lang w:val="en-US" w:eastAsia="zh-CN" w:bidi="ar-SA"/>
          <w14:textFill>
            <w14:solidFill>
              <w14:schemeClr w14:val="tx1"/>
            </w14:solidFill>
          </w14:textFill>
        </w:rPr>
        <w:t>根据重大危险源计算公式可知：0.0172/100+0.014/1+0.0765/5000≈0.014＜1</w:t>
      </w:r>
    </w:p>
    <w:p w14:paraId="286438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14:textFill>
            <w14:solidFill>
              <w14:schemeClr w14:val="tx1"/>
            </w14:solidFill>
          </w14:textFill>
        </w:rPr>
        <w:t>根据以上分析计算可知，该项目未构成危险化学品重大危险源。</w:t>
      </w:r>
    </w:p>
    <w:p w14:paraId="50BC0690">
      <w:pPr>
        <w:pStyle w:val="5"/>
        <w:spacing w:line="360" w:lineRule="auto"/>
        <w:rPr>
          <w:rFonts w:hint="eastAsia" w:ascii="Times New Roman" w:hAnsi="Times New Roman" w:cs="Times New Roman"/>
          <w:color w:val="000000" w:themeColor="text1"/>
          <w:lang w:val="en-US" w:eastAsia="zh-CN"/>
          <w14:textFill>
            <w14:solidFill>
              <w14:schemeClr w14:val="tx1"/>
            </w14:solidFill>
          </w14:textFill>
        </w:rPr>
      </w:pPr>
      <w:bookmarkStart w:id="501" w:name="_Toc18467"/>
      <w:bookmarkStart w:id="502" w:name="_Toc26613"/>
      <w:r>
        <w:rPr>
          <w:rFonts w:hint="eastAsia" w:ascii="Times New Roman" w:hAnsi="Times New Roman" w:cs="Times New Roman"/>
          <w:color w:val="000000" w:themeColor="text1"/>
          <w:lang w:val="en-US" w:eastAsia="zh-CN"/>
          <w14:textFill>
            <w14:solidFill>
              <w14:schemeClr w14:val="tx1"/>
            </w14:solidFill>
          </w14:textFill>
        </w:rPr>
        <w:t>3.9.3重大危险源辨识结论</w:t>
      </w:r>
      <w:bookmarkEnd w:id="501"/>
      <w:bookmarkEnd w:id="502"/>
    </w:p>
    <w:p w14:paraId="0A7A73DD">
      <w:pPr>
        <w:adjustRightInd w:val="0"/>
        <w:snapToGrid w:val="0"/>
        <w:spacing w:line="500" w:lineRule="exact"/>
        <w:ind w:firstLine="560" w:firstLineChars="200"/>
        <w:rPr>
          <w:snapToGrid w:val="0"/>
          <w:color w:val="000000" w:themeColor="text1"/>
          <w:kern w:val="0"/>
          <w:sz w:val="28"/>
          <w:szCs w:val="28"/>
          <w14:textFill>
            <w14:solidFill>
              <w14:schemeClr w14:val="tx1"/>
            </w14:solidFill>
          </w14:textFill>
        </w:rPr>
      </w:pPr>
      <w:r>
        <w:rPr>
          <w:rFonts w:hint="eastAsia" w:ascii="宋体" w:hAnsi="宋体" w:cs="宋体"/>
          <w:color w:val="000000" w:themeColor="text1"/>
          <w:sz w:val="28"/>
          <w14:textFill>
            <w14:solidFill>
              <w14:schemeClr w14:val="tx1"/>
            </w14:solidFill>
          </w14:textFill>
        </w:rPr>
        <w:t>根据《危险化学品重大危险源辨识》（</w:t>
      </w:r>
      <w:r>
        <w:rPr>
          <w:rFonts w:hint="eastAsia" w:ascii="宋体" w:hAnsi="宋体" w:cs="宋体"/>
          <w:color w:val="000000" w:themeColor="text1"/>
          <w:sz w:val="28"/>
          <w:szCs w:val="28"/>
          <w14:textFill>
            <w14:solidFill>
              <w14:schemeClr w14:val="tx1"/>
            </w14:solidFill>
          </w14:textFill>
        </w:rPr>
        <w:t>GB 18218-2018），南华昆轻树脂瓦开发有限公司</w:t>
      </w:r>
      <w:r>
        <w:rPr>
          <w:rFonts w:hint="eastAsia" w:ascii="宋体" w:hAnsi="宋体" w:eastAsia="宋体" w:cs="宋体"/>
          <w:color w:val="000000" w:themeColor="text1"/>
          <w:sz w:val="28"/>
          <w:szCs w:val="28"/>
          <w:lang w:val="en-US" w:eastAsia="zh-CN"/>
          <w14:textFill>
            <w14:solidFill>
              <w14:schemeClr w14:val="tx1"/>
            </w14:solidFill>
          </w14:textFill>
        </w:rPr>
        <w:t>新型PVC树脂瓦及水泥瓦生产线项目</w:t>
      </w:r>
      <w:r>
        <w:rPr>
          <w:rFonts w:hint="eastAsia" w:ascii="宋体" w:hAnsi="宋体" w:cs="宋体"/>
          <w:color w:val="000000" w:themeColor="text1"/>
          <w:sz w:val="28"/>
          <w:szCs w:val="28"/>
          <w14:textFill>
            <w14:solidFill>
              <w14:schemeClr w14:val="tx1"/>
            </w14:solidFill>
          </w14:textFill>
        </w:rPr>
        <w:t>涉及的</w:t>
      </w:r>
      <w:r>
        <w:rPr>
          <w:rFonts w:hint="eastAsia" w:ascii="宋体" w:hAnsi="宋体" w:cs="宋体"/>
          <w:color w:val="000000" w:themeColor="text1"/>
          <w:sz w:val="28"/>
          <w14:textFill>
            <w14:solidFill>
              <w14:schemeClr w14:val="tx1"/>
            </w14:solidFill>
          </w14:textFill>
        </w:rPr>
        <w:t>危险化学品</w:t>
      </w:r>
      <w:r>
        <w:rPr>
          <w:rFonts w:hint="eastAsia" w:ascii="宋体" w:hAnsi="宋体" w:cs="宋体"/>
          <w:color w:val="000000" w:themeColor="text1"/>
          <w:sz w:val="28"/>
          <w:szCs w:val="28"/>
          <w14:textFill>
            <w14:solidFill>
              <w14:schemeClr w14:val="tx1"/>
            </w14:solidFill>
          </w14:textFill>
        </w:rPr>
        <w:t>均不构成危险化学品重大危险源</w:t>
      </w:r>
      <w:r>
        <w:rPr>
          <w:snapToGrid w:val="0"/>
          <w:color w:val="000000" w:themeColor="text1"/>
          <w:kern w:val="0"/>
          <w:sz w:val="28"/>
          <w:szCs w:val="28"/>
          <w14:textFill>
            <w14:solidFill>
              <w14:schemeClr w14:val="tx1"/>
            </w14:solidFill>
          </w14:textFill>
        </w:rPr>
        <w:t>。</w:t>
      </w:r>
    </w:p>
    <w:p w14:paraId="67A5D8B5">
      <w:pPr>
        <w:rPr>
          <w:rFonts w:hint="eastAsia"/>
          <w:color w:val="000000" w:themeColor="text1"/>
          <w14:textFill>
            <w14:solidFill>
              <w14:schemeClr w14:val="tx1"/>
            </w14:solidFill>
          </w14:textFill>
        </w:rPr>
      </w:pPr>
      <w:r>
        <w:rPr>
          <w:rFonts w:hint="eastAsia" w:ascii="Times New Roman"/>
          <w:color w:val="000000" w:themeColor="text1"/>
          <w:sz w:val="28"/>
          <w:szCs w:val="28"/>
          <w14:textFill>
            <w14:solidFill>
              <w14:schemeClr w14:val="tx1"/>
            </w14:solidFill>
          </w14:textFill>
        </w:rPr>
        <w:br w:type="page"/>
      </w:r>
    </w:p>
    <w:bookmarkEnd w:id="289"/>
    <w:bookmarkEnd w:id="290"/>
    <w:bookmarkEnd w:id="291"/>
    <w:bookmarkEnd w:id="292"/>
    <w:p w14:paraId="1C3C50B3">
      <w:pPr>
        <w:pStyle w:val="3"/>
        <w:spacing w:before="120" w:after="120" w:line="360" w:lineRule="auto"/>
        <w:rPr>
          <w:rFonts w:ascii="Times New Roman" w:hAnsi="Times New Roman"/>
          <w:color w:val="000000" w:themeColor="text1"/>
          <w14:textFill>
            <w14:solidFill>
              <w14:schemeClr w14:val="tx1"/>
            </w14:solidFill>
          </w14:textFill>
        </w:rPr>
      </w:pPr>
      <w:bookmarkStart w:id="503" w:name="_Toc19234"/>
      <w:bookmarkStart w:id="504" w:name="_Toc9226"/>
      <w:bookmarkStart w:id="505" w:name="_Toc14315"/>
      <w:r>
        <w:rPr>
          <w:rFonts w:ascii="Times New Roman" w:hAnsi="Times New Roman"/>
          <w:color w:val="000000" w:themeColor="text1"/>
          <w14:textFill>
            <w14:solidFill>
              <w14:schemeClr w14:val="tx1"/>
            </w14:solidFill>
          </w14:textFill>
        </w:rPr>
        <w:t>第4章  评价单元划分及评价方法选择</w:t>
      </w:r>
      <w:bookmarkEnd w:id="503"/>
      <w:bookmarkEnd w:id="504"/>
      <w:bookmarkEnd w:id="505"/>
    </w:p>
    <w:p w14:paraId="6C3A13F4">
      <w:pPr>
        <w:pStyle w:val="4"/>
        <w:spacing w:line="360" w:lineRule="auto"/>
        <w:rPr>
          <w:rFonts w:ascii="Times New Roman" w:hAnsi="Times New Roman"/>
          <w:color w:val="000000" w:themeColor="text1"/>
          <w14:textFill>
            <w14:solidFill>
              <w14:schemeClr w14:val="tx1"/>
            </w14:solidFill>
          </w14:textFill>
        </w:rPr>
      </w:pPr>
      <w:bookmarkStart w:id="506" w:name="_Toc212043609"/>
      <w:bookmarkStart w:id="507" w:name="_Toc231978505"/>
      <w:bookmarkStart w:id="508" w:name="_Toc5393"/>
      <w:bookmarkStart w:id="509" w:name="_Toc233668306"/>
      <w:bookmarkStart w:id="510" w:name="_Toc207527407"/>
      <w:bookmarkStart w:id="511" w:name="_Toc195156252"/>
      <w:bookmarkStart w:id="512" w:name="_Toc4065"/>
      <w:bookmarkStart w:id="513" w:name="_Toc13276"/>
      <w:bookmarkStart w:id="514" w:name="_Toc213410604"/>
      <w:bookmarkStart w:id="515" w:name="_Toc30933"/>
      <w:bookmarkStart w:id="516" w:name="_Toc14224"/>
      <w:bookmarkStart w:id="517" w:name="_Toc10329"/>
      <w:bookmarkStart w:id="518" w:name="_Toc335926256"/>
      <w:bookmarkStart w:id="519" w:name="_Toc13141"/>
      <w:bookmarkStart w:id="520" w:name="_Toc313453581"/>
      <w:bookmarkStart w:id="521" w:name="_Toc32119"/>
      <w:bookmarkStart w:id="522" w:name="_Toc10765"/>
      <w:r>
        <w:rPr>
          <w:rFonts w:ascii="Times New Roman" w:hAnsi="Times New Roman"/>
          <w:color w:val="000000" w:themeColor="text1"/>
          <w14:textFill>
            <w14:solidFill>
              <w14:schemeClr w14:val="tx1"/>
            </w14:solidFill>
          </w14:textFill>
        </w:rPr>
        <w:t>4.1安全评价单元划分</w:t>
      </w:r>
      <w:bookmarkEnd w:id="506"/>
      <w:bookmarkEnd w:id="507"/>
      <w:bookmarkEnd w:id="508"/>
      <w:bookmarkEnd w:id="509"/>
      <w:bookmarkEnd w:id="510"/>
      <w:bookmarkEnd w:id="511"/>
      <w:bookmarkEnd w:id="512"/>
      <w:bookmarkEnd w:id="513"/>
      <w:bookmarkEnd w:id="514"/>
      <w:bookmarkEnd w:id="515"/>
      <w:bookmarkEnd w:id="516"/>
      <w:bookmarkEnd w:id="517"/>
    </w:p>
    <w:p w14:paraId="224207AB">
      <w:pPr>
        <w:pStyle w:val="5"/>
        <w:spacing w:line="360" w:lineRule="auto"/>
        <w:rPr>
          <w:rFonts w:ascii="Times New Roman" w:hAnsi="Times New Roman"/>
          <w:color w:val="000000" w:themeColor="text1"/>
          <w14:textFill>
            <w14:solidFill>
              <w14:schemeClr w14:val="tx1"/>
            </w14:solidFill>
          </w14:textFill>
        </w:rPr>
      </w:pPr>
      <w:bookmarkStart w:id="523" w:name="_Toc3603"/>
      <w:bookmarkStart w:id="524" w:name="_Toc30637"/>
      <w:bookmarkStart w:id="525" w:name="_Toc188863910"/>
      <w:bookmarkStart w:id="526" w:name="_Toc28570"/>
      <w:bookmarkStart w:id="527" w:name="_Toc207527408"/>
      <w:bookmarkStart w:id="528" w:name="_Toc231978506"/>
      <w:bookmarkStart w:id="529" w:name="_Toc28774"/>
      <w:bookmarkStart w:id="530" w:name="_Toc213410605"/>
      <w:bookmarkStart w:id="531" w:name="_Toc187699915"/>
      <w:bookmarkStart w:id="532" w:name="_Toc233668307"/>
      <w:bookmarkStart w:id="533" w:name="_Toc24208"/>
      <w:r>
        <w:rPr>
          <w:rFonts w:ascii="Times New Roman" w:hAnsi="Times New Roman"/>
          <w:color w:val="000000" w:themeColor="text1"/>
          <w14:textFill>
            <w14:solidFill>
              <w14:schemeClr w14:val="tx1"/>
            </w14:solidFill>
          </w14:textFill>
        </w:rPr>
        <w:t>4.1.1评价单元划分原则</w:t>
      </w:r>
      <w:bookmarkEnd w:id="523"/>
      <w:bookmarkEnd w:id="524"/>
      <w:bookmarkEnd w:id="525"/>
      <w:bookmarkEnd w:id="526"/>
      <w:bookmarkEnd w:id="527"/>
      <w:bookmarkEnd w:id="528"/>
      <w:bookmarkEnd w:id="529"/>
      <w:bookmarkEnd w:id="530"/>
      <w:bookmarkEnd w:id="531"/>
      <w:bookmarkEnd w:id="532"/>
      <w:bookmarkEnd w:id="533"/>
    </w:p>
    <w:p w14:paraId="25BB8D22">
      <w:pPr>
        <w:keepNext w:val="0"/>
        <w:keepLines w:val="0"/>
        <w:pageBreakBefore w:val="0"/>
        <w:widowControl w:val="0"/>
        <w:kinsoku/>
        <w:wordWrap/>
        <w:overflowPunct/>
        <w:topLinePunct w:val="0"/>
        <w:autoSpaceDE w:val="0"/>
        <w:autoSpaceDN w:val="0"/>
        <w:bidi w:val="0"/>
        <w:adjustRightInd w:val="0"/>
        <w:spacing w:line="500" w:lineRule="exact"/>
        <w:ind w:firstLine="560" w:firstLineChars="200"/>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lang w:val="zh-CN"/>
          <w14:textFill>
            <w14:solidFill>
              <w14:schemeClr w14:val="tx1"/>
            </w14:solidFill>
          </w14:textFill>
        </w:rPr>
        <w:t>划分评价单元是为评价目标和选用评价方法服务的，要便于评价工作的进行，有利于提高评价工作的准确性。评价单元的划分，一般将生产工艺、工艺装置、物料的特点和特性与危险、有害因素的类别、分布有机结合进行划分，还可以按评价的需要将一个评价单元再划分为若干子评价单元或更细致的单元。</w:t>
      </w:r>
    </w:p>
    <w:p w14:paraId="1924836A">
      <w:pPr>
        <w:keepNext w:val="0"/>
        <w:keepLines w:val="0"/>
        <w:pageBreakBefore w:val="0"/>
        <w:widowControl w:val="0"/>
        <w:kinsoku/>
        <w:wordWrap/>
        <w:overflowPunct/>
        <w:topLinePunct w:val="0"/>
        <w:autoSpaceDE w:val="0"/>
        <w:autoSpaceDN w:val="0"/>
        <w:bidi w:val="0"/>
        <w:adjustRightInd w:val="0"/>
        <w:spacing w:line="500" w:lineRule="exact"/>
        <w:ind w:firstLine="560" w:firstLineChars="200"/>
        <w:textAlignment w:val="auto"/>
        <w:rPr>
          <w:rFonts w:ascii="Times New Roman"/>
          <w:color w:val="000000" w:themeColor="text1"/>
          <w:sz w:val="28"/>
          <w:szCs w:val="28"/>
          <w14:textFill>
            <w14:solidFill>
              <w14:schemeClr w14:val="tx1"/>
            </w14:solidFill>
          </w14:textFill>
        </w:rPr>
      </w:pPr>
      <w:r>
        <w:rPr>
          <w:rFonts w:ascii="Times New Roman"/>
          <w:color w:val="000000" w:themeColor="text1"/>
          <w:sz w:val="28"/>
          <w:szCs w:val="28"/>
          <w:lang w:val="zh-CN"/>
          <w14:textFill>
            <w14:solidFill>
              <w14:schemeClr w14:val="tx1"/>
            </w14:solidFill>
          </w14:textFill>
        </w:rPr>
        <w:t>常用的评价单元划分原则如下：</w:t>
      </w:r>
    </w:p>
    <w:p w14:paraId="11DF3EA0">
      <w:pPr>
        <w:keepNext w:val="0"/>
        <w:keepLines w:val="0"/>
        <w:pageBreakBefore w:val="0"/>
        <w:widowControl w:val="0"/>
        <w:numPr>
          <w:ilvl w:val="0"/>
          <w:numId w:val="17"/>
        </w:numPr>
        <w:kinsoku/>
        <w:wordWrap/>
        <w:overflowPunct/>
        <w:topLinePunct w:val="0"/>
        <w:bidi w:val="0"/>
        <w:snapToGrid w:val="0"/>
        <w:spacing w:line="500" w:lineRule="exact"/>
        <w:ind w:firstLine="560" w:firstLineChars="200"/>
        <w:textAlignment w:val="auto"/>
        <w:rPr>
          <w:rFonts w:ascii="Times New Roman"/>
          <w:color w:val="000000" w:themeColor="text1"/>
          <w:sz w:val="28"/>
          <w:szCs w:val="28"/>
          <w:lang w:val="en-GB"/>
          <w14:textFill>
            <w14:solidFill>
              <w14:schemeClr w14:val="tx1"/>
            </w14:solidFill>
          </w14:textFill>
        </w:rPr>
      </w:pPr>
      <w:r>
        <w:rPr>
          <w:rFonts w:ascii="Times New Roman"/>
          <w:color w:val="000000" w:themeColor="text1"/>
          <w:sz w:val="28"/>
          <w:szCs w:val="28"/>
          <w:lang w:val="en-GB"/>
          <w14:textFill>
            <w14:solidFill>
              <w14:schemeClr w14:val="tx1"/>
            </w14:solidFill>
          </w14:textFill>
        </w:rPr>
        <w:t>按危险、有害因素的类别为主划分评价单元；</w:t>
      </w:r>
    </w:p>
    <w:p w14:paraId="125B9E04">
      <w:pPr>
        <w:keepNext w:val="0"/>
        <w:keepLines w:val="0"/>
        <w:pageBreakBefore w:val="0"/>
        <w:widowControl w:val="0"/>
        <w:numPr>
          <w:ilvl w:val="0"/>
          <w:numId w:val="17"/>
        </w:numPr>
        <w:kinsoku/>
        <w:wordWrap/>
        <w:overflowPunct/>
        <w:topLinePunct w:val="0"/>
        <w:bidi w:val="0"/>
        <w:snapToGrid w:val="0"/>
        <w:spacing w:line="500" w:lineRule="exact"/>
        <w:ind w:firstLine="560" w:firstLineChars="200"/>
        <w:textAlignment w:val="auto"/>
        <w:rPr>
          <w:rFonts w:ascii="Times New Roman"/>
          <w:color w:val="000000" w:themeColor="text1"/>
          <w:sz w:val="28"/>
          <w:szCs w:val="28"/>
          <w:lang w:val="en-GB"/>
          <w14:textFill>
            <w14:solidFill>
              <w14:schemeClr w14:val="tx1"/>
            </w14:solidFill>
          </w14:textFill>
        </w:rPr>
      </w:pPr>
      <w:r>
        <w:rPr>
          <w:rFonts w:ascii="Times New Roman"/>
          <w:color w:val="000000" w:themeColor="text1"/>
          <w:sz w:val="28"/>
          <w:szCs w:val="28"/>
          <w:lang w:val="en-GB"/>
          <w14:textFill>
            <w14:solidFill>
              <w14:schemeClr w14:val="tx1"/>
            </w14:solidFill>
          </w14:textFill>
        </w:rPr>
        <w:t>按装置和物质特征划分评价单元；</w:t>
      </w:r>
    </w:p>
    <w:p w14:paraId="4C99A748">
      <w:pPr>
        <w:keepNext w:val="0"/>
        <w:keepLines w:val="0"/>
        <w:pageBreakBefore w:val="0"/>
        <w:widowControl w:val="0"/>
        <w:numPr>
          <w:ilvl w:val="0"/>
          <w:numId w:val="17"/>
        </w:numPr>
        <w:kinsoku/>
        <w:wordWrap/>
        <w:overflowPunct/>
        <w:topLinePunct w:val="0"/>
        <w:bidi w:val="0"/>
        <w:snapToGrid w:val="0"/>
        <w:spacing w:line="500" w:lineRule="exact"/>
        <w:ind w:firstLine="560" w:firstLineChars="200"/>
        <w:textAlignment w:val="auto"/>
        <w:rPr>
          <w:rFonts w:ascii="Times New Roman"/>
          <w:color w:val="000000" w:themeColor="text1"/>
          <w:sz w:val="28"/>
          <w:szCs w:val="28"/>
          <w:lang w:val="en-GB"/>
          <w14:textFill>
            <w14:solidFill>
              <w14:schemeClr w14:val="tx1"/>
            </w14:solidFill>
          </w14:textFill>
        </w:rPr>
      </w:pPr>
      <w:r>
        <w:rPr>
          <w:rFonts w:ascii="Times New Roman"/>
          <w:color w:val="000000" w:themeColor="text1"/>
          <w:sz w:val="28"/>
          <w:szCs w:val="28"/>
          <w:lang w:val="en-GB"/>
          <w14:textFill>
            <w14:solidFill>
              <w14:schemeClr w14:val="tx1"/>
            </w14:solidFill>
          </w14:textFill>
        </w:rPr>
        <w:t>可以将安全管理、外部周边情况分别划为一个评价单元。</w:t>
      </w:r>
    </w:p>
    <w:p w14:paraId="592D1353">
      <w:pPr>
        <w:pStyle w:val="5"/>
        <w:spacing w:line="360" w:lineRule="auto"/>
        <w:rPr>
          <w:rFonts w:hint="eastAsia" w:ascii="Times New Roman" w:hAnsi="Times New Roman" w:eastAsia="黑体"/>
          <w:color w:val="000000" w:themeColor="text1"/>
          <w:lang w:eastAsia="zh-CN"/>
          <w14:textFill>
            <w14:solidFill>
              <w14:schemeClr w14:val="tx1"/>
            </w14:solidFill>
          </w14:textFill>
        </w:rPr>
      </w:pPr>
      <w:bookmarkStart w:id="534" w:name="_Toc213410606"/>
      <w:bookmarkStart w:id="535" w:name="_Toc18863"/>
      <w:bookmarkStart w:id="536" w:name="_Toc5948"/>
      <w:bookmarkStart w:id="537" w:name="_Toc207527409"/>
      <w:bookmarkStart w:id="538" w:name="_Toc195156254"/>
      <w:bookmarkStart w:id="539" w:name="_Toc23004"/>
      <w:bookmarkStart w:id="540" w:name="_Toc211837018"/>
      <w:bookmarkStart w:id="541" w:name="_Toc233668308"/>
      <w:bookmarkStart w:id="542" w:name="_Toc16596"/>
      <w:bookmarkStart w:id="543" w:name="_Toc231978507"/>
      <w:bookmarkStart w:id="544" w:name="_Toc27669"/>
      <w:bookmarkStart w:id="545" w:name="_Toc187699916"/>
      <w:bookmarkStart w:id="546" w:name="_Toc188863911"/>
      <w:r>
        <w:rPr>
          <w:rFonts w:ascii="Times New Roman" w:hAnsi="Times New Roman"/>
          <w:color w:val="000000" w:themeColor="text1"/>
          <w14:textFill>
            <w14:solidFill>
              <w14:schemeClr w14:val="tx1"/>
            </w14:solidFill>
          </w14:textFill>
        </w:rPr>
        <w:t>4.1.2评价单元划分</w:t>
      </w:r>
      <w:bookmarkEnd w:id="534"/>
      <w:bookmarkEnd w:id="535"/>
      <w:bookmarkEnd w:id="536"/>
      <w:bookmarkEnd w:id="537"/>
      <w:bookmarkEnd w:id="538"/>
      <w:bookmarkEnd w:id="539"/>
      <w:bookmarkEnd w:id="540"/>
      <w:bookmarkEnd w:id="541"/>
      <w:bookmarkEnd w:id="542"/>
      <w:bookmarkEnd w:id="543"/>
      <w:r>
        <w:rPr>
          <w:rFonts w:hint="eastAsia" w:ascii="Times New Roman" w:hAnsi="Times New Roman"/>
          <w:color w:val="000000" w:themeColor="text1"/>
          <w:lang w:val="en-US" w:eastAsia="zh-CN"/>
          <w14:textFill>
            <w14:solidFill>
              <w14:schemeClr w14:val="tx1"/>
            </w14:solidFill>
          </w14:textFill>
        </w:rPr>
        <w:t>方法</w:t>
      </w:r>
      <w:bookmarkEnd w:id="544"/>
    </w:p>
    <w:bookmarkEnd w:id="545"/>
    <w:bookmarkEnd w:id="546"/>
    <w:p w14:paraId="30F9BE9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划分评价单元的方法主要有两类，一是以危险、有害因素的类别为主来划分；二是以生产工艺装置或场所为主来划分。常用的评价单元划分方法有：</w:t>
      </w:r>
    </w:p>
    <w:p w14:paraId="2A928C04">
      <w:pPr>
        <w:keepNext w:val="0"/>
        <w:keepLines w:val="0"/>
        <w:pageBreakBefore w:val="0"/>
        <w:widowControl w:val="0"/>
        <w:numPr>
          <w:ilvl w:val="0"/>
          <w:numId w:val="18"/>
        </w:numPr>
        <w:tabs>
          <w:tab w:val="left" w:pos="0"/>
        </w:tabs>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以危险、有害因素的类别为主划分评价单元。</w:t>
      </w:r>
    </w:p>
    <w:p w14:paraId="07ADB23F">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（1）对工艺方案、总体布置及自然条件、环境对系统影响等综合方面的危险、有害因素的分析和评价，可将整个系统作为一个评价单元；</w:t>
      </w:r>
    </w:p>
    <w:p w14:paraId="1EA00A8C">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（2）将具有共性危险因素、有害因素的场所和装置划为一个单元。</w:t>
      </w:r>
    </w:p>
    <w:p w14:paraId="2FC25DD2">
      <w:pPr>
        <w:keepNext w:val="0"/>
        <w:keepLines w:val="0"/>
        <w:pageBreakBefore w:val="0"/>
        <w:widowControl w:val="0"/>
        <w:numPr>
          <w:ilvl w:val="0"/>
          <w:numId w:val="18"/>
        </w:numPr>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以装置和物质特征划分评价单元。</w:t>
      </w:r>
    </w:p>
    <w:p w14:paraId="7F4BD19D">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（1）按装置工艺功能划分；</w:t>
      </w:r>
    </w:p>
    <w:p w14:paraId="372600F9">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（2）按布置的相对独立性划分；</w:t>
      </w:r>
    </w:p>
    <w:p w14:paraId="2629080F">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（3）按工艺条件划分评价单元；</w:t>
      </w:r>
    </w:p>
    <w:p w14:paraId="6581B3FF">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（4）按贮存、处理危险物品的潜在化学能、毒性和危险物品的数量划分评价单元；</w:t>
      </w:r>
    </w:p>
    <w:p w14:paraId="17793DA2">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（5）根据以往事故资料，将发生事故能导致停产、波及范围大、造成巨大损失和伤害的关键设备作为一个单元；</w:t>
      </w:r>
    </w:p>
    <w:p w14:paraId="7FE1423F">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（6）将危险性大且资金密度大的区域作为一个评价单元；</w:t>
      </w:r>
    </w:p>
    <w:p w14:paraId="206CA036">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（7）将危险性特别大的区域、装置作为一个评价单元；</w:t>
      </w:r>
    </w:p>
    <w:p w14:paraId="3057A79C">
      <w:pPr>
        <w:keepNext w:val="0"/>
        <w:keepLines w:val="0"/>
        <w:pageBreakBefore w:val="0"/>
        <w:widowControl w:val="0"/>
        <w:tabs>
          <w:tab w:val="left" w:pos="0"/>
        </w:tabs>
        <w:kinsoku/>
        <w:wordWrap/>
        <w:overflowPunct/>
        <w:topLinePunct w:val="0"/>
        <w:autoSpaceDE/>
        <w:autoSpaceDN/>
        <w:bidi w:val="0"/>
        <w:adjustRightInd/>
        <w:snapToGrid/>
        <w:spacing w:line="500" w:lineRule="exact"/>
        <w:ind w:firstLine="560" w:firstLineChars="200"/>
        <w:textAlignment w:val="auto"/>
        <w:rPr>
          <w:rFonts w:ascii="Times New Roman"/>
          <w:color w:val="000000" w:themeColor="text1"/>
          <w:sz w:val="28"/>
          <w:szCs w:val="28"/>
          <w:lang w:val="en-GB"/>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（8）将具有类</w:t>
      </w:r>
      <w:r>
        <w:rPr>
          <w:color w:val="000000" w:themeColor="text1"/>
          <w:sz w:val="28"/>
          <w:szCs w:val="28"/>
          <w14:textFill>
            <w14:solidFill>
              <w14:schemeClr w14:val="tx1"/>
            </w14:solidFill>
          </w14:textFill>
        </w:rPr>
        <w:t>似危险性潜能的单元合并为一个大单元。</w:t>
      </w:r>
    </w:p>
    <w:p w14:paraId="6A797AD3">
      <w:pPr>
        <w:pStyle w:val="4"/>
        <w:spacing w:line="360" w:lineRule="auto"/>
        <w:rPr>
          <w:rFonts w:ascii="Times New Roman" w:hAnsi="Times New Roman"/>
          <w:color w:val="000000" w:themeColor="text1"/>
          <w14:textFill>
            <w14:solidFill>
              <w14:schemeClr w14:val="tx1"/>
            </w14:solidFill>
          </w14:textFill>
        </w:rPr>
      </w:pPr>
      <w:bookmarkStart w:id="547" w:name="_Toc7928"/>
      <w:r>
        <w:rPr>
          <w:rFonts w:ascii="Times New Roman" w:hAnsi="Times New Roman"/>
          <w:color w:val="000000" w:themeColor="text1"/>
          <w14:textFill>
            <w14:solidFill>
              <w14:schemeClr w14:val="tx1"/>
            </w14:solidFill>
          </w14:textFill>
        </w:rPr>
        <w:t>4.2评价单元划分</w:t>
      </w:r>
      <w:bookmarkEnd w:id="518"/>
      <w:bookmarkEnd w:id="519"/>
      <w:bookmarkEnd w:id="520"/>
      <w:bookmarkEnd w:id="521"/>
      <w:bookmarkEnd w:id="522"/>
      <w:bookmarkEnd w:id="547"/>
    </w:p>
    <w:p w14:paraId="2F7835A5">
      <w:pPr>
        <w:adjustRightInd w:val="0"/>
        <w:snapToGrid w:val="0"/>
        <w:spacing w:line="500" w:lineRule="exact"/>
        <w:ind w:firstLine="560" w:firstLineChars="200"/>
        <w:rPr>
          <w:rFonts w:ascii="宋体" w:hAnsi="宋体" w:cs="宋体"/>
          <w:snapToGrid w:val="0"/>
          <w:color w:val="000000" w:themeColor="text1"/>
          <w:kern w:val="0"/>
          <w:sz w:val="28"/>
          <w14:textFill>
            <w14:solidFill>
              <w14:schemeClr w14:val="tx1"/>
            </w14:solidFill>
          </w14:textFill>
        </w:rPr>
      </w:pPr>
      <w:bookmarkStart w:id="548" w:name="_Toc313453582"/>
      <w:bookmarkStart w:id="549" w:name="_Toc191799968"/>
      <w:bookmarkStart w:id="550" w:name="_Toc11884"/>
      <w:bookmarkStart w:id="551" w:name="_Toc335926257"/>
      <w:r>
        <w:rPr>
          <w:rFonts w:ascii="宋体" w:hAnsi="宋体"/>
          <w:snapToGrid w:val="0"/>
          <w:color w:val="000000" w:themeColor="text1"/>
          <w:kern w:val="0"/>
          <w:sz w:val="28"/>
          <w14:textFill>
            <w14:solidFill>
              <w14:schemeClr w14:val="tx1"/>
            </w14:solidFill>
          </w14:textFill>
        </w:rPr>
        <w:t>根据上述安全评价</w:t>
      </w:r>
      <w:r>
        <w:rPr>
          <w:rFonts w:hint="eastAsia" w:ascii="宋体" w:hAnsi="宋体" w:cs="宋体"/>
          <w:snapToGrid w:val="0"/>
          <w:color w:val="000000" w:themeColor="text1"/>
          <w:kern w:val="0"/>
          <w:sz w:val="28"/>
          <w14:textFill>
            <w14:solidFill>
              <w14:schemeClr w14:val="tx1"/>
            </w14:solidFill>
          </w14:textFill>
        </w:rPr>
        <w:t>单元的划分原则和企业生产实际情况，分为5个评价单元，进行分析评价。评价单元划分如下：</w:t>
      </w:r>
    </w:p>
    <w:p w14:paraId="59C82C53">
      <w:pPr>
        <w:adjustRightInd w:val="0"/>
        <w:snapToGrid w:val="0"/>
        <w:spacing w:line="500" w:lineRule="exact"/>
        <w:ind w:firstLine="560" w:firstLineChars="200"/>
        <w:rPr>
          <w:rFonts w:ascii="宋体" w:hAnsi="宋体"/>
          <w:snapToGrid w:val="0"/>
          <w:color w:val="000000" w:themeColor="text1"/>
          <w:kern w:val="0"/>
          <w:sz w:val="28"/>
          <w14:textFill>
            <w14:solidFill>
              <w14:schemeClr w14:val="tx1"/>
            </w14:solidFill>
          </w14:textFill>
        </w:rPr>
      </w:pPr>
      <w:r>
        <w:rPr>
          <w:rFonts w:hint="eastAsia" w:ascii="宋体" w:hAnsi="宋体"/>
          <w:snapToGrid w:val="0"/>
          <w:color w:val="000000" w:themeColor="text1"/>
          <w:kern w:val="0"/>
          <w:sz w:val="28"/>
          <w14:textFill>
            <w14:solidFill>
              <w14:schemeClr w14:val="tx1"/>
            </w14:solidFill>
          </w14:textFill>
        </w:rPr>
        <w:t>1.厂址及总平面布置评价单元；</w:t>
      </w:r>
    </w:p>
    <w:p w14:paraId="31CDC117">
      <w:pPr>
        <w:adjustRightInd w:val="0"/>
        <w:snapToGrid w:val="0"/>
        <w:spacing w:line="500" w:lineRule="exact"/>
        <w:ind w:firstLine="560" w:firstLineChars="200"/>
        <w:rPr>
          <w:rFonts w:ascii="宋体" w:hAnsi="宋体"/>
          <w:snapToGrid w:val="0"/>
          <w:color w:val="000000" w:themeColor="text1"/>
          <w:kern w:val="0"/>
          <w:sz w:val="28"/>
          <w14:textFill>
            <w14:solidFill>
              <w14:schemeClr w14:val="tx1"/>
            </w14:solidFill>
          </w14:textFill>
        </w:rPr>
      </w:pPr>
      <w:r>
        <w:rPr>
          <w:rFonts w:hint="eastAsia" w:ascii="宋体" w:hAnsi="宋体"/>
          <w:snapToGrid w:val="0"/>
          <w:color w:val="000000" w:themeColor="text1"/>
          <w:kern w:val="0"/>
          <w:sz w:val="28"/>
          <w14:textFill>
            <w14:solidFill>
              <w14:schemeClr w14:val="tx1"/>
            </w14:solidFill>
          </w14:textFill>
        </w:rPr>
        <w:t>2.生产工艺</w:t>
      </w:r>
      <w:r>
        <w:rPr>
          <w:rFonts w:hint="eastAsia" w:hAnsi="宋体"/>
          <w:snapToGrid w:val="0"/>
          <w:color w:val="000000" w:themeColor="text1"/>
          <w:kern w:val="0"/>
          <w:sz w:val="28"/>
          <w:lang w:val="en-US" w:eastAsia="zh-CN"/>
          <w14:textFill>
            <w14:solidFill>
              <w14:schemeClr w14:val="tx1"/>
            </w14:solidFill>
          </w14:textFill>
        </w:rPr>
        <w:t>及设施</w:t>
      </w:r>
      <w:r>
        <w:rPr>
          <w:rFonts w:hint="eastAsia" w:ascii="宋体" w:hAnsi="宋体"/>
          <w:snapToGrid w:val="0"/>
          <w:color w:val="000000" w:themeColor="text1"/>
          <w:kern w:val="0"/>
          <w:sz w:val="28"/>
          <w14:textFill>
            <w14:solidFill>
              <w14:schemeClr w14:val="tx1"/>
            </w14:solidFill>
          </w14:textFill>
        </w:rPr>
        <w:t>评价单元；</w:t>
      </w:r>
    </w:p>
    <w:p w14:paraId="4E073357">
      <w:pPr>
        <w:adjustRightInd w:val="0"/>
        <w:snapToGrid w:val="0"/>
        <w:spacing w:line="500" w:lineRule="exact"/>
        <w:ind w:firstLine="560" w:firstLineChars="200"/>
        <w:rPr>
          <w:rFonts w:hint="eastAsia" w:ascii="宋体" w:hAnsi="宋体" w:eastAsia="宋体" w:cs="Times New Roman"/>
          <w:snapToGrid w:val="0"/>
          <w:color w:val="000000" w:themeColor="text1"/>
          <w:kern w:val="0"/>
          <w:sz w:val="28"/>
          <w14:textFill>
            <w14:solidFill>
              <w14:schemeClr w14:val="tx1"/>
            </w14:solidFill>
          </w14:textFill>
        </w:rPr>
      </w:pPr>
      <w:r>
        <w:rPr>
          <w:rFonts w:hint="eastAsia" w:ascii="宋体" w:hAnsi="宋体" w:eastAsia="宋体" w:cs="Times New Roman"/>
          <w:snapToGrid w:val="0"/>
          <w:color w:val="000000" w:themeColor="text1"/>
          <w:kern w:val="0"/>
          <w:sz w:val="28"/>
          <w14:textFill>
            <w14:solidFill>
              <w14:schemeClr w14:val="tx1"/>
            </w14:solidFill>
          </w14:textFill>
        </w:rPr>
        <w:t>3.常规防护设施单元；</w:t>
      </w:r>
    </w:p>
    <w:p w14:paraId="6833118B">
      <w:pPr>
        <w:adjustRightInd w:val="0"/>
        <w:snapToGrid w:val="0"/>
        <w:spacing w:line="500" w:lineRule="exact"/>
        <w:ind w:firstLine="560" w:firstLineChars="200"/>
        <w:rPr>
          <w:rFonts w:ascii="宋体" w:hAnsi="宋体"/>
          <w:snapToGrid w:val="0"/>
          <w:color w:val="000000" w:themeColor="text1"/>
          <w:kern w:val="0"/>
          <w:sz w:val="28"/>
          <w14:textFill>
            <w14:solidFill>
              <w14:schemeClr w14:val="tx1"/>
            </w14:solidFill>
          </w14:textFill>
        </w:rPr>
      </w:pPr>
      <w:r>
        <w:rPr>
          <w:rFonts w:hint="eastAsia" w:ascii="宋体" w:hAnsi="宋体"/>
          <w:snapToGrid w:val="0"/>
          <w:color w:val="000000" w:themeColor="text1"/>
          <w:kern w:val="0"/>
          <w:sz w:val="28"/>
          <w14:textFill>
            <w14:solidFill>
              <w14:schemeClr w14:val="tx1"/>
            </w14:solidFill>
          </w14:textFill>
        </w:rPr>
        <w:t>4.公用辅助设施评价单元；</w:t>
      </w:r>
    </w:p>
    <w:p w14:paraId="140E57D1">
      <w:pPr>
        <w:adjustRightInd w:val="0"/>
        <w:snapToGrid w:val="0"/>
        <w:spacing w:line="500" w:lineRule="exact"/>
        <w:ind w:firstLine="560" w:firstLineChars="200"/>
        <w:rPr>
          <w:rFonts w:hint="eastAsia" w:ascii="宋体" w:hAnsi="宋体" w:eastAsia="宋体"/>
          <w:snapToGrid w:val="0"/>
          <w:color w:val="000000" w:themeColor="text1"/>
          <w:kern w:val="0"/>
          <w:sz w:val="28"/>
          <w:lang w:eastAsia="zh-CN"/>
          <w14:textFill>
            <w14:solidFill>
              <w14:schemeClr w14:val="tx1"/>
            </w14:solidFill>
          </w14:textFill>
        </w:rPr>
      </w:pPr>
      <w:r>
        <w:rPr>
          <w:rFonts w:hint="eastAsia" w:ascii="宋体" w:hAnsi="宋体"/>
          <w:snapToGrid w:val="0"/>
          <w:color w:val="000000" w:themeColor="text1"/>
          <w:kern w:val="0"/>
          <w:sz w:val="28"/>
          <w14:textFill>
            <w14:solidFill>
              <w14:schemeClr w14:val="tx1"/>
            </w14:solidFill>
          </w14:textFill>
        </w:rPr>
        <w:t>5.安全生产管理评价单元</w:t>
      </w:r>
      <w:r>
        <w:rPr>
          <w:rFonts w:hint="eastAsia" w:hAnsi="宋体"/>
          <w:snapToGrid w:val="0"/>
          <w:color w:val="000000" w:themeColor="text1"/>
          <w:kern w:val="0"/>
          <w:sz w:val="28"/>
          <w:lang w:eastAsia="zh-CN"/>
          <w14:textFill>
            <w14:solidFill>
              <w14:schemeClr w14:val="tx1"/>
            </w14:solidFill>
          </w14:textFill>
        </w:rPr>
        <w:t>；</w:t>
      </w:r>
    </w:p>
    <w:p w14:paraId="756AD0F8">
      <w:pPr>
        <w:adjustRightInd w:val="0"/>
        <w:snapToGrid w:val="0"/>
        <w:spacing w:line="500" w:lineRule="exact"/>
        <w:ind w:firstLine="560" w:firstLineChars="200"/>
        <w:rPr>
          <w:rFonts w:hint="eastAsia" w:ascii="宋体" w:hAnsi="宋体" w:eastAsia="宋体"/>
          <w:snapToGrid w:val="0"/>
          <w:color w:val="000000" w:themeColor="text1"/>
          <w:kern w:val="0"/>
          <w:sz w:val="28"/>
          <w:lang w:eastAsia="zh-CN"/>
          <w14:textFill>
            <w14:solidFill>
              <w14:schemeClr w14:val="tx1"/>
            </w14:solidFill>
          </w14:textFill>
        </w:rPr>
      </w:pPr>
      <w:r>
        <w:rPr>
          <w:rFonts w:hint="eastAsia" w:ascii="宋体" w:hAnsi="宋体"/>
          <w:snapToGrid w:val="0"/>
          <w:color w:val="000000" w:themeColor="text1"/>
          <w:kern w:val="0"/>
          <w:sz w:val="28"/>
          <w14:textFill>
            <w14:solidFill>
              <w14:schemeClr w14:val="tx1"/>
            </w14:solidFill>
          </w14:textFill>
        </w:rPr>
        <w:t>6.重大生产安全事故隐患检查单元</w:t>
      </w:r>
      <w:r>
        <w:rPr>
          <w:rFonts w:hint="eastAsia" w:hAnsi="宋体"/>
          <w:snapToGrid w:val="0"/>
          <w:color w:val="000000" w:themeColor="text1"/>
          <w:kern w:val="0"/>
          <w:sz w:val="28"/>
          <w:lang w:eastAsia="zh-CN"/>
          <w14:textFill>
            <w14:solidFill>
              <w14:schemeClr w14:val="tx1"/>
            </w14:solidFill>
          </w14:textFill>
        </w:rPr>
        <w:t>：</w:t>
      </w:r>
    </w:p>
    <w:p w14:paraId="59F239DF">
      <w:pPr>
        <w:adjustRightInd w:val="0"/>
        <w:snapToGrid w:val="0"/>
        <w:spacing w:line="500" w:lineRule="exact"/>
        <w:ind w:firstLine="560" w:firstLineChars="200"/>
        <w:rPr>
          <w:rFonts w:ascii="Times New Roman"/>
          <w:color w:val="000000" w:themeColor="text1"/>
          <w:sz w:val="28"/>
          <w:szCs w:val="28"/>
          <w:lang w:val="en-GB"/>
          <w14:textFill>
            <w14:solidFill>
              <w14:schemeClr w14:val="tx1"/>
            </w14:solidFill>
          </w14:textFill>
        </w:rPr>
      </w:pPr>
      <w:r>
        <w:rPr>
          <w:rFonts w:hint="eastAsia" w:hAnsi="宋体"/>
          <w:snapToGrid w:val="0"/>
          <w:color w:val="000000" w:themeColor="text1"/>
          <w:kern w:val="0"/>
          <w:sz w:val="28"/>
          <w:lang w:val="en-US" w:eastAsia="zh-CN"/>
          <w14:textFill>
            <w14:solidFill>
              <w14:schemeClr w14:val="tx1"/>
            </w14:solidFill>
          </w14:textFill>
        </w:rPr>
        <w:t>7.有限空间作业评价单元</w:t>
      </w:r>
      <w:r>
        <w:rPr>
          <w:rFonts w:hint="eastAsia" w:ascii="宋体" w:hAnsi="宋体"/>
          <w:snapToGrid w:val="0"/>
          <w:color w:val="000000" w:themeColor="text1"/>
          <w:kern w:val="0"/>
          <w:sz w:val="28"/>
          <w14:textFill>
            <w14:solidFill>
              <w14:schemeClr w14:val="tx1"/>
            </w14:solidFill>
          </w14:textFill>
        </w:rPr>
        <w:t>。</w:t>
      </w:r>
    </w:p>
    <w:p w14:paraId="45CDB96B">
      <w:pPr>
        <w:pStyle w:val="4"/>
        <w:spacing w:line="360" w:lineRule="auto"/>
        <w:rPr>
          <w:rFonts w:ascii="Times New Roman" w:hAnsi="Times New Roman"/>
          <w:color w:val="000000" w:themeColor="text1"/>
          <w14:textFill>
            <w14:solidFill>
              <w14:schemeClr w14:val="tx1"/>
            </w14:solidFill>
          </w14:textFill>
        </w:rPr>
      </w:pPr>
      <w:bookmarkStart w:id="552" w:name="_Toc211837019"/>
      <w:bookmarkStart w:id="553" w:name="_Toc21719"/>
      <w:bookmarkStart w:id="554" w:name="_Toc231978508"/>
      <w:bookmarkStart w:id="555" w:name="_Toc20853"/>
      <w:bookmarkStart w:id="556" w:name="_Toc211501735"/>
      <w:bookmarkStart w:id="557" w:name="_Toc24593"/>
      <w:bookmarkStart w:id="558" w:name="_Toc207527411"/>
      <w:bookmarkStart w:id="559" w:name="_Toc195156256"/>
      <w:bookmarkStart w:id="560" w:name="_Toc30651"/>
      <w:bookmarkStart w:id="561" w:name="_Toc213410607"/>
      <w:bookmarkStart w:id="562" w:name="_Toc233668309"/>
      <w:bookmarkStart w:id="563" w:name="_Toc26599"/>
      <w:bookmarkStart w:id="564" w:name="_Toc28715"/>
      <w:r>
        <w:rPr>
          <w:rFonts w:ascii="Times New Roman" w:hAnsi="Times New Roman"/>
          <w:color w:val="000000" w:themeColor="text1"/>
          <w14:textFill>
            <w14:solidFill>
              <w14:schemeClr w14:val="tx1"/>
            </w14:solidFill>
          </w14:textFill>
        </w:rPr>
        <w:t>4.3评价方法</w:t>
      </w:r>
      <w:bookmarkEnd w:id="552"/>
      <w:bookmarkEnd w:id="553"/>
      <w:bookmarkEnd w:id="554"/>
      <w:bookmarkEnd w:id="555"/>
      <w:bookmarkEnd w:id="556"/>
      <w:bookmarkEnd w:id="557"/>
      <w:bookmarkEnd w:id="558"/>
      <w:bookmarkEnd w:id="559"/>
      <w:bookmarkEnd w:id="560"/>
      <w:bookmarkEnd w:id="561"/>
      <w:bookmarkEnd w:id="562"/>
      <w:bookmarkEnd w:id="563"/>
      <w:r>
        <w:rPr>
          <w:rFonts w:ascii="Times New Roman" w:hAnsi="Times New Roman"/>
          <w:color w:val="000000" w:themeColor="text1"/>
          <w14:textFill>
            <w14:solidFill>
              <w14:schemeClr w14:val="tx1"/>
            </w14:solidFill>
          </w14:textFill>
        </w:rPr>
        <w:t>的确定</w:t>
      </w:r>
      <w:bookmarkEnd w:id="564"/>
    </w:p>
    <w:p w14:paraId="7C8362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根据评价方法选取应遵循充分性、适应性、系统性、针对性和合理性的原则，结合该建设项目的特点，本报告选用安全检查法（SR）、安全检查表（SCA）、事故树分析法、作业条件危险性分析法等4种安全评价方法对该工程项目危险、有害因素及危险、有害程度进行分析评价。</w:t>
      </w:r>
    </w:p>
    <w:p w14:paraId="5F0AA79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GB"/>
          <w14:textFill>
            <w14:solidFill>
              <w14:schemeClr w14:val="tx1"/>
            </w14:solidFill>
          </w14:textFill>
        </w:rPr>
      </w:pPr>
      <w:r>
        <w:rPr>
          <w:rFonts w:hint="eastAsia" w:ascii="宋体" w:hAnsi="宋体" w:eastAsia="宋体" w:cs="宋体"/>
          <w:color w:val="000000" w:themeColor="text1"/>
          <w:sz w:val="28"/>
          <w:szCs w:val="28"/>
          <w:lang w:val="en-GB"/>
          <w14:textFill>
            <w14:solidFill>
              <w14:schemeClr w14:val="tx1"/>
            </w14:solidFill>
          </w14:textFill>
        </w:rPr>
        <w:t>本项目各单元选择的评价方法及选择理由见表4-1。</w:t>
      </w:r>
    </w:p>
    <w:p w14:paraId="30E92BDA">
      <w:pPr>
        <w:numPr>
          <w:ilvl w:val="0"/>
          <w:numId w:val="19"/>
        </w:numPr>
        <w:adjustRightInd w:val="0"/>
        <w:snapToGrid w:val="0"/>
        <w:ind w:firstLineChars="0"/>
        <w:jc w:val="center"/>
        <w:rPr>
          <w:rFonts w:ascii="宋体" w:hAnsi="宋体"/>
          <w:b/>
          <w:bCs w:val="0"/>
          <w:color w:val="000000" w:themeColor="text1"/>
          <w:sz w:val="24"/>
          <w:szCs w:val="24"/>
          <w14:textFill>
            <w14:solidFill>
              <w14:schemeClr w14:val="tx1"/>
            </w14:solidFill>
          </w14:textFill>
        </w:rPr>
      </w:pPr>
      <w:r>
        <w:rPr>
          <w:rFonts w:ascii="宋体" w:hAnsi="宋体"/>
          <w:b/>
          <w:bCs w:val="0"/>
          <w:color w:val="000000" w:themeColor="text1"/>
          <w:sz w:val="24"/>
          <w:szCs w:val="24"/>
          <w14:textFill>
            <w14:solidFill>
              <w14:schemeClr w14:val="tx1"/>
            </w14:solidFill>
          </w14:textFill>
        </w:rPr>
        <w:t>评价方法选择一览表</w:t>
      </w:r>
    </w:p>
    <w:tbl>
      <w:tblPr>
        <w:tblStyle w:val="53"/>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671"/>
        <w:gridCol w:w="1228"/>
        <w:gridCol w:w="1635"/>
        <w:gridCol w:w="4462"/>
      </w:tblGrid>
      <w:tr w14:paraId="0E3D4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42" w:type="dxa"/>
            <w:vAlign w:val="center"/>
          </w:tcPr>
          <w:p w14:paraId="4465BB08">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1899" w:type="dxa"/>
            <w:gridSpan w:val="2"/>
            <w:vAlign w:val="center"/>
          </w:tcPr>
          <w:p w14:paraId="39ADC47A">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评价单元</w:t>
            </w:r>
          </w:p>
        </w:tc>
        <w:tc>
          <w:tcPr>
            <w:tcW w:w="1635" w:type="dxa"/>
            <w:vAlign w:val="center"/>
          </w:tcPr>
          <w:p w14:paraId="6FF3D200">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评价方法选择</w:t>
            </w:r>
          </w:p>
        </w:tc>
        <w:tc>
          <w:tcPr>
            <w:tcW w:w="4462" w:type="dxa"/>
            <w:vAlign w:val="center"/>
          </w:tcPr>
          <w:p w14:paraId="05B9E324">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选择理由</w:t>
            </w:r>
          </w:p>
        </w:tc>
      </w:tr>
      <w:tr w14:paraId="6857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Align w:val="center"/>
          </w:tcPr>
          <w:p w14:paraId="14EA34B8">
            <w:pPr>
              <w:numPr>
                <w:ilvl w:val="0"/>
                <w:numId w:val="2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1899" w:type="dxa"/>
            <w:gridSpan w:val="2"/>
            <w:vAlign w:val="center"/>
          </w:tcPr>
          <w:p w14:paraId="7B5DA798">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厂址及</w:t>
            </w:r>
            <w:r>
              <w:rPr>
                <w:rFonts w:hint="eastAsia" w:ascii="宋体" w:hAnsi="宋体" w:eastAsia="宋体" w:cs="宋体"/>
                <w:snapToGrid w:val="0"/>
                <w:color w:val="000000" w:themeColor="text1"/>
                <w:kern w:val="0"/>
                <w:sz w:val="21"/>
                <w:szCs w:val="21"/>
                <w14:textFill>
                  <w14:solidFill>
                    <w14:schemeClr w14:val="tx1"/>
                  </w14:solidFill>
                </w14:textFill>
              </w:rPr>
              <w:t>总平面布置评价单元</w:t>
            </w:r>
          </w:p>
        </w:tc>
        <w:tc>
          <w:tcPr>
            <w:tcW w:w="1635" w:type="dxa"/>
            <w:vAlign w:val="center"/>
          </w:tcPr>
          <w:p w14:paraId="165B4F27">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安全检查表法</w:t>
            </w:r>
          </w:p>
        </w:tc>
        <w:tc>
          <w:tcPr>
            <w:tcW w:w="4462" w:type="dxa"/>
            <w:vAlign w:val="center"/>
          </w:tcPr>
          <w:p w14:paraId="25443BAC">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依据有关法规、标准在检查表中列出了检查要求，使检查工作标准化、规范化。验证项目</w:t>
            </w:r>
            <w:r>
              <w:rPr>
                <w:rFonts w:hint="eastAsia" w:ascii="宋体" w:hAnsi="宋体" w:eastAsia="宋体" w:cs="宋体"/>
                <w:snapToGrid w:val="0"/>
                <w:color w:val="000000" w:themeColor="text1"/>
                <w:kern w:val="0"/>
                <w:sz w:val="21"/>
                <w:szCs w:val="21"/>
                <w14:textFill>
                  <w14:solidFill>
                    <w14:schemeClr w14:val="tx1"/>
                  </w14:solidFill>
                </w14:textFill>
              </w:rPr>
              <w:t>厂址和总平面布置</w:t>
            </w:r>
            <w:r>
              <w:rPr>
                <w:rFonts w:hint="eastAsia" w:ascii="宋体" w:hAnsi="宋体" w:eastAsia="宋体" w:cs="宋体"/>
                <w:color w:val="000000" w:themeColor="text1"/>
                <w:sz w:val="21"/>
                <w:szCs w:val="21"/>
                <w14:textFill>
                  <w14:solidFill>
                    <w14:schemeClr w14:val="tx1"/>
                  </w14:solidFill>
                </w14:textFill>
              </w:rPr>
              <w:t>与国家法律法规、标准规范的符合性。</w:t>
            </w:r>
          </w:p>
        </w:tc>
      </w:tr>
      <w:tr w14:paraId="0F621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shd w:val="clear" w:color="auto" w:fill="auto"/>
            <w:vAlign w:val="center"/>
          </w:tcPr>
          <w:p w14:paraId="708AEAE1">
            <w:pPr>
              <w:numPr>
                <w:ilvl w:val="0"/>
                <w:numId w:val="2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1899" w:type="dxa"/>
            <w:gridSpan w:val="2"/>
            <w:shd w:val="clear" w:color="auto" w:fill="auto"/>
            <w:vAlign w:val="center"/>
          </w:tcPr>
          <w:p w14:paraId="63AE001A">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生产工艺</w:t>
            </w:r>
            <w:r>
              <w:rPr>
                <w:rFonts w:hint="eastAsia" w:hAnsi="宋体" w:cs="宋体"/>
                <w:snapToGrid w:val="0"/>
                <w:color w:val="000000" w:themeColor="text1"/>
                <w:kern w:val="0"/>
                <w:sz w:val="21"/>
                <w:szCs w:val="21"/>
                <w:lang w:val="en-US" w:eastAsia="zh-CN"/>
                <w14:textFill>
                  <w14:solidFill>
                    <w14:schemeClr w14:val="tx1"/>
                  </w14:solidFill>
                </w14:textFill>
              </w:rPr>
              <w:t>及设施</w:t>
            </w:r>
            <w:r>
              <w:rPr>
                <w:rFonts w:hint="eastAsia" w:ascii="宋体" w:hAnsi="宋体" w:eastAsia="宋体" w:cs="宋体"/>
                <w:snapToGrid w:val="0"/>
                <w:color w:val="000000" w:themeColor="text1"/>
                <w:kern w:val="0"/>
                <w:sz w:val="21"/>
                <w:szCs w:val="21"/>
                <w14:textFill>
                  <w14:solidFill>
                    <w14:schemeClr w14:val="tx1"/>
                  </w14:solidFill>
                </w14:textFill>
              </w:rPr>
              <w:t>评价单元</w:t>
            </w:r>
          </w:p>
        </w:tc>
        <w:tc>
          <w:tcPr>
            <w:tcW w:w="1635" w:type="dxa"/>
            <w:shd w:val="clear" w:color="auto" w:fill="auto"/>
            <w:vAlign w:val="center"/>
          </w:tcPr>
          <w:p w14:paraId="310E4101">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安全检查表法</w:t>
            </w:r>
          </w:p>
        </w:tc>
        <w:tc>
          <w:tcPr>
            <w:tcW w:w="4462" w:type="dxa"/>
            <w:shd w:val="clear" w:color="auto" w:fill="auto"/>
            <w:vAlign w:val="center"/>
          </w:tcPr>
          <w:p w14:paraId="079534D1">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依据有关法规、标准在检查表中列出了检查要求，使检查工作标准化、规范化。验证</w:t>
            </w:r>
            <w:r>
              <w:rPr>
                <w:rFonts w:hint="eastAsia" w:ascii="宋体" w:hAnsi="宋体" w:eastAsia="宋体" w:cs="宋体"/>
                <w:snapToGrid w:val="0"/>
                <w:color w:val="000000" w:themeColor="text1"/>
                <w:kern w:val="0"/>
                <w:sz w:val="21"/>
                <w:szCs w:val="21"/>
                <w14:textFill>
                  <w14:solidFill>
                    <w14:schemeClr w14:val="tx1"/>
                  </w14:solidFill>
                </w14:textFill>
              </w:rPr>
              <w:t>生产工艺及设施设置情况</w:t>
            </w:r>
            <w:r>
              <w:rPr>
                <w:rFonts w:hint="eastAsia" w:ascii="宋体" w:hAnsi="宋体" w:eastAsia="宋体" w:cs="宋体"/>
                <w:color w:val="000000" w:themeColor="text1"/>
                <w:sz w:val="21"/>
                <w:szCs w:val="21"/>
                <w14:textFill>
                  <w14:solidFill>
                    <w14:schemeClr w14:val="tx1"/>
                  </w14:solidFill>
                </w14:textFill>
              </w:rPr>
              <w:t>与国家法律法规、标准规范的符合性。</w:t>
            </w:r>
          </w:p>
        </w:tc>
      </w:tr>
      <w:tr w14:paraId="7CE39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shd w:val="clear" w:color="auto" w:fill="auto"/>
            <w:vAlign w:val="center"/>
          </w:tcPr>
          <w:p w14:paraId="15400A1F">
            <w:pPr>
              <w:numPr>
                <w:ilvl w:val="0"/>
                <w:numId w:val="2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1899" w:type="dxa"/>
            <w:gridSpan w:val="2"/>
            <w:shd w:val="clear" w:color="auto" w:fill="auto"/>
            <w:vAlign w:val="center"/>
          </w:tcPr>
          <w:p w14:paraId="6BFD1D27">
            <w:pPr>
              <w:spacing w:line="240" w:lineRule="auto"/>
              <w:ind w:firstLine="0" w:firstLineChars="0"/>
              <w:jc w:val="center"/>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常规防护设施评价单元</w:t>
            </w:r>
          </w:p>
        </w:tc>
        <w:tc>
          <w:tcPr>
            <w:tcW w:w="1635" w:type="dxa"/>
            <w:shd w:val="clear" w:color="auto" w:fill="auto"/>
            <w:vAlign w:val="center"/>
          </w:tcPr>
          <w:p w14:paraId="58FD7C1E">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安全检查表法</w:t>
            </w:r>
          </w:p>
        </w:tc>
        <w:tc>
          <w:tcPr>
            <w:tcW w:w="4462" w:type="dxa"/>
            <w:shd w:val="clear" w:color="auto" w:fill="auto"/>
            <w:vAlign w:val="center"/>
          </w:tcPr>
          <w:p w14:paraId="32AC9E4C">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依据有关法规、标准在检查表中列出了检查要求，使检查工作标准化、规范化。验证常规防护设施</w:t>
            </w:r>
            <w:r>
              <w:rPr>
                <w:rFonts w:hint="eastAsia" w:ascii="宋体" w:hAnsi="宋体" w:eastAsia="宋体" w:cs="宋体"/>
                <w:snapToGrid w:val="0"/>
                <w:color w:val="000000" w:themeColor="text1"/>
                <w:kern w:val="0"/>
                <w:sz w:val="21"/>
                <w:szCs w:val="21"/>
                <w14:textFill>
                  <w14:solidFill>
                    <w14:schemeClr w14:val="tx1"/>
                  </w14:solidFill>
                </w14:textFill>
              </w:rPr>
              <w:t>设置情况</w:t>
            </w:r>
            <w:r>
              <w:rPr>
                <w:rFonts w:hint="eastAsia" w:ascii="宋体" w:hAnsi="宋体" w:eastAsia="宋体" w:cs="宋体"/>
                <w:color w:val="000000" w:themeColor="text1"/>
                <w:sz w:val="21"/>
                <w:szCs w:val="21"/>
                <w14:textFill>
                  <w14:solidFill>
                    <w14:schemeClr w14:val="tx1"/>
                  </w14:solidFill>
                </w14:textFill>
              </w:rPr>
              <w:t>与国家法律法规、标准规范的符合性。</w:t>
            </w:r>
          </w:p>
        </w:tc>
      </w:tr>
      <w:tr w14:paraId="12BAB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restart"/>
            <w:shd w:val="clear" w:color="auto" w:fill="auto"/>
            <w:vAlign w:val="center"/>
          </w:tcPr>
          <w:p w14:paraId="0D9F4D58">
            <w:pPr>
              <w:numPr>
                <w:ilvl w:val="0"/>
                <w:numId w:val="2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671" w:type="dxa"/>
            <w:vMerge w:val="restart"/>
            <w:shd w:val="clear" w:color="auto" w:fill="auto"/>
            <w:vAlign w:val="center"/>
          </w:tcPr>
          <w:p w14:paraId="6EE6A4B8">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公用辅助设施评价单元</w:t>
            </w:r>
          </w:p>
        </w:tc>
        <w:tc>
          <w:tcPr>
            <w:tcW w:w="1228" w:type="dxa"/>
            <w:shd w:val="clear" w:color="auto" w:fill="auto"/>
            <w:vAlign w:val="center"/>
          </w:tcPr>
          <w:p w14:paraId="2B5D059B">
            <w:pPr>
              <w:spacing w:line="240" w:lineRule="auto"/>
              <w:ind w:firstLine="0" w:firstLineChars="0"/>
              <w:jc w:val="center"/>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供配电</w:t>
            </w:r>
          </w:p>
        </w:tc>
        <w:tc>
          <w:tcPr>
            <w:tcW w:w="1635" w:type="dxa"/>
            <w:shd w:val="clear" w:color="auto" w:fill="auto"/>
            <w:vAlign w:val="center"/>
          </w:tcPr>
          <w:p w14:paraId="6D285F46">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安全检查表法</w:t>
            </w:r>
          </w:p>
        </w:tc>
        <w:tc>
          <w:tcPr>
            <w:tcW w:w="4462" w:type="dxa"/>
            <w:shd w:val="clear" w:color="auto" w:fill="auto"/>
            <w:vAlign w:val="center"/>
          </w:tcPr>
          <w:p w14:paraId="73B46499">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依据有关法规、标准在检查表中列出了检查要求，使检查工作标准化、规范化。验证</w:t>
            </w:r>
            <w:r>
              <w:rPr>
                <w:rFonts w:hint="eastAsia" w:ascii="宋体" w:hAnsi="宋体" w:eastAsia="宋体" w:cs="宋体"/>
                <w:snapToGrid w:val="0"/>
                <w:color w:val="000000" w:themeColor="text1"/>
                <w:kern w:val="0"/>
                <w:sz w:val="21"/>
                <w:szCs w:val="21"/>
                <w14:textFill>
                  <w14:solidFill>
                    <w14:schemeClr w14:val="tx1"/>
                  </w14:solidFill>
                </w14:textFill>
              </w:rPr>
              <w:t>供配电系统设置情况</w:t>
            </w:r>
            <w:r>
              <w:rPr>
                <w:rFonts w:hint="eastAsia" w:ascii="宋体" w:hAnsi="宋体" w:eastAsia="宋体" w:cs="宋体"/>
                <w:color w:val="000000" w:themeColor="text1"/>
                <w:sz w:val="21"/>
                <w:szCs w:val="21"/>
                <w14:textFill>
                  <w14:solidFill>
                    <w14:schemeClr w14:val="tx1"/>
                  </w14:solidFill>
                </w14:textFill>
              </w:rPr>
              <w:t>与国家法律法规、标准规范的符合性。</w:t>
            </w:r>
          </w:p>
        </w:tc>
      </w:tr>
      <w:tr w14:paraId="1F0B8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shd w:val="clear" w:color="auto" w:fill="auto"/>
            <w:vAlign w:val="center"/>
          </w:tcPr>
          <w:p w14:paraId="27F34CA6">
            <w:pPr>
              <w:numPr>
                <w:ilvl w:val="0"/>
                <w:numId w:val="2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671" w:type="dxa"/>
            <w:vMerge w:val="continue"/>
            <w:shd w:val="clear" w:color="auto" w:fill="auto"/>
            <w:vAlign w:val="center"/>
          </w:tcPr>
          <w:p w14:paraId="33FAAC61">
            <w:pPr>
              <w:spacing w:line="240" w:lineRule="auto"/>
              <w:ind w:firstLine="0" w:firstLineChars="0"/>
              <w:jc w:val="center"/>
              <w:rPr>
                <w:rFonts w:hint="eastAsia" w:ascii="宋体" w:hAnsi="宋体" w:eastAsia="宋体" w:cs="宋体"/>
                <w:snapToGrid w:val="0"/>
                <w:color w:val="000000" w:themeColor="text1"/>
                <w:kern w:val="0"/>
                <w:sz w:val="21"/>
                <w:szCs w:val="21"/>
                <w14:textFill>
                  <w14:solidFill>
                    <w14:schemeClr w14:val="tx1"/>
                  </w14:solidFill>
                </w14:textFill>
              </w:rPr>
            </w:pPr>
          </w:p>
        </w:tc>
        <w:tc>
          <w:tcPr>
            <w:tcW w:w="1228" w:type="dxa"/>
            <w:shd w:val="clear" w:color="auto" w:fill="auto"/>
            <w:vAlign w:val="center"/>
          </w:tcPr>
          <w:p w14:paraId="5E693DA6">
            <w:pPr>
              <w:spacing w:line="240" w:lineRule="auto"/>
              <w:ind w:firstLine="0" w:firstLineChars="0"/>
              <w:jc w:val="center"/>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给排水</w:t>
            </w:r>
          </w:p>
        </w:tc>
        <w:tc>
          <w:tcPr>
            <w:tcW w:w="1635" w:type="dxa"/>
            <w:shd w:val="clear" w:color="auto" w:fill="auto"/>
            <w:vAlign w:val="center"/>
          </w:tcPr>
          <w:p w14:paraId="657C537E">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安全检查表法</w:t>
            </w:r>
          </w:p>
        </w:tc>
        <w:tc>
          <w:tcPr>
            <w:tcW w:w="4462" w:type="dxa"/>
            <w:shd w:val="clear" w:color="auto" w:fill="auto"/>
            <w:vAlign w:val="center"/>
          </w:tcPr>
          <w:p w14:paraId="6816A18B">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依据有关法规、标准在检查表中列出了检查要求，使检查工作标准化、规范化。验证</w:t>
            </w:r>
            <w:r>
              <w:rPr>
                <w:rFonts w:hint="eastAsia" w:ascii="宋体" w:hAnsi="宋体" w:eastAsia="宋体" w:cs="宋体"/>
                <w:snapToGrid w:val="0"/>
                <w:color w:val="000000" w:themeColor="text1"/>
                <w:kern w:val="0"/>
                <w:sz w:val="21"/>
                <w:szCs w:val="21"/>
                <w14:textFill>
                  <w14:solidFill>
                    <w14:schemeClr w14:val="tx1"/>
                  </w14:solidFill>
                </w14:textFill>
              </w:rPr>
              <w:t>给排水设施设置情况</w:t>
            </w:r>
            <w:r>
              <w:rPr>
                <w:rFonts w:hint="eastAsia" w:ascii="宋体" w:hAnsi="宋体" w:eastAsia="宋体" w:cs="宋体"/>
                <w:color w:val="000000" w:themeColor="text1"/>
                <w:sz w:val="21"/>
                <w:szCs w:val="21"/>
                <w14:textFill>
                  <w14:solidFill>
                    <w14:schemeClr w14:val="tx1"/>
                  </w14:solidFill>
                </w14:textFill>
              </w:rPr>
              <w:t>与国家法律法规、标准规范的符合性。</w:t>
            </w:r>
          </w:p>
        </w:tc>
      </w:tr>
      <w:tr w14:paraId="07473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shd w:val="clear" w:color="auto" w:fill="auto"/>
            <w:vAlign w:val="center"/>
          </w:tcPr>
          <w:p w14:paraId="7713608A">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p>
        </w:tc>
        <w:tc>
          <w:tcPr>
            <w:tcW w:w="671" w:type="dxa"/>
            <w:vMerge w:val="continue"/>
            <w:shd w:val="clear" w:color="auto" w:fill="auto"/>
            <w:vAlign w:val="center"/>
          </w:tcPr>
          <w:p w14:paraId="6D4B56C4">
            <w:pPr>
              <w:spacing w:line="240" w:lineRule="auto"/>
              <w:ind w:firstLine="0" w:firstLineChars="0"/>
              <w:jc w:val="center"/>
              <w:rPr>
                <w:rFonts w:hint="eastAsia" w:ascii="宋体" w:hAnsi="宋体" w:eastAsia="宋体" w:cs="宋体"/>
                <w:snapToGrid w:val="0"/>
                <w:color w:val="000000" w:themeColor="text1"/>
                <w:kern w:val="0"/>
                <w:sz w:val="21"/>
                <w:szCs w:val="21"/>
                <w14:textFill>
                  <w14:solidFill>
                    <w14:schemeClr w14:val="tx1"/>
                  </w14:solidFill>
                </w14:textFill>
              </w:rPr>
            </w:pPr>
          </w:p>
        </w:tc>
        <w:tc>
          <w:tcPr>
            <w:tcW w:w="1228" w:type="dxa"/>
            <w:shd w:val="clear" w:color="auto" w:fill="auto"/>
            <w:vAlign w:val="center"/>
          </w:tcPr>
          <w:p w14:paraId="385E4AF9">
            <w:pPr>
              <w:spacing w:line="240" w:lineRule="auto"/>
              <w:ind w:firstLine="0" w:firstLineChars="0"/>
              <w:jc w:val="center"/>
              <w:rPr>
                <w:rFonts w:hint="eastAsia" w:ascii="宋体" w:hAnsi="宋体" w:eastAsia="宋体" w:cs="宋体"/>
                <w:snapToGrid w:val="0"/>
                <w:color w:val="000000" w:themeColor="text1"/>
                <w:kern w:val="0"/>
                <w:sz w:val="21"/>
                <w:szCs w:val="21"/>
                <w:lang w:val="en-US" w:eastAsia="zh-CN"/>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消防</w:t>
            </w:r>
            <w:r>
              <w:rPr>
                <w:rFonts w:hint="eastAsia" w:hAnsi="宋体" w:cs="宋体"/>
                <w:snapToGrid w:val="0"/>
                <w:color w:val="000000" w:themeColor="text1"/>
                <w:kern w:val="0"/>
                <w:sz w:val="21"/>
                <w:szCs w:val="21"/>
                <w:lang w:val="en-US" w:eastAsia="zh-CN"/>
                <w14:textFill>
                  <w14:solidFill>
                    <w14:schemeClr w14:val="tx1"/>
                  </w14:solidFill>
                </w14:textFill>
              </w:rPr>
              <w:t>系统</w:t>
            </w:r>
          </w:p>
        </w:tc>
        <w:tc>
          <w:tcPr>
            <w:tcW w:w="1635" w:type="dxa"/>
            <w:shd w:val="clear" w:color="auto" w:fill="auto"/>
            <w:vAlign w:val="center"/>
          </w:tcPr>
          <w:p w14:paraId="290C93C9">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安全检查表法</w:t>
            </w:r>
          </w:p>
        </w:tc>
        <w:tc>
          <w:tcPr>
            <w:tcW w:w="4462" w:type="dxa"/>
            <w:shd w:val="clear" w:color="auto" w:fill="auto"/>
            <w:vAlign w:val="center"/>
          </w:tcPr>
          <w:p w14:paraId="5AB6CCC7">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依据有关法规、标准在检查表中列出了检查要求，使检查工作标准化、规范化。验证</w:t>
            </w:r>
            <w:r>
              <w:rPr>
                <w:rFonts w:hint="eastAsia" w:ascii="宋体" w:hAnsi="宋体" w:eastAsia="宋体" w:cs="宋体"/>
                <w:color w:val="000000" w:themeColor="text1"/>
                <w:sz w:val="21"/>
                <w:szCs w:val="21"/>
                <w:lang w:val="en-US" w:eastAsia="zh-CN"/>
                <w14:textFill>
                  <w14:solidFill>
                    <w14:schemeClr w14:val="tx1"/>
                  </w14:solidFill>
                </w14:textFill>
              </w:rPr>
              <w:t>消防</w:t>
            </w:r>
            <w:r>
              <w:rPr>
                <w:rFonts w:hint="eastAsia" w:ascii="宋体" w:hAnsi="宋体" w:eastAsia="宋体" w:cs="宋体"/>
                <w:snapToGrid w:val="0"/>
                <w:color w:val="000000" w:themeColor="text1"/>
                <w:kern w:val="0"/>
                <w:sz w:val="21"/>
                <w:szCs w:val="21"/>
                <w14:textFill>
                  <w14:solidFill>
                    <w14:schemeClr w14:val="tx1"/>
                  </w14:solidFill>
                </w14:textFill>
              </w:rPr>
              <w:t>设施设置</w:t>
            </w: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和建筑物防火</w:t>
            </w:r>
            <w:r>
              <w:rPr>
                <w:rFonts w:hint="eastAsia" w:ascii="宋体" w:hAnsi="宋体" w:eastAsia="宋体" w:cs="宋体"/>
                <w:snapToGrid w:val="0"/>
                <w:color w:val="000000" w:themeColor="text1"/>
                <w:kern w:val="0"/>
                <w:sz w:val="21"/>
                <w:szCs w:val="21"/>
                <w14:textFill>
                  <w14:solidFill>
                    <w14:schemeClr w14:val="tx1"/>
                  </w14:solidFill>
                </w14:textFill>
              </w:rPr>
              <w:t>情况</w:t>
            </w:r>
            <w:r>
              <w:rPr>
                <w:rFonts w:hint="eastAsia" w:ascii="宋体" w:hAnsi="宋体" w:eastAsia="宋体" w:cs="宋体"/>
                <w:color w:val="000000" w:themeColor="text1"/>
                <w:sz w:val="21"/>
                <w:szCs w:val="21"/>
                <w14:textFill>
                  <w14:solidFill>
                    <w14:schemeClr w14:val="tx1"/>
                  </w14:solidFill>
                </w14:textFill>
              </w:rPr>
              <w:t>与国家法律法规、标准规范的符合性。</w:t>
            </w:r>
          </w:p>
        </w:tc>
      </w:tr>
      <w:tr w14:paraId="27943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shd w:val="clear" w:color="auto" w:fill="auto"/>
            <w:vAlign w:val="center"/>
          </w:tcPr>
          <w:p w14:paraId="26B77A46">
            <w:pPr>
              <w:numPr>
                <w:ilvl w:val="0"/>
                <w:numId w:val="2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1899" w:type="dxa"/>
            <w:gridSpan w:val="2"/>
            <w:shd w:val="clear" w:color="auto" w:fill="auto"/>
            <w:vAlign w:val="center"/>
          </w:tcPr>
          <w:p w14:paraId="1CC80BE7">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安全管理评价单元</w:t>
            </w:r>
          </w:p>
        </w:tc>
        <w:tc>
          <w:tcPr>
            <w:tcW w:w="1635" w:type="dxa"/>
            <w:shd w:val="clear" w:color="auto" w:fill="auto"/>
            <w:vAlign w:val="center"/>
          </w:tcPr>
          <w:p w14:paraId="3D8583CC">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安全检查表法</w:t>
            </w:r>
          </w:p>
        </w:tc>
        <w:tc>
          <w:tcPr>
            <w:tcW w:w="4462" w:type="dxa"/>
            <w:vAlign w:val="center"/>
          </w:tcPr>
          <w:p w14:paraId="1B6FB660">
            <w:pPr>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依据有关法规、标准在检查表中列出了检查要求，使检查工作标准化、规范化。验证安全生产管理与国家法律法规、标准规范的符合性。</w:t>
            </w:r>
          </w:p>
        </w:tc>
      </w:tr>
      <w:tr w14:paraId="2693C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shd w:val="clear" w:color="auto" w:fill="auto"/>
            <w:vAlign w:val="center"/>
          </w:tcPr>
          <w:p w14:paraId="44BCEC4C">
            <w:pPr>
              <w:numPr>
                <w:ilvl w:val="0"/>
                <w:numId w:val="2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p>
        </w:tc>
        <w:tc>
          <w:tcPr>
            <w:tcW w:w="1899" w:type="dxa"/>
            <w:gridSpan w:val="2"/>
            <w:shd w:val="clear" w:color="auto" w:fill="auto"/>
            <w:vAlign w:val="center"/>
          </w:tcPr>
          <w:p w14:paraId="5CAF19FE">
            <w:pPr>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重大生产安全事故隐患检查单元</w:t>
            </w:r>
          </w:p>
        </w:tc>
        <w:tc>
          <w:tcPr>
            <w:tcW w:w="1635" w:type="dxa"/>
            <w:shd w:val="clear" w:color="auto" w:fill="auto"/>
            <w:vAlign w:val="center"/>
          </w:tcPr>
          <w:p w14:paraId="0C195B35">
            <w:pPr>
              <w:spacing w:line="240" w:lineRule="auto"/>
              <w:ind w:firstLine="0" w:firstLineChars="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安全检查表法</w:t>
            </w:r>
          </w:p>
        </w:tc>
        <w:tc>
          <w:tcPr>
            <w:tcW w:w="4462" w:type="dxa"/>
            <w:shd w:val="clear" w:color="auto" w:fill="auto"/>
            <w:vAlign w:val="center"/>
          </w:tcPr>
          <w:p w14:paraId="03163B2A">
            <w:pPr>
              <w:spacing w:line="240" w:lineRule="auto"/>
              <w:ind w:firstLine="0" w:firstLineChars="0"/>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依据有关法规、标准在检查表中列出了检查要求，使检查工作标准化、规范化。验证安全生产管理与国家法律法规、标准规范的符合性。</w:t>
            </w:r>
          </w:p>
        </w:tc>
      </w:tr>
      <w:tr w14:paraId="33606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shd w:val="clear" w:color="auto" w:fill="auto"/>
            <w:vAlign w:val="center"/>
          </w:tcPr>
          <w:p w14:paraId="0BDA8EBB">
            <w:pPr>
              <w:numPr>
                <w:ilvl w:val="0"/>
                <w:numId w:val="20"/>
              </w:numPr>
              <w:spacing w:line="240" w:lineRule="auto"/>
              <w:ind w:firstLineChars="0"/>
              <w:jc w:val="center"/>
              <w:rPr>
                <w:rFonts w:hint="eastAsia" w:ascii="宋体" w:hAnsi="宋体" w:eastAsia="宋体" w:cs="宋体"/>
                <w:color w:val="000000" w:themeColor="text1"/>
                <w:sz w:val="21"/>
                <w:szCs w:val="21"/>
                <w14:textFill>
                  <w14:solidFill>
                    <w14:schemeClr w14:val="tx1"/>
                  </w14:solidFill>
                </w14:textFill>
              </w:rPr>
            </w:pPr>
            <w:bookmarkStart w:id="565" w:name="_Toc211837020"/>
            <w:bookmarkStart w:id="566" w:name="_Toc195156257"/>
            <w:bookmarkStart w:id="567" w:name="_Toc19971"/>
            <w:bookmarkStart w:id="568" w:name="_Toc4438"/>
            <w:bookmarkStart w:id="569" w:name="_Toc211501736"/>
            <w:bookmarkStart w:id="570" w:name="_Toc231978509"/>
            <w:bookmarkStart w:id="571" w:name="_Toc207527412"/>
            <w:bookmarkStart w:id="572" w:name="_Toc20638"/>
            <w:bookmarkStart w:id="573" w:name="_Toc19469"/>
            <w:bookmarkStart w:id="574" w:name="_Toc213410608"/>
            <w:bookmarkStart w:id="575" w:name="_Toc29841"/>
            <w:bookmarkStart w:id="576" w:name="_Toc233668310"/>
          </w:p>
        </w:tc>
        <w:tc>
          <w:tcPr>
            <w:tcW w:w="1899" w:type="dxa"/>
            <w:gridSpan w:val="2"/>
            <w:shd w:val="clear" w:color="auto" w:fill="auto"/>
            <w:vAlign w:val="center"/>
          </w:tcPr>
          <w:p w14:paraId="0D8B9745">
            <w:pPr>
              <w:spacing w:line="240" w:lineRule="auto"/>
              <w:ind w:firstLine="0" w:firstLineChars="0"/>
              <w:jc w:val="center"/>
              <w:rPr>
                <w:rFonts w:hint="default" w:ascii="宋体" w:hAnsi="宋体" w:eastAsia="宋体" w:cs="宋体"/>
                <w:snapToGrid w:val="0"/>
                <w:color w:val="000000" w:themeColor="text1"/>
                <w:kern w:val="0"/>
                <w:sz w:val="21"/>
                <w:szCs w:val="21"/>
                <w:lang w:val="en-US" w:eastAsia="zh-CN"/>
                <w14:textFill>
                  <w14:solidFill>
                    <w14:schemeClr w14:val="tx1"/>
                  </w14:solidFill>
                </w14:textFill>
              </w:rPr>
            </w:pPr>
            <w:r>
              <w:rPr>
                <w:rFonts w:hint="eastAsia" w:hAnsi="宋体" w:cs="宋体"/>
                <w:snapToGrid w:val="0"/>
                <w:color w:val="000000" w:themeColor="text1"/>
                <w:kern w:val="0"/>
                <w:sz w:val="21"/>
                <w:szCs w:val="21"/>
                <w:lang w:val="en-US" w:eastAsia="zh-CN"/>
                <w14:textFill>
                  <w14:solidFill>
                    <w14:schemeClr w14:val="tx1"/>
                  </w14:solidFill>
                </w14:textFill>
              </w:rPr>
              <w:t>有限空间作业评价单元</w:t>
            </w:r>
          </w:p>
        </w:tc>
        <w:tc>
          <w:tcPr>
            <w:tcW w:w="1635" w:type="dxa"/>
            <w:shd w:val="clear" w:color="auto" w:fill="auto"/>
            <w:vAlign w:val="center"/>
          </w:tcPr>
          <w:p w14:paraId="58D2819E">
            <w:pPr>
              <w:spacing w:line="240" w:lineRule="auto"/>
              <w:ind w:firstLine="0" w:firstLineChars="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安全检查表法</w:t>
            </w:r>
          </w:p>
        </w:tc>
        <w:tc>
          <w:tcPr>
            <w:tcW w:w="4462" w:type="dxa"/>
            <w:shd w:val="clear" w:color="auto" w:fill="auto"/>
            <w:vAlign w:val="center"/>
          </w:tcPr>
          <w:p w14:paraId="43E3C074">
            <w:pPr>
              <w:spacing w:line="240" w:lineRule="auto"/>
              <w:ind w:firstLine="0" w:firstLineChars="0"/>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依据有关法规、标准在检查表中列出了检查要求，使检查工作标准化、规范化。验证安全生产管理与国家法律法规、标准规范的符合性。</w:t>
            </w:r>
          </w:p>
        </w:tc>
      </w:tr>
    </w:tbl>
    <w:p w14:paraId="31C01EC6">
      <w:pPr>
        <w:pStyle w:val="4"/>
        <w:spacing w:line="360" w:lineRule="auto"/>
        <w:rPr>
          <w:rFonts w:ascii="Times New Roman" w:hAnsi="Times New Roman"/>
          <w:color w:val="000000" w:themeColor="text1"/>
          <w14:textFill>
            <w14:solidFill>
              <w14:schemeClr w14:val="tx1"/>
            </w14:solidFill>
          </w14:textFill>
        </w:rPr>
      </w:pPr>
      <w:bookmarkStart w:id="577" w:name="_Toc2671"/>
      <w:r>
        <w:rPr>
          <w:rFonts w:ascii="Times New Roman" w:hAnsi="Times New Roman"/>
          <w:color w:val="000000" w:themeColor="text1"/>
          <w14:textFill>
            <w14:solidFill>
              <w14:schemeClr w14:val="tx1"/>
            </w14:solidFill>
          </w14:textFill>
        </w:rPr>
        <w:t>4.4评价方法</w:t>
      </w:r>
      <w:bookmarkEnd w:id="565"/>
      <w:bookmarkEnd w:id="566"/>
      <w:bookmarkEnd w:id="567"/>
      <w:bookmarkEnd w:id="568"/>
      <w:bookmarkEnd w:id="569"/>
      <w:bookmarkEnd w:id="570"/>
      <w:bookmarkEnd w:id="571"/>
      <w:bookmarkEnd w:id="572"/>
      <w:bookmarkEnd w:id="573"/>
      <w:bookmarkEnd w:id="574"/>
      <w:bookmarkEnd w:id="575"/>
      <w:bookmarkEnd w:id="576"/>
      <w:r>
        <w:rPr>
          <w:rFonts w:ascii="Times New Roman" w:hAnsi="Times New Roman"/>
          <w:color w:val="000000" w:themeColor="text1"/>
          <w14:textFill>
            <w14:solidFill>
              <w14:schemeClr w14:val="tx1"/>
            </w14:solidFill>
          </w14:textFill>
        </w:rPr>
        <w:t>介绍</w:t>
      </w:r>
      <w:bookmarkEnd w:id="577"/>
    </w:p>
    <w:p w14:paraId="48B34862">
      <w:pPr>
        <w:pStyle w:val="5"/>
        <w:spacing w:line="360" w:lineRule="auto"/>
        <w:rPr>
          <w:rFonts w:hint="eastAsia" w:ascii="Times New Roman" w:hAnsi="Times New Roman" w:eastAsia="黑体"/>
          <w:color w:val="000000" w:themeColor="text1"/>
          <w:lang w:val="en-US" w:eastAsia="zh-CN"/>
          <w14:textFill>
            <w14:solidFill>
              <w14:schemeClr w14:val="tx1"/>
            </w14:solidFill>
          </w14:textFill>
        </w:rPr>
      </w:pPr>
      <w:bookmarkStart w:id="578" w:name="_Toc29114"/>
      <w:bookmarkStart w:id="579" w:name="_Toc28608"/>
      <w:r>
        <w:rPr>
          <w:rFonts w:ascii="Times New Roman" w:hAnsi="Times New Roman"/>
          <w:color w:val="000000" w:themeColor="text1"/>
          <w14:textFill>
            <w14:solidFill>
              <w14:schemeClr w14:val="tx1"/>
            </w14:solidFill>
          </w14:textFill>
        </w:rPr>
        <w:t>4.4.1安全检查表</w:t>
      </w:r>
      <w:bookmarkEnd w:id="578"/>
      <w:r>
        <w:rPr>
          <w:rFonts w:hint="eastAsia" w:ascii="Times New Roman" w:hAnsi="Times New Roman"/>
          <w:color w:val="000000" w:themeColor="text1"/>
          <w:lang w:val="en-US" w:eastAsia="zh-CN"/>
          <w14:textFill>
            <w14:solidFill>
              <w14:schemeClr w14:val="tx1"/>
            </w14:solidFill>
          </w14:textFill>
        </w:rPr>
        <w:t>法（</w:t>
      </w:r>
      <w:r>
        <w:rPr>
          <w:color w:val="000000" w:themeColor="text1"/>
          <w14:textFill>
            <w14:solidFill>
              <w14:schemeClr w14:val="tx1"/>
            </w14:solidFill>
          </w14:textFill>
        </w:rPr>
        <w:t>SCA</w:t>
      </w:r>
      <w:r>
        <w:rPr>
          <w:rFonts w:hint="eastAsia" w:ascii="Times New Roman" w:hAnsi="Times New Roman"/>
          <w:color w:val="000000" w:themeColor="text1"/>
          <w:lang w:val="en-US" w:eastAsia="zh-CN"/>
          <w14:textFill>
            <w14:solidFill>
              <w14:schemeClr w14:val="tx1"/>
            </w14:solidFill>
          </w14:textFill>
        </w:rPr>
        <w:t>）</w:t>
      </w:r>
      <w:bookmarkEnd w:id="579"/>
    </w:p>
    <w:p w14:paraId="1DD8D12D">
      <w:pPr>
        <w:keepNext w:val="0"/>
        <w:keepLines w:val="0"/>
        <w:pageBreakBefore w:val="0"/>
        <w:widowControl w:val="0"/>
        <w:kinsoku/>
        <w:wordWrap/>
        <w:overflowPunct/>
        <w:topLinePunct w:val="0"/>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安全检查表评价方法简便灵活，是安全评价的常规方法，具有简便、实用、有效的特点。依据国家、地区、行业等相关的标准、法规编制检查表，判断是否、有无，找出缺陷、疏漏、隐患、问题。所以对项目总体和各单元的</w:t>
      </w:r>
      <w:r>
        <w:rPr>
          <w:rFonts w:hint="eastAsia"/>
          <w:color w:val="000000" w:themeColor="text1"/>
          <w:sz w:val="28"/>
          <w:szCs w:val="28"/>
          <w14:textFill>
            <w14:solidFill>
              <w14:schemeClr w14:val="tx1"/>
            </w14:solidFill>
          </w14:textFill>
        </w:rPr>
        <w:t>安全</w:t>
      </w:r>
      <w:r>
        <w:rPr>
          <w:color w:val="000000" w:themeColor="text1"/>
          <w:sz w:val="28"/>
          <w:szCs w:val="28"/>
          <w14:textFill>
            <w14:solidFill>
              <w14:schemeClr w14:val="tx1"/>
            </w14:solidFill>
          </w14:textFill>
        </w:rPr>
        <w:t>评价中均运用了这一方法。本评价中安全检查表的内容主要有三部分：</w:t>
      </w:r>
    </w:p>
    <w:p w14:paraId="3334278A">
      <w:pPr>
        <w:keepNext w:val="0"/>
        <w:keepLines w:val="0"/>
        <w:pageBreakBefore w:val="0"/>
        <w:widowControl w:val="0"/>
        <w:kinsoku/>
        <w:wordWrap/>
        <w:overflowPunct/>
        <w:topLinePunct w:val="0"/>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1.检查项目和要求：针对该单元功能、工艺、设备等固有或潜在的主要危险危害因素，逐条列出检查的项目和国家有关劳动安全卫生方面的</w:t>
      </w:r>
      <w:r>
        <w:rPr>
          <w:rFonts w:hint="eastAsia"/>
          <w:color w:val="000000" w:themeColor="text1"/>
          <w:sz w:val="28"/>
          <w:szCs w:val="28"/>
          <w:lang w:eastAsia="zh-CN"/>
          <w14:textFill>
            <w14:solidFill>
              <w14:schemeClr w14:val="tx1"/>
            </w14:solidFill>
          </w14:textFill>
        </w:rPr>
        <w:t>法律法规</w:t>
      </w:r>
      <w:r>
        <w:rPr>
          <w:color w:val="000000" w:themeColor="text1"/>
          <w:sz w:val="28"/>
          <w:szCs w:val="28"/>
          <w14:textFill>
            <w14:solidFill>
              <w14:schemeClr w14:val="tx1"/>
            </w14:solidFill>
          </w14:textFill>
        </w:rPr>
        <w:t>、标准以及行业规定中对工程设计、施工、运行管理的各种具体要求。</w:t>
      </w:r>
    </w:p>
    <w:p w14:paraId="5C830CDB">
      <w:pPr>
        <w:keepNext w:val="0"/>
        <w:keepLines w:val="0"/>
        <w:pageBreakBefore w:val="0"/>
        <w:widowControl w:val="0"/>
        <w:kinsoku/>
        <w:wordWrap/>
        <w:overflowPunct/>
        <w:topLinePunct w:val="0"/>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2.检查情况：针对检查项目和要求，通过审查文件资料，</w:t>
      </w:r>
      <w:r>
        <w:rPr>
          <w:rFonts w:hint="eastAsia"/>
          <w:color w:val="000000" w:themeColor="text1"/>
          <w:sz w:val="28"/>
          <w:szCs w:val="28"/>
          <w:lang w:eastAsia="zh-CN"/>
          <w14:textFill>
            <w14:solidFill>
              <w14:schemeClr w14:val="tx1"/>
            </w14:solidFill>
          </w14:textFill>
        </w:rPr>
        <w:t>勘查现场</w:t>
      </w:r>
      <w:r>
        <w:rPr>
          <w:color w:val="000000" w:themeColor="text1"/>
          <w:sz w:val="28"/>
          <w:szCs w:val="28"/>
          <w14:textFill>
            <w14:solidFill>
              <w14:schemeClr w14:val="tx1"/>
            </w14:solidFill>
          </w14:textFill>
        </w:rPr>
        <w:t>，分析预测项目建成后与法律法规、标准规范的符合性，从而判断项目建成后的风险度。</w:t>
      </w:r>
    </w:p>
    <w:p w14:paraId="2627A8B3">
      <w:pPr>
        <w:keepNext w:val="0"/>
        <w:keepLines w:val="0"/>
        <w:pageBreakBefore w:val="0"/>
        <w:widowControl w:val="0"/>
        <w:kinsoku/>
        <w:wordWrap/>
        <w:overflowPunct/>
        <w:topLinePunct w:val="0"/>
        <w:autoSpaceDE w:val="0"/>
        <w:autoSpaceDN w:val="0"/>
        <w:bidi w:val="0"/>
        <w:adjustRightInd/>
        <w:snapToGrid/>
        <w:spacing w:line="500" w:lineRule="exact"/>
        <w:ind w:firstLine="560" w:firstLineChars="200"/>
        <w:textAlignment w:val="auto"/>
        <w:rPr>
          <w:rFonts w:ascii="Times New Roman"/>
          <w:color w:val="000000" w:themeColor="text1"/>
          <w:sz w:val="28"/>
          <w:szCs w:val="28"/>
          <w:lang w:val="zh-CN"/>
          <w14:textFill>
            <w14:solidFill>
              <w14:schemeClr w14:val="tx1"/>
            </w14:solidFill>
          </w14:textFill>
        </w:rPr>
      </w:pPr>
      <w:r>
        <w:rPr>
          <w:color w:val="000000" w:themeColor="text1"/>
          <w:sz w:val="28"/>
          <w:szCs w:val="28"/>
          <w14:textFill>
            <w14:solidFill>
              <w14:schemeClr w14:val="tx1"/>
            </w14:solidFill>
          </w14:textFill>
        </w:rPr>
        <w:t>3.检查结论：针对检查项目，根据文件资料、现场调查情况作出与要求符合、不符合的结论。</w:t>
      </w:r>
    </w:p>
    <w:bookmarkEnd w:id="548"/>
    <w:bookmarkEnd w:id="549"/>
    <w:bookmarkEnd w:id="550"/>
    <w:bookmarkEnd w:id="551"/>
    <w:p w14:paraId="319F0C5E">
      <w:pPr>
        <w:pStyle w:val="3"/>
        <w:spacing w:before="120" w:after="120" w:line="360" w:lineRule="auto"/>
        <w:rPr>
          <w:rFonts w:ascii="Times New Roman" w:hAnsi="Times New Roman"/>
          <w:color w:val="000000" w:themeColor="text1"/>
          <w14:textFill>
            <w14:solidFill>
              <w14:schemeClr w14:val="tx1"/>
            </w14:solidFill>
          </w14:textFill>
        </w:rPr>
      </w:pPr>
      <w:bookmarkStart w:id="580" w:name="_Toc8149"/>
      <w:bookmarkStart w:id="581" w:name="_Toc27488"/>
      <w:bookmarkStart w:id="582" w:name="_Toc4473"/>
      <w:bookmarkStart w:id="583" w:name="_Toc208674447"/>
      <w:bookmarkStart w:id="584" w:name="_Toc208675035"/>
      <w:bookmarkStart w:id="585" w:name="_Toc313453627"/>
      <w:bookmarkStart w:id="586" w:name="_Toc9727"/>
      <w:bookmarkStart w:id="587" w:name="_Toc335926316"/>
      <w:bookmarkStart w:id="588" w:name="_Toc14419"/>
      <w:bookmarkStart w:id="589" w:name="_Toc13746"/>
      <w:r>
        <w:rPr>
          <w:rFonts w:ascii="Times New Roman" w:hAnsi="Times New Roman"/>
          <w:color w:val="000000" w:themeColor="text1"/>
          <w14:textFill>
            <w14:solidFill>
              <w14:schemeClr w14:val="tx1"/>
            </w14:solidFill>
          </w14:textFill>
        </w:rPr>
        <w:br w:type="page"/>
      </w:r>
      <w:bookmarkStart w:id="590" w:name="_Toc19046"/>
      <w:r>
        <w:rPr>
          <w:rFonts w:ascii="Times New Roman" w:hAnsi="Times New Roman"/>
          <w:color w:val="000000" w:themeColor="text1"/>
          <w14:textFill>
            <w14:solidFill>
              <w14:schemeClr w14:val="tx1"/>
            </w14:solidFill>
          </w14:textFill>
        </w:rPr>
        <w:t xml:space="preserve">第5章 </w:t>
      </w:r>
      <w:bookmarkEnd w:id="580"/>
      <w:r>
        <w:rPr>
          <w:rFonts w:ascii="Times New Roman" w:hAnsi="Times New Roman"/>
          <w:color w:val="000000" w:themeColor="text1"/>
          <w14:textFill>
            <w14:solidFill>
              <w14:schemeClr w14:val="tx1"/>
            </w14:solidFill>
          </w14:textFill>
        </w:rPr>
        <w:t xml:space="preserve"> 定性、定量评价</w:t>
      </w:r>
      <w:bookmarkEnd w:id="581"/>
      <w:bookmarkEnd w:id="582"/>
      <w:bookmarkEnd w:id="590"/>
    </w:p>
    <w:p w14:paraId="78EDB87C">
      <w:pPr>
        <w:pStyle w:val="4"/>
        <w:spacing w:line="360" w:lineRule="auto"/>
        <w:rPr>
          <w:rFonts w:ascii="Times New Roman" w:hAnsi="Times New Roman"/>
          <w:color w:val="000000" w:themeColor="text1"/>
          <w14:textFill>
            <w14:solidFill>
              <w14:schemeClr w14:val="tx1"/>
            </w14:solidFill>
          </w14:textFill>
        </w:rPr>
      </w:pPr>
      <w:bookmarkStart w:id="591" w:name="_Toc937"/>
      <w:bookmarkStart w:id="592" w:name="_Toc29878"/>
      <w:bookmarkStart w:id="593" w:name="_Toc26071"/>
      <w:bookmarkStart w:id="594" w:name="_Toc8228"/>
      <w:bookmarkStart w:id="595" w:name="_Toc327017834"/>
      <w:bookmarkStart w:id="596" w:name="_Toc309682497"/>
      <w:bookmarkStart w:id="597" w:name="_Toc202575709"/>
      <w:bookmarkStart w:id="598" w:name="_Toc335926267"/>
      <w:bookmarkStart w:id="599" w:name="_Toc278151421"/>
      <w:bookmarkStart w:id="600" w:name="_Toc201767299"/>
      <w:r>
        <w:rPr>
          <w:rFonts w:ascii="Times New Roman" w:hAnsi="Times New Roman"/>
          <w:color w:val="000000" w:themeColor="text1"/>
          <w14:textFill>
            <w14:solidFill>
              <w14:schemeClr w14:val="tx1"/>
            </w14:solidFill>
          </w14:textFill>
        </w:rPr>
        <w:t>5.1厂址及总平面布置评价单元</w:t>
      </w:r>
      <w:bookmarkEnd w:id="591"/>
      <w:bookmarkEnd w:id="592"/>
      <w:bookmarkEnd w:id="593"/>
    </w:p>
    <w:p w14:paraId="2B3E9044">
      <w:pPr>
        <w:pStyle w:val="5"/>
        <w:spacing w:line="360" w:lineRule="auto"/>
        <w:rPr>
          <w:rFonts w:ascii="Times New Roman" w:hAnsi="Times New Roman"/>
          <w:color w:val="000000" w:themeColor="text1"/>
          <w14:textFill>
            <w14:solidFill>
              <w14:schemeClr w14:val="tx1"/>
            </w14:solidFill>
          </w14:textFill>
        </w:rPr>
      </w:pPr>
      <w:bookmarkStart w:id="601" w:name="_Toc2499"/>
      <w:bookmarkStart w:id="602" w:name="_Toc8807"/>
      <w:bookmarkStart w:id="603" w:name="_Toc28613"/>
      <w:r>
        <w:rPr>
          <w:rFonts w:ascii="Times New Roman" w:hAnsi="Times New Roman"/>
          <w:color w:val="000000" w:themeColor="text1"/>
          <w14:textFill>
            <w14:solidFill>
              <w14:schemeClr w14:val="tx1"/>
            </w14:solidFill>
          </w14:textFill>
        </w:rPr>
        <w:t>5.1.1厂址及总平面布置安全检查表</w:t>
      </w:r>
      <w:bookmarkEnd w:id="594"/>
      <w:bookmarkEnd w:id="595"/>
      <w:bookmarkEnd w:id="596"/>
      <w:bookmarkEnd w:id="597"/>
      <w:bookmarkEnd w:id="598"/>
      <w:bookmarkEnd w:id="599"/>
      <w:bookmarkEnd w:id="600"/>
      <w:bookmarkEnd w:id="601"/>
      <w:bookmarkEnd w:id="602"/>
      <w:bookmarkEnd w:id="603"/>
    </w:p>
    <w:p w14:paraId="5A1F65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本评价单元依据《工业企业总平面设计规范》（GB50187-2012）、《建筑设计防火规范（2018年版）》（GB 50016-2014）</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厂矿道路设计规范》（GBJ22-1987）《工业企业厂内铁路、道路运输安全规程》（GB4387-2008）等相关标准和规范中的相关内容对该项目的厂址和总平面布置采用安全检查表进行分析评价，检查其是否符合有关标准、规范的要求。</w:t>
      </w:r>
    </w:p>
    <w:p w14:paraId="252B7920">
      <w:pPr>
        <w:snapToGrid w:val="0"/>
        <w:spacing w:line="360" w:lineRule="auto"/>
        <w:jc w:val="center"/>
        <w:rPr>
          <w:rFonts w:asciiTheme="minorEastAsia" w:hAnsiTheme="minorEastAsia" w:eastAsiaTheme="minorEastAsia"/>
          <w:b/>
          <w:bCs/>
          <w:color w:val="000000" w:themeColor="text1"/>
          <w14:textFill>
            <w14:solidFill>
              <w14:schemeClr w14:val="tx1"/>
            </w14:solidFill>
          </w14:textFill>
        </w:rPr>
      </w:pPr>
      <w:r>
        <w:rPr>
          <w:rFonts w:asciiTheme="minorEastAsia" w:hAnsiTheme="minorEastAsia" w:eastAsiaTheme="minorEastAsia"/>
          <w:b/>
          <w:bCs/>
          <w:color w:val="000000" w:themeColor="text1"/>
          <w14:textFill>
            <w14:solidFill>
              <w14:schemeClr w14:val="tx1"/>
            </w14:solidFill>
          </w14:textFill>
        </w:rPr>
        <w:t>表5-1  厂址及总平面布置安全检查表</w:t>
      </w:r>
    </w:p>
    <w:tbl>
      <w:tblPr>
        <w:tblStyle w:val="53"/>
        <w:tblW w:w="9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2993"/>
        <w:gridCol w:w="2303"/>
        <w:gridCol w:w="2277"/>
        <w:gridCol w:w="771"/>
      </w:tblGrid>
      <w:tr w14:paraId="6BEB6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753" w:type="dxa"/>
            <w:vAlign w:val="center"/>
          </w:tcPr>
          <w:p w14:paraId="013C15E6">
            <w:pPr>
              <w:snapToGrid w:val="0"/>
              <w:spacing w:line="360" w:lineRule="auto"/>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2993" w:type="dxa"/>
            <w:vAlign w:val="center"/>
          </w:tcPr>
          <w:p w14:paraId="1C6D4F3F">
            <w:pPr>
              <w:suppressAutoHyphens/>
              <w:snapToGrid w:val="0"/>
              <w:spacing w:line="360" w:lineRule="auto"/>
              <w:jc w:val="center"/>
              <w:rPr>
                <w:rFonts w:hint="eastAsia" w:ascii="宋体" w:hAnsi="宋体" w:eastAsia="宋体" w:cs="宋体"/>
                <w:b/>
                <w:bCs/>
                <w:snapToGrid w:val="0"/>
                <w:color w:val="000000" w:themeColor="text1"/>
                <w:sz w:val="21"/>
                <w:szCs w:val="21"/>
                <w14:textFill>
                  <w14:solidFill>
                    <w14:schemeClr w14:val="tx1"/>
                  </w14:solidFill>
                </w14:textFill>
              </w:rPr>
            </w:pPr>
            <w:r>
              <w:rPr>
                <w:rFonts w:hint="eastAsia" w:ascii="宋体" w:hAnsi="宋体" w:eastAsia="宋体" w:cs="宋体"/>
                <w:b/>
                <w:bCs/>
                <w:snapToGrid w:val="0"/>
                <w:color w:val="000000" w:themeColor="text1"/>
                <w:sz w:val="21"/>
                <w:szCs w:val="21"/>
                <w14:textFill>
                  <w14:solidFill>
                    <w14:schemeClr w14:val="tx1"/>
                  </w14:solidFill>
                </w14:textFill>
              </w:rPr>
              <w:t>检查内容</w:t>
            </w:r>
          </w:p>
        </w:tc>
        <w:tc>
          <w:tcPr>
            <w:tcW w:w="2303" w:type="dxa"/>
            <w:vAlign w:val="center"/>
          </w:tcPr>
          <w:p w14:paraId="738DC300">
            <w:pPr>
              <w:suppressAutoHyphens/>
              <w:snapToGrid w:val="0"/>
              <w:spacing w:line="360" w:lineRule="auto"/>
              <w:jc w:val="center"/>
              <w:rPr>
                <w:rFonts w:hint="eastAsia" w:ascii="宋体" w:hAnsi="宋体" w:eastAsia="宋体" w:cs="宋体"/>
                <w:b/>
                <w:bCs/>
                <w:snapToGrid w:val="0"/>
                <w:color w:val="000000" w:themeColor="text1"/>
                <w:sz w:val="21"/>
                <w:szCs w:val="21"/>
                <w14:textFill>
                  <w14:solidFill>
                    <w14:schemeClr w14:val="tx1"/>
                  </w14:solidFill>
                </w14:textFill>
              </w:rPr>
            </w:pPr>
            <w:r>
              <w:rPr>
                <w:rFonts w:hint="eastAsia" w:ascii="宋体" w:hAnsi="宋体" w:eastAsia="宋体" w:cs="宋体"/>
                <w:b/>
                <w:bCs/>
                <w:snapToGrid w:val="0"/>
                <w:color w:val="000000" w:themeColor="text1"/>
                <w:sz w:val="21"/>
                <w:szCs w:val="21"/>
                <w14:textFill>
                  <w14:solidFill>
                    <w14:schemeClr w14:val="tx1"/>
                  </w14:solidFill>
                </w14:textFill>
              </w:rPr>
              <w:t>依据标准</w:t>
            </w:r>
          </w:p>
        </w:tc>
        <w:tc>
          <w:tcPr>
            <w:tcW w:w="2277" w:type="dxa"/>
            <w:vAlign w:val="center"/>
          </w:tcPr>
          <w:p w14:paraId="0B303061">
            <w:pPr>
              <w:suppressAutoHyphens/>
              <w:snapToGrid w:val="0"/>
              <w:spacing w:line="360" w:lineRule="auto"/>
              <w:jc w:val="center"/>
              <w:rPr>
                <w:rFonts w:hint="eastAsia" w:ascii="宋体" w:hAnsi="宋体" w:eastAsia="宋体" w:cs="宋体"/>
                <w:b/>
                <w:bCs/>
                <w:snapToGrid w:val="0"/>
                <w:color w:val="000000" w:themeColor="text1"/>
                <w:sz w:val="21"/>
                <w:szCs w:val="21"/>
                <w14:textFill>
                  <w14:solidFill>
                    <w14:schemeClr w14:val="tx1"/>
                  </w14:solidFill>
                </w14:textFill>
              </w:rPr>
            </w:pPr>
            <w:r>
              <w:rPr>
                <w:rFonts w:hint="eastAsia" w:ascii="宋体" w:hAnsi="宋体" w:eastAsia="宋体" w:cs="宋体"/>
                <w:b/>
                <w:bCs/>
                <w:snapToGrid w:val="0"/>
                <w:color w:val="000000" w:themeColor="text1"/>
                <w:sz w:val="21"/>
                <w:szCs w:val="21"/>
                <w14:textFill>
                  <w14:solidFill>
                    <w14:schemeClr w14:val="tx1"/>
                  </w14:solidFill>
                </w14:textFill>
              </w:rPr>
              <w:t>检查情况</w:t>
            </w:r>
          </w:p>
        </w:tc>
        <w:tc>
          <w:tcPr>
            <w:tcW w:w="771" w:type="dxa"/>
            <w:vAlign w:val="center"/>
          </w:tcPr>
          <w:p w14:paraId="27EEF2D5">
            <w:pPr>
              <w:suppressAutoHyphens/>
              <w:snapToGrid w:val="0"/>
              <w:spacing w:line="360" w:lineRule="auto"/>
              <w:jc w:val="center"/>
              <w:rPr>
                <w:rFonts w:hint="eastAsia" w:ascii="宋体" w:hAnsi="宋体" w:eastAsia="宋体" w:cs="宋体"/>
                <w:b/>
                <w:bCs/>
                <w:snapToGrid w:val="0"/>
                <w:color w:val="000000" w:themeColor="text1"/>
                <w:sz w:val="21"/>
                <w:szCs w:val="21"/>
                <w14:textFill>
                  <w14:solidFill>
                    <w14:schemeClr w14:val="tx1"/>
                  </w14:solidFill>
                </w14:textFill>
              </w:rPr>
            </w:pPr>
            <w:r>
              <w:rPr>
                <w:rFonts w:hint="eastAsia" w:ascii="宋体" w:hAnsi="宋体" w:eastAsia="宋体" w:cs="宋体"/>
                <w:b/>
                <w:bCs/>
                <w:snapToGrid w:val="0"/>
                <w:color w:val="000000" w:themeColor="text1"/>
                <w:sz w:val="21"/>
                <w:szCs w:val="21"/>
                <w14:textFill>
                  <w14:solidFill>
                    <w14:schemeClr w14:val="tx1"/>
                  </w14:solidFill>
                </w14:textFill>
              </w:rPr>
              <w:t>结论</w:t>
            </w:r>
          </w:p>
        </w:tc>
      </w:tr>
      <w:tr w14:paraId="4E51F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097" w:type="dxa"/>
            <w:gridSpan w:val="5"/>
            <w:vAlign w:val="center"/>
          </w:tcPr>
          <w:p w14:paraId="752F46EC">
            <w:pPr>
              <w:snapToGrid w:val="0"/>
              <w:spacing w:line="360"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厂址检查</w:t>
            </w:r>
          </w:p>
        </w:tc>
      </w:tr>
      <w:tr w14:paraId="5E799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2E13A6AD">
            <w:pPr>
              <w:adjustRightInd w:val="0"/>
              <w:snapToGrid w:val="0"/>
              <w:jc w:val="center"/>
              <w:rPr>
                <w:rFonts w:hint="eastAsia" w:ascii="宋体" w:hAnsi="宋体" w:eastAsia="宋体" w:cs="宋体"/>
                <w:color w:val="0000FF"/>
                <w:kern w:val="2"/>
                <w:sz w:val="21"/>
                <w:szCs w:val="21"/>
              </w:rPr>
            </w:pPr>
            <w:r>
              <w:rPr>
                <w:rFonts w:hint="eastAsia" w:ascii="宋体" w:hAnsi="宋体" w:eastAsia="宋体" w:cs="宋体"/>
                <w:color w:val="0000FF"/>
                <w:kern w:val="2"/>
                <w:sz w:val="21"/>
                <w:szCs w:val="21"/>
                <w:lang w:val="zh-CN"/>
              </w:rPr>
              <w:t>1</w:t>
            </w:r>
            <w:r>
              <w:rPr>
                <w:rFonts w:hint="eastAsia" w:hAnsi="宋体" w:cs="宋体"/>
                <w:color w:val="0000FF"/>
                <w:kern w:val="2"/>
                <w:sz w:val="21"/>
                <w:szCs w:val="21"/>
                <w:lang w:val="zh-CN"/>
              </w:rPr>
              <w:t>）</w:t>
            </w:r>
          </w:p>
        </w:tc>
        <w:tc>
          <w:tcPr>
            <w:tcW w:w="2993" w:type="dxa"/>
            <w:vAlign w:val="center"/>
          </w:tcPr>
          <w:p w14:paraId="73A8FB43">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厂址选择应符合国家的工业布局、城镇（乡）总体规划及土地利用总体规划的要求。  </w:t>
            </w:r>
          </w:p>
        </w:tc>
        <w:tc>
          <w:tcPr>
            <w:tcW w:w="2303" w:type="dxa"/>
            <w:vAlign w:val="center"/>
          </w:tcPr>
          <w:p w14:paraId="0EB97888">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17DD1F26">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第3.0.1条</w:t>
            </w:r>
          </w:p>
        </w:tc>
        <w:tc>
          <w:tcPr>
            <w:tcW w:w="2277" w:type="dxa"/>
            <w:vAlign w:val="center"/>
          </w:tcPr>
          <w:p w14:paraId="50A43084">
            <w:pPr>
              <w:adjustRightInd w:val="0"/>
              <w:snapToGrid w:val="0"/>
              <w:jc w:val="left"/>
              <w:rPr>
                <w:rFonts w:hint="default" w:ascii="宋体" w:hAnsi="宋体" w:eastAsia="宋体" w:cs="宋体"/>
                <w:color w:val="000000" w:themeColor="text1"/>
                <w:kern w:val="2"/>
                <w:sz w:val="21"/>
                <w:szCs w:val="21"/>
                <w:lang w:val="en-US"/>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该厂</w:t>
            </w:r>
            <w:r>
              <w:rPr>
                <w:rFonts w:hint="eastAsia" w:ascii="宋体" w:hAnsi="宋体" w:eastAsia="宋体" w:cs="宋体"/>
                <w:color w:val="000000" w:themeColor="text1"/>
                <w:kern w:val="2"/>
                <w:sz w:val="21"/>
                <w:szCs w:val="21"/>
                <w:lang w:val="en-US" w:eastAsia="zh-CN"/>
                <w14:textFill>
                  <w14:solidFill>
                    <w14:schemeClr w14:val="tx1"/>
                  </w14:solidFill>
                </w14:textFill>
              </w:rPr>
              <w:t>租南华腾龙物流有限公司场地建厂，</w:t>
            </w:r>
          </w:p>
          <w:p w14:paraId="11B9E048">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选址选择符合总体规划的要求。</w:t>
            </w:r>
          </w:p>
        </w:tc>
        <w:tc>
          <w:tcPr>
            <w:tcW w:w="771" w:type="dxa"/>
            <w:vAlign w:val="center"/>
          </w:tcPr>
          <w:p w14:paraId="0EEC6161">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59ECE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064E6B91">
            <w:pPr>
              <w:adjustRightInd w:val="0"/>
              <w:snapToGrid w:val="0"/>
              <w:jc w:val="center"/>
              <w:rPr>
                <w:rFonts w:hint="eastAsia" w:ascii="宋体" w:hAnsi="宋体" w:eastAsia="宋体" w:cs="宋体"/>
                <w:color w:val="0000FF"/>
                <w:kern w:val="2"/>
                <w:sz w:val="21"/>
                <w:szCs w:val="21"/>
                <w:lang w:val="zh-CN"/>
              </w:rPr>
            </w:pPr>
            <w:r>
              <w:rPr>
                <w:rFonts w:hint="eastAsia" w:ascii="宋体" w:hAnsi="宋体" w:eastAsia="宋体" w:cs="宋体"/>
                <w:color w:val="0000FF"/>
                <w:kern w:val="2"/>
                <w:sz w:val="21"/>
                <w:szCs w:val="21"/>
                <w:lang w:val="zh-CN"/>
              </w:rPr>
              <w:t>2</w:t>
            </w:r>
            <w:r>
              <w:rPr>
                <w:rFonts w:hint="eastAsia" w:hAnsi="宋体" w:cs="宋体"/>
                <w:color w:val="0000FF"/>
                <w:kern w:val="2"/>
                <w:sz w:val="21"/>
                <w:szCs w:val="21"/>
                <w:lang w:val="zh-CN"/>
              </w:rPr>
              <w:t>）</w:t>
            </w:r>
          </w:p>
        </w:tc>
        <w:tc>
          <w:tcPr>
            <w:tcW w:w="2993" w:type="dxa"/>
            <w:vAlign w:val="center"/>
          </w:tcPr>
          <w:p w14:paraId="703EDF96">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配套和服务工业企业的居住区、交通运输、动力公用设施、废料场及环境 保护工程、施工基地等用地，应与厂区用地同时选择。 </w:t>
            </w:r>
          </w:p>
        </w:tc>
        <w:tc>
          <w:tcPr>
            <w:tcW w:w="2303" w:type="dxa"/>
            <w:vAlign w:val="center"/>
          </w:tcPr>
          <w:p w14:paraId="1AE97D1A">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474EADC3">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第3.0.2条</w:t>
            </w:r>
          </w:p>
        </w:tc>
        <w:tc>
          <w:tcPr>
            <w:tcW w:w="2277" w:type="dxa"/>
            <w:vAlign w:val="center"/>
          </w:tcPr>
          <w:p w14:paraId="32F1DCC5">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生活区、动力公用设施等相应用地与厂区同时选择。</w:t>
            </w:r>
          </w:p>
        </w:tc>
        <w:tc>
          <w:tcPr>
            <w:tcW w:w="771" w:type="dxa"/>
            <w:vAlign w:val="center"/>
          </w:tcPr>
          <w:p w14:paraId="4ACE9C5C">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00E11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67CD335C">
            <w:pPr>
              <w:adjustRightInd w:val="0"/>
              <w:snapToGrid w:val="0"/>
              <w:jc w:val="center"/>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rPr>
              <w:t>3</w:t>
            </w:r>
            <w:r>
              <w:rPr>
                <w:rFonts w:hint="eastAsia" w:hAnsi="宋体" w:cs="宋体"/>
                <w:color w:val="0000FF"/>
                <w:kern w:val="2"/>
                <w:sz w:val="21"/>
                <w:szCs w:val="21"/>
                <w:lang w:eastAsia="zh-CN"/>
              </w:rPr>
              <w:t>）</w:t>
            </w:r>
          </w:p>
        </w:tc>
        <w:tc>
          <w:tcPr>
            <w:tcW w:w="2993" w:type="dxa"/>
            <w:vAlign w:val="center"/>
          </w:tcPr>
          <w:p w14:paraId="65D70F2E">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原料、燃料或产品运输量（特别）大的工业企业，厂址宜靠近原料、燃料 基地或产品主要销售地及协作条件好的地区。 </w:t>
            </w:r>
          </w:p>
        </w:tc>
        <w:tc>
          <w:tcPr>
            <w:tcW w:w="2303" w:type="dxa"/>
            <w:vAlign w:val="center"/>
          </w:tcPr>
          <w:p w14:paraId="5B5CEEE4">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5ACCD2F0">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第3.0.4条</w:t>
            </w:r>
          </w:p>
        </w:tc>
        <w:tc>
          <w:tcPr>
            <w:tcW w:w="2277" w:type="dxa"/>
            <w:vAlign w:val="center"/>
          </w:tcPr>
          <w:p w14:paraId="593E4682">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原料的采购、销售地条件较好。</w:t>
            </w:r>
          </w:p>
        </w:tc>
        <w:tc>
          <w:tcPr>
            <w:tcW w:w="771" w:type="dxa"/>
            <w:vAlign w:val="center"/>
          </w:tcPr>
          <w:p w14:paraId="7DC2AD88">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12CC7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3E3152E1">
            <w:pPr>
              <w:adjustRightInd w:val="0"/>
              <w:snapToGrid w:val="0"/>
              <w:jc w:val="center"/>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lang w:val="en-US" w:eastAsia="zh-CN"/>
              </w:rPr>
              <w:t>4</w:t>
            </w:r>
            <w:r>
              <w:rPr>
                <w:rFonts w:hint="eastAsia" w:hAnsi="宋体" w:cs="宋体"/>
                <w:color w:val="0000FF"/>
                <w:kern w:val="2"/>
                <w:sz w:val="21"/>
                <w:szCs w:val="21"/>
                <w:lang w:val="en-US" w:eastAsia="zh-CN"/>
              </w:rPr>
              <w:t>）</w:t>
            </w:r>
          </w:p>
        </w:tc>
        <w:tc>
          <w:tcPr>
            <w:tcW w:w="2993" w:type="dxa"/>
            <w:vAlign w:val="center"/>
          </w:tcPr>
          <w:p w14:paraId="3A78A1E5">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厂址应具有满足生产、生活及发展所必需的水源和电源。水源和电源与厂 址之间的管线连接应尽量短捷，且用水、用电量（特别）大的工业企业宜靠近水源及电源地。 </w:t>
            </w:r>
          </w:p>
        </w:tc>
        <w:tc>
          <w:tcPr>
            <w:tcW w:w="2303" w:type="dxa"/>
            <w:vAlign w:val="center"/>
          </w:tcPr>
          <w:p w14:paraId="25919CC7">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26470912">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第3.0.6条</w:t>
            </w:r>
          </w:p>
        </w:tc>
        <w:tc>
          <w:tcPr>
            <w:tcW w:w="2277" w:type="dxa"/>
            <w:vAlign w:val="center"/>
          </w:tcPr>
          <w:p w14:paraId="659358DF">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p>
          <w:p w14:paraId="4C93CD4A">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本项目</w:t>
            </w:r>
            <w:r>
              <w:rPr>
                <w:rFonts w:hint="eastAsia" w:ascii="宋体" w:hAnsi="宋体" w:eastAsia="宋体" w:cs="宋体"/>
                <w:color w:val="000000" w:themeColor="text1"/>
                <w:kern w:val="2"/>
                <w:sz w:val="21"/>
                <w:szCs w:val="21"/>
                <w:lang w:val="en-US" w:eastAsia="zh-CN"/>
                <w14:textFill>
                  <w14:solidFill>
                    <w14:schemeClr w14:val="tx1"/>
                  </w14:solidFill>
                </w14:textFill>
              </w:rPr>
              <w:t>生活、生产用水</w:t>
            </w:r>
            <w:r>
              <w:rPr>
                <w:rFonts w:hint="eastAsia" w:ascii="宋体" w:hAnsi="宋体" w:eastAsia="宋体" w:cs="宋体"/>
                <w:color w:val="000000" w:themeColor="text1"/>
                <w:kern w:val="2"/>
                <w:sz w:val="21"/>
                <w:szCs w:val="21"/>
                <w14:textFill>
                  <w14:solidFill>
                    <w14:schemeClr w14:val="tx1"/>
                  </w14:solidFill>
                </w14:textFill>
              </w:rPr>
              <w:t>均</w:t>
            </w:r>
            <w:r>
              <w:rPr>
                <w:rFonts w:hint="eastAsia" w:ascii="宋体" w:hAnsi="宋体" w:eastAsia="宋体" w:cs="宋体"/>
                <w:color w:val="000000" w:themeColor="text1"/>
                <w:kern w:val="2"/>
                <w:sz w:val="21"/>
                <w:szCs w:val="21"/>
                <w:lang w:val="zh-CN"/>
                <w14:textFill>
                  <w14:solidFill>
                    <w14:schemeClr w14:val="tx1"/>
                  </w14:solidFill>
                </w14:textFill>
              </w:rPr>
              <w:t>由园区自来水管网供水。</w:t>
            </w:r>
            <w:r>
              <w:rPr>
                <w:rFonts w:hint="eastAsia" w:ascii="宋体" w:hAnsi="宋体" w:eastAsia="宋体" w:cs="宋体"/>
                <w:color w:val="000000" w:themeColor="text1"/>
                <w:kern w:val="2"/>
                <w:sz w:val="21"/>
                <w:szCs w:val="21"/>
                <w14:textFill>
                  <w14:solidFill>
                    <w14:schemeClr w14:val="tx1"/>
                  </w14:solidFill>
                </w14:textFill>
              </w:rPr>
              <w:t>用电由</w:t>
            </w:r>
            <w:r>
              <w:rPr>
                <w:rFonts w:hint="eastAsia" w:ascii="宋体" w:hAnsi="宋体" w:eastAsia="宋体" w:cs="宋体"/>
                <w:color w:val="000000" w:themeColor="text1"/>
                <w:kern w:val="2"/>
                <w:sz w:val="21"/>
                <w:szCs w:val="21"/>
                <w:lang w:val="zh-CN"/>
                <w14:textFill>
                  <w14:solidFill>
                    <w14:schemeClr w14:val="tx1"/>
                  </w14:solidFill>
                </w14:textFill>
              </w:rPr>
              <w:t>园区供给，</w:t>
            </w:r>
            <w:r>
              <w:rPr>
                <w:rFonts w:hint="eastAsia" w:ascii="宋体" w:hAnsi="宋体" w:eastAsia="宋体" w:cs="宋体"/>
                <w:color w:val="000000" w:themeColor="text1"/>
                <w:kern w:val="2"/>
                <w:sz w:val="21"/>
                <w:szCs w:val="21"/>
                <w14:textFill>
                  <w14:solidFill>
                    <w14:schemeClr w14:val="tx1"/>
                  </w14:solidFill>
                </w14:textFill>
              </w:rPr>
              <w:t>能满足目前需求。</w:t>
            </w:r>
          </w:p>
          <w:p w14:paraId="40CEBC81">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p>
        </w:tc>
        <w:tc>
          <w:tcPr>
            <w:tcW w:w="771" w:type="dxa"/>
            <w:vAlign w:val="center"/>
          </w:tcPr>
          <w:p w14:paraId="797F15E8">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7341D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34C6F2F5">
            <w:pPr>
              <w:adjustRightInd w:val="0"/>
              <w:snapToGrid w:val="0"/>
              <w:jc w:val="center"/>
              <w:rPr>
                <w:rFonts w:hint="eastAsia" w:ascii="宋体" w:hAnsi="宋体" w:eastAsia="宋体" w:cs="宋体"/>
                <w:color w:val="0000FF"/>
                <w:kern w:val="2"/>
                <w:sz w:val="21"/>
                <w:szCs w:val="21"/>
                <w:lang w:val="en-US" w:eastAsia="zh-CN"/>
              </w:rPr>
            </w:pPr>
            <w:r>
              <w:rPr>
                <w:rFonts w:hint="eastAsia" w:ascii="宋体" w:hAnsi="宋体" w:eastAsia="宋体" w:cs="宋体"/>
                <w:color w:val="0000FF"/>
                <w:kern w:val="2"/>
                <w:sz w:val="21"/>
                <w:szCs w:val="21"/>
                <w:lang w:val="en-US" w:eastAsia="zh-CN"/>
              </w:rPr>
              <w:t>5</w:t>
            </w:r>
            <w:r>
              <w:rPr>
                <w:rFonts w:hint="eastAsia" w:hAnsi="宋体" w:cs="宋体"/>
                <w:color w:val="0000FF"/>
                <w:kern w:val="2"/>
                <w:sz w:val="21"/>
                <w:szCs w:val="21"/>
                <w:lang w:val="en-US" w:eastAsia="zh-CN"/>
              </w:rPr>
              <w:t>）</w:t>
            </w:r>
          </w:p>
        </w:tc>
        <w:tc>
          <w:tcPr>
            <w:tcW w:w="2993" w:type="dxa"/>
            <w:shd w:val="clear" w:color="auto" w:fill="auto"/>
            <w:vAlign w:val="center"/>
          </w:tcPr>
          <w:p w14:paraId="71DBF229">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厂址应具有满足建设工程需要的工程地质条件和水文地质条件。</w:t>
            </w:r>
          </w:p>
        </w:tc>
        <w:tc>
          <w:tcPr>
            <w:tcW w:w="2303" w:type="dxa"/>
            <w:shd w:val="clear" w:color="auto" w:fill="auto"/>
            <w:vAlign w:val="center"/>
          </w:tcPr>
          <w:p w14:paraId="5853D00B">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GB50187-2012第3.0.8条</w:t>
            </w:r>
          </w:p>
        </w:tc>
        <w:tc>
          <w:tcPr>
            <w:tcW w:w="2277" w:type="dxa"/>
            <w:shd w:val="clear" w:color="auto" w:fill="auto"/>
            <w:vAlign w:val="center"/>
          </w:tcPr>
          <w:p w14:paraId="44969FC5">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现场勘查未发现有开裂、地基沉降、地面塌陷等不良地质现象。</w:t>
            </w:r>
          </w:p>
        </w:tc>
        <w:tc>
          <w:tcPr>
            <w:tcW w:w="771" w:type="dxa"/>
            <w:shd w:val="clear" w:color="auto" w:fill="auto"/>
            <w:vAlign w:val="center"/>
          </w:tcPr>
          <w:p w14:paraId="56EEC896">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符合</w:t>
            </w:r>
          </w:p>
        </w:tc>
      </w:tr>
      <w:tr w14:paraId="6C5F5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129541E5">
            <w:pPr>
              <w:adjustRightInd w:val="0"/>
              <w:snapToGrid w:val="0"/>
              <w:jc w:val="center"/>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lang w:val="en-US" w:eastAsia="zh-CN"/>
              </w:rPr>
              <w:t>6</w:t>
            </w:r>
            <w:r>
              <w:rPr>
                <w:rFonts w:hint="eastAsia" w:hAnsi="宋体" w:cs="宋体"/>
                <w:color w:val="0000FF"/>
                <w:kern w:val="2"/>
                <w:sz w:val="21"/>
                <w:szCs w:val="21"/>
                <w:lang w:val="en-US" w:eastAsia="zh-CN"/>
              </w:rPr>
              <w:t>）</w:t>
            </w:r>
          </w:p>
        </w:tc>
        <w:tc>
          <w:tcPr>
            <w:tcW w:w="2993" w:type="dxa"/>
            <w:vAlign w:val="center"/>
          </w:tcPr>
          <w:p w14:paraId="6DA50646">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厂址应满足适宜的地形坡度，尽量避开自然地形复杂、自然坡度大的地段，应避免将盆地、积水洼地作为厂址 。</w:t>
            </w:r>
          </w:p>
        </w:tc>
        <w:tc>
          <w:tcPr>
            <w:tcW w:w="2303" w:type="dxa"/>
            <w:vAlign w:val="center"/>
          </w:tcPr>
          <w:p w14:paraId="6BE26498">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51F45623">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第3.0.10条</w:t>
            </w:r>
          </w:p>
        </w:tc>
        <w:tc>
          <w:tcPr>
            <w:tcW w:w="2277" w:type="dxa"/>
            <w:vAlign w:val="center"/>
          </w:tcPr>
          <w:p w14:paraId="0FD93339">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厂址具有适宜的地形坡度，不属于自然地形复杂、自然坡度大的地段。</w:t>
            </w:r>
          </w:p>
        </w:tc>
        <w:tc>
          <w:tcPr>
            <w:tcW w:w="771" w:type="dxa"/>
            <w:vAlign w:val="center"/>
          </w:tcPr>
          <w:p w14:paraId="7A262CF3">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0F47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025D90BB">
            <w:pPr>
              <w:adjustRightInd w:val="0"/>
              <w:snapToGrid w:val="0"/>
              <w:jc w:val="center"/>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lang w:val="en-US" w:eastAsia="zh-CN"/>
              </w:rPr>
              <w:t>7</w:t>
            </w:r>
            <w:r>
              <w:rPr>
                <w:rFonts w:hint="eastAsia" w:hAnsi="宋体" w:cs="宋体"/>
                <w:color w:val="0000FF"/>
                <w:kern w:val="2"/>
                <w:sz w:val="21"/>
                <w:szCs w:val="21"/>
                <w:lang w:val="en-US" w:eastAsia="zh-CN"/>
              </w:rPr>
              <w:t>）</w:t>
            </w:r>
          </w:p>
        </w:tc>
        <w:tc>
          <w:tcPr>
            <w:tcW w:w="2993" w:type="dxa"/>
            <w:vAlign w:val="center"/>
          </w:tcPr>
          <w:p w14:paraId="0937A32C">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厂址应有利于同邻近工业企业和依托城镇在生产、交通运输、动力公用、机修和器材供应、综合利用、发展循环经济和生活设施等方面的协作等方面的协作 。</w:t>
            </w:r>
          </w:p>
        </w:tc>
        <w:tc>
          <w:tcPr>
            <w:tcW w:w="2303" w:type="dxa"/>
            <w:vAlign w:val="center"/>
          </w:tcPr>
          <w:p w14:paraId="76BB42AF">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19CAD7E2">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第3.0.11条</w:t>
            </w:r>
          </w:p>
        </w:tc>
        <w:tc>
          <w:tcPr>
            <w:tcW w:w="2277" w:type="dxa"/>
            <w:vAlign w:val="center"/>
          </w:tcPr>
          <w:p w14:paraId="080F63CF">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项目</w:t>
            </w:r>
            <w:r>
              <w:rPr>
                <w:rFonts w:hint="eastAsia" w:ascii="宋体" w:hAnsi="宋体" w:eastAsia="宋体" w:cs="宋体"/>
                <w:color w:val="000000" w:themeColor="text1"/>
                <w:kern w:val="2"/>
                <w:sz w:val="21"/>
                <w:szCs w:val="21"/>
                <w:lang w:val="en-US" w:eastAsia="zh-CN"/>
                <w14:textFill>
                  <w14:solidFill>
                    <w14:schemeClr w14:val="tx1"/>
                  </w14:solidFill>
                </w14:textFill>
              </w:rPr>
              <w:t>位于</w:t>
            </w:r>
            <w:r>
              <w:rPr>
                <w:rFonts w:hint="eastAsia" w:ascii="宋体" w:hAnsi="宋体" w:eastAsia="宋体" w:cs="宋体"/>
                <w:color w:val="000000" w:themeColor="text1"/>
                <w:kern w:val="0"/>
                <w:sz w:val="21"/>
                <w:szCs w:val="21"/>
                <w14:textFill>
                  <w14:solidFill>
                    <w14:schemeClr w14:val="tx1"/>
                  </w14:solidFill>
                </w14:textFill>
              </w:rPr>
              <w:t>南华县龙川镇老高坝工业园区</w:t>
            </w:r>
            <w:r>
              <w:rPr>
                <w:rFonts w:hint="eastAsia" w:ascii="宋体" w:hAnsi="宋体" w:eastAsia="宋体" w:cs="宋体"/>
                <w:color w:val="000000" w:themeColor="text1"/>
                <w:kern w:val="0"/>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交通便利</w:t>
            </w:r>
            <w:r>
              <w:rPr>
                <w:rFonts w:hint="eastAsia" w:ascii="宋体" w:hAnsi="宋体" w:eastAsia="宋体" w:cs="宋体"/>
                <w:color w:val="000000" w:themeColor="text1"/>
                <w:sz w:val="21"/>
                <w:szCs w:val="21"/>
                <w:lang w:eastAsia="zh-CN"/>
                <w14:textFill>
                  <w14:solidFill>
                    <w14:schemeClr w14:val="tx1"/>
                  </w14:solidFill>
                </w14:textFill>
              </w:rPr>
              <w:t>。</w:t>
            </w:r>
          </w:p>
        </w:tc>
        <w:tc>
          <w:tcPr>
            <w:tcW w:w="771" w:type="dxa"/>
            <w:vAlign w:val="center"/>
          </w:tcPr>
          <w:p w14:paraId="62000211">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67CC8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71F203C2">
            <w:pPr>
              <w:adjustRightInd w:val="0"/>
              <w:snapToGrid w:val="0"/>
              <w:jc w:val="center"/>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lang w:val="en-US" w:eastAsia="zh-CN"/>
              </w:rPr>
              <w:t>8</w:t>
            </w:r>
            <w:r>
              <w:rPr>
                <w:rFonts w:hint="eastAsia" w:hAnsi="宋体" w:cs="宋体"/>
                <w:color w:val="0000FF"/>
                <w:kern w:val="2"/>
                <w:sz w:val="21"/>
                <w:szCs w:val="21"/>
                <w:lang w:val="en-US" w:eastAsia="zh-CN"/>
              </w:rPr>
              <w:t>）</w:t>
            </w:r>
          </w:p>
        </w:tc>
        <w:tc>
          <w:tcPr>
            <w:tcW w:w="2993" w:type="dxa"/>
            <w:vAlign w:val="center"/>
          </w:tcPr>
          <w:p w14:paraId="4D040DE3">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厂址应位于不受洪水、潮水或内涝威胁的地带 ，并应符合下列规定 ： </w:t>
            </w:r>
          </w:p>
          <w:p w14:paraId="7C0749AB">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1．当厂址不可避免不受洪水、潮水或内涝威胁的地带时，必 须采取防洪、排涝 措施； </w:t>
            </w:r>
          </w:p>
          <w:p w14:paraId="1D1140AD">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2．凡受江 、河、潮、海洪水、潮水或山洪威胁的工业企业，防洪标准应符合现行国家标准 《防洪标准 》GB 50201 的有关规定。</w:t>
            </w:r>
          </w:p>
        </w:tc>
        <w:tc>
          <w:tcPr>
            <w:tcW w:w="2303" w:type="dxa"/>
            <w:vAlign w:val="center"/>
          </w:tcPr>
          <w:p w14:paraId="53A27F1D">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71B754A7">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第3.0.12条</w:t>
            </w:r>
          </w:p>
        </w:tc>
        <w:tc>
          <w:tcPr>
            <w:tcW w:w="2277" w:type="dxa"/>
            <w:vAlign w:val="center"/>
          </w:tcPr>
          <w:p w14:paraId="66F48214">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该项目厂址不受洪水、潮水和内涝的威胁。</w:t>
            </w:r>
          </w:p>
        </w:tc>
        <w:tc>
          <w:tcPr>
            <w:tcW w:w="771" w:type="dxa"/>
            <w:vAlign w:val="center"/>
          </w:tcPr>
          <w:p w14:paraId="2BE4CE15">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7550A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797F2883">
            <w:pPr>
              <w:adjustRightInd w:val="0"/>
              <w:snapToGrid w:val="0"/>
              <w:jc w:val="center"/>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lang w:val="en-US" w:eastAsia="zh-CN"/>
              </w:rPr>
              <w:t>9</w:t>
            </w:r>
            <w:r>
              <w:rPr>
                <w:rFonts w:hint="eastAsia" w:hAnsi="宋体" w:cs="宋体"/>
                <w:color w:val="0000FF"/>
                <w:kern w:val="2"/>
                <w:sz w:val="21"/>
                <w:szCs w:val="21"/>
                <w:lang w:val="en-US" w:eastAsia="zh-CN"/>
              </w:rPr>
              <w:t>）</w:t>
            </w:r>
          </w:p>
        </w:tc>
        <w:tc>
          <w:tcPr>
            <w:tcW w:w="2993" w:type="dxa"/>
            <w:vAlign w:val="center"/>
          </w:tcPr>
          <w:p w14:paraId="3FA255B2">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山区建厂，当厂址位于山坡或山脚处时，应采取防止山洪、泥石流等 自然灾害的危害的加固措施，应对山坡的稳定性等作出地质灾害的危险性评估 报告。</w:t>
            </w:r>
          </w:p>
        </w:tc>
        <w:tc>
          <w:tcPr>
            <w:tcW w:w="2303" w:type="dxa"/>
            <w:vAlign w:val="center"/>
          </w:tcPr>
          <w:p w14:paraId="26BA6B24">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6F8F0515">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第3.0.13条 </w:t>
            </w:r>
          </w:p>
        </w:tc>
        <w:tc>
          <w:tcPr>
            <w:tcW w:w="2277" w:type="dxa"/>
            <w:vAlign w:val="center"/>
          </w:tcPr>
          <w:p w14:paraId="24F33FC8">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厂区未位于山区内，厂内排水设施满足雨季排水要求。</w:t>
            </w:r>
          </w:p>
        </w:tc>
        <w:tc>
          <w:tcPr>
            <w:tcW w:w="771" w:type="dxa"/>
            <w:vAlign w:val="center"/>
          </w:tcPr>
          <w:p w14:paraId="77FB1B84">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不涉及</w:t>
            </w:r>
          </w:p>
        </w:tc>
      </w:tr>
      <w:tr w14:paraId="7F2E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97" w:type="dxa"/>
            <w:gridSpan w:val="5"/>
            <w:vAlign w:val="center"/>
          </w:tcPr>
          <w:p w14:paraId="0DD37F93">
            <w:pPr>
              <w:snapToGrid w:val="0"/>
              <w:spacing w:line="360"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总平面布置检查</w:t>
            </w:r>
          </w:p>
        </w:tc>
      </w:tr>
      <w:tr w14:paraId="753CE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22A9B61B">
            <w:pPr>
              <w:adjustRightInd w:val="0"/>
              <w:snapToGrid w:val="0"/>
              <w:jc w:val="center"/>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rPr>
              <w:t>1</w:t>
            </w:r>
            <w:r>
              <w:rPr>
                <w:rFonts w:hint="eastAsia" w:hAnsi="宋体" w:cs="宋体"/>
                <w:color w:val="0000FF"/>
                <w:kern w:val="2"/>
                <w:sz w:val="21"/>
                <w:szCs w:val="21"/>
                <w:lang w:eastAsia="zh-CN"/>
              </w:rPr>
              <w:t>）</w:t>
            </w:r>
          </w:p>
        </w:tc>
        <w:tc>
          <w:tcPr>
            <w:tcW w:w="2993" w:type="dxa"/>
            <w:vAlign w:val="center"/>
          </w:tcPr>
          <w:p w14:paraId="2746C023">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产生有害气体、烟、雾、粉尘等有害物质的工业企业与居住区之间，应按现行国家标准《制定地方大气污染物排放标准的技术方法》GB/T 3840和有关工业企业设计卫生标准的规定，设置卫生防护距离，并应符合下列规定：</w:t>
            </w:r>
          </w:p>
          <w:p w14:paraId="27BCA46A">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（1）卫生防护距离用地应利用原有绿地、水塘、河流、山岗和不利于建筑房屋的地带；</w:t>
            </w:r>
          </w:p>
          <w:p w14:paraId="2794F96B">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（2）在卫生防护距离内不应设置永久居住的房屋，并应绿化。</w:t>
            </w:r>
          </w:p>
        </w:tc>
        <w:tc>
          <w:tcPr>
            <w:tcW w:w="2303" w:type="dxa"/>
            <w:vAlign w:val="center"/>
          </w:tcPr>
          <w:p w14:paraId="17A6113A">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11FBB8D3">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第4.2.1条</w:t>
            </w:r>
          </w:p>
        </w:tc>
        <w:tc>
          <w:tcPr>
            <w:tcW w:w="2277" w:type="dxa"/>
            <w:vAlign w:val="center"/>
          </w:tcPr>
          <w:p w14:paraId="7167DE20">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该项目无有害物散发。</w:t>
            </w:r>
          </w:p>
        </w:tc>
        <w:tc>
          <w:tcPr>
            <w:tcW w:w="771" w:type="dxa"/>
            <w:vAlign w:val="center"/>
          </w:tcPr>
          <w:p w14:paraId="10F55632">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78B82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74EE0EDE">
            <w:pPr>
              <w:adjustRightInd w:val="0"/>
              <w:snapToGrid w:val="0"/>
              <w:ind w:firstLine="210" w:firstLineChars="100"/>
              <w:jc w:val="left"/>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rPr>
              <w:t>2</w:t>
            </w:r>
            <w:r>
              <w:rPr>
                <w:rFonts w:hint="eastAsia" w:hAnsi="宋体" w:cs="宋体"/>
                <w:color w:val="0000FF"/>
                <w:kern w:val="2"/>
                <w:sz w:val="21"/>
                <w:szCs w:val="21"/>
                <w:lang w:eastAsia="zh-CN"/>
              </w:rPr>
              <w:t>）</w:t>
            </w:r>
          </w:p>
        </w:tc>
        <w:tc>
          <w:tcPr>
            <w:tcW w:w="2993" w:type="dxa"/>
            <w:shd w:val="clear" w:color="auto" w:fill="auto"/>
            <w:vAlign w:val="center"/>
          </w:tcPr>
          <w:p w14:paraId="04C25498">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企业职工居住和生活问题应利用社会资源解决。当需要设置居住区时，宜集中布置，也可与临近工业企业协作组成集中的居住区，并应符合当地城乡总体规划的要求</w:t>
            </w:r>
          </w:p>
        </w:tc>
        <w:tc>
          <w:tcPr>
            <w:tcW w:w="2303" w:type="dxa"/>
            <w:shd w:val="clear" w:color="auto" w:fill="auto"/>
            <w:vAlign w:val="center"/>
          </w:tcPr>
          <w:p w14:paraId="70807E44">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GB50187-2012第4.5.1条</w:t>
            </w:r>
          </w:p>
        </w:tc>
        <w:tc>
          <w:tcPr>
            <w:tcW w:w="2277" w:type="dxa"/>
            <w:shd w:val="clear" w:color="auto" w:fill="auto"/>
            <w:vAlign w:val="center"/>
          </w:tcPr>
          <w:p w14:paraId="15262D31">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本项目办公区与生产区分开设置</w:t>
            </w:r>
            <w:r>
              <w:rPr>
                <w:rFonts w:hint="eastAsia" w:ascii="宋体" w:hAnsi="宋体" w:eastAsia="宋体" w:cs="宋体"/>
                <w:color w:val="000000" w:themeColor="text1"/>
                <w:kern w:val="2"/>
                <w:sz w:val="21"/>
                <w:szCs w:val="21"/>
                <w:lang w:eastAsia="zh-CN"/>
                <w14:textFill>
                  <w14:solidFill>
                    <w14:schemeClr w14:val="tx1"/>
                  </w14:solidFill>
                </w14:textFill>
              </w:rPr>
              <w:t>。</w:t>
            </w:r>
          </w:p>
        </w:tc>
        <w:tc>
          <w:tcPr>
            <w:tcW w:w="771" w:type="dxa"/>
            <w:shd w:val="clear" w:color="auto" w:fill="auto"/>
            <w:vAlign w:val="center"/>
          </w:tcPr>
          <w:p w14:paraId="173D98EF">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0FF48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5BC277DC">
            <w:pPr>
              <w:adjustRightInd w:val="0"/>
              <w:snapToGrid w:val="0"/>
              <w:jc w:val="center"/>
              <w:rPr>
                <w:rFonts w:hint="eastAsia" w:ascii="宋体" w:hAnsi="宋体" w:eastAsia="宋体" w:cs="宋体"/>
                <w:color w:val="0000FF"/>
                <w:kern w:val="2"/>
                <w:sz w:val="21"/>
                <w:szCs w:val="21"/>
                <w:lang w:eastAsia="zh-CN"/>
              </w:rPr>
            </w:pPr>
            <w:r>
              <w:rPr>
                <w:rFonts w:hint="eastAsia" w:hAnsi="宋体" w:cs="宋体"/>
                <w:color w:val="0000FF"/>
                <w:kern w:val="2"/>
                <w:sz w:val="21"/>
                <w:szCs w:val="21"/>
                <w:lang w:val="en-US" w:eastAsia="zh-CN"/>
              </w:rPr>
              <w:t xml:space="preserve"> </w:t>
            </w:r>
            <w:r>
              <w:rPr>
                <w:rFonts w:hint="eastAsia" w:ascii="宋体" w:hAnsi="宋体" w:eastAsia="宋体" w:cs="宋体"/>
                <w:color w:val="0000FF"/>
                <w:kern w:val="2"/>
                <w:sz w:val="21"/>
                <w:szCs w:val="21"/>
                <w:lang w:val="en-US" w:eastAsia="zh-CN"/>
              </w:rPr>
              <w:t>3</w:t>
            </w:r>
            <w:r>
              <w:rPr>
                <w:rFonts w:hint="eastAsia" w:hAnsi="宋体" w:cs="宋体"/>
                <w:color w:val="0000FF"/>
                <w:kern w:val="2"/>
                <w:sz w:val="21"/>
                <w:szCs w:val="21"/>
                <w:lang w:val="en-US" w:eastAsia="zh-CN"/>
              </w:rPr>
              <w:t>）</w:t>
            </w:r>
          </w:p>
        </w:tc>
        <w:tc>
          <w:tcPr>
            <w:tcW w:w="2993" w:type="dxa"/>
            <w:vAlign w:val="center"/>
          </w:tcPr>
          <w:p w14:paraId="4CDAB531">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总平面布置，应在总体规划的基础上，根据工业企业的性质、规模、生产流程、交通运输、环境保护，以及防火、安全、卫生、节能、施工、检修、厂区发展等要求，结合场地自然条件，经技术经济比较后择优确定。</w:t>
            </w:r>
          </w:p>
        </w:tc>
        <w:tc>
          <w:tcPr>
            <w:tcW w:w="2303" w:type="dxa"/>
            <w:vAlign w:val="center"/>
          </w:tcPr>
          <w:p w14:paraId="2C25A8BC">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3B82A786">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第 5.1.1条 </w:t>
            </w:r>
          </w:p>
        </w:tc>
        <w:tc>
          <w:tcPr>
            <w:tcW w:w="2277" w:type="dxa"/>
            <w:vAlign w:val="center"/>
          </w:tcPr>
          <w:p w14:paraId="4EC1FD9E">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厂内总平面布置考虑了上述要求。</w:t>
            </w:r>
          </w:p>
        </w:tc>
        <w:tc>
          <w:tcPr>
            <w:tcW w:w="771" w:type="dxa"/>
            <w:vAlign w:val="center"/>
          </w:tcPr>
          <w:p w14:paraId="72E053EC">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17639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1E6EB47A">
            <w:pPr>
              <w:adjustRightInd w:val="0"/>
              <w:snapToGrid w:val="0"/>
              <w:jc w:val="center"/>
              <w:rPr>
                <w:rFonts w:hint="eastAsia" w:ascii="宋体" w:hAnsi="宋体" w:eastAsia="宋体" w:cs="宋体"/>
                <w:color w:val="0000FF"/>
                <w:kern w:val="2"/>
                <w:sz w:val="21"/>
                <w:szCs w:val="21"/>
                <w:lang w:eastAsia="zh-CN"/>
              </w:rPr>
            </w:pPr>
            <w:r>
              <w:rPr>
                <w:rFonts w:hint="eastAsia" w:hAnsi="宋体" w:cs="宋体"/>
                <w:color w:val="0000FF"/>
                <w:kern w:val="2"/>
                <w:sz w:val="21"/>
                <w:szCs w:val="21"/>
                <w:lang w:val="en-US" w:eastAsia="zh-CN"/>
              </w:rPr>
              <w:t xml:space="preserve"> </w:t>
            </w:r>
            <w:r>
              <w:rPr>
                <w:rFonts w:hint="eastAsia" w:ascii="宋体" w:hAnsi="宋体" w:eastAsia="宋体" w:cs="宋体"/>
                <w:color w:val="0000FF"/>
                <w:kern w:val="2"/>
                <w:sz w:val="21"/>
                <w:szCs w:val="21"/>
                <w:lang w:val="en-US" w:eastAsia="zh-CN"/>
              </w:rPr>
              <w:t>4</w:t>
            </w:r>
            <w:r>
              <w:rPr>
                <w:rFonts w:hint="eastAsia" w:hAnsi="宋体" w:cs="宋体"/>
                <w:color w:val="0000FF"/>
                <w:kern w:val="2"/>
                <w:sz w:val="21"/>
                <w:szCs w:val="21"/>
                <w:lang w:val="en-US" w:eastAsia="zh-CN"/>
              </w:rPr>
              <w:t>）</w:t>
            </w:r>
          </w:p>
        </w:tc>
        <w:tc>
          <w:tcPr>
            <w:tcW w:w="2993" w:type="dxa"/>
            <w:vAlign w:val="center"/>
          </w:tcPr>
          <w:p w14:paraId="2957599B">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总平面布置应节约集约用地，提高土地利用率。布置时并应符合下列要求：1在符合生产流程、操作要求和使用功能的前提下，建筑物、构筑物等设施，应采用联合、集中、多层布置；2 应按企业规模和功能分区，合理地确定通道宽度；3厂区功能分区及建筑物、构筑物的外形宜规整；4 功能分区内各项设施的布置，应紧凑、合理。</w:t>
            </w:r>
          </w:p>
        </w:tc>
        <w:tc>
          <w:tcPr>
            <w:tcW w:w="2303" w:type="dxa"/>
            <w:vAlign w:val="center"/>
          </w:tcPr>
          <w:p w14:paraId="175A4B57">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79382A88">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第5.1.2条</w:t>
            </w:r>
          </w:p>
        </w:tc>
        <w:tc>
          <w:tcPr>
            <w:tcW w:w="2277" w:type="dxa"/>
            <w:vAlign w:val="center"/>
          </w:tcPr>
          <w:p w14:paraId="6BC29E95">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本项目工艺设备布置</w:t>
            </w:r>
          </w:p>
          <w:p w14:paraId="2F486E83">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紧凑、合理，作业通道满足要求。</w:t>
            </w:r>
          </w:p>
        </w:tc>
        <w:tc>
          <w:tcPr>
            <w:tcW w:w="771" w:type="dxa"/>
            <w:vAlign w:val="center"/>
          </w:tcPr>
          <w:p w14:paraId="7362E87D">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5FA2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4B17A7DF">
            <w:pPr>
              <w:adjustRightInd w:val="0"/>
              <w:snapToGrid w:val="0"/>
              <w:jc w:val="center"/>
              <w:rPr>
                <w:rFonts w:hint="eastAsia" w:ascii="宋体" w:hAnsi="宋体" w:eastAsia="宋体" w:cs="宋体"/>
                <w:color w:val="0000FF"/>
                <w:kern w:val="2"/>
                <w:sz w:val="21"/>
                <w:szCs w:val="21"/>
                <w:lang w:eastAsia="zh-CN"/>
              </w:rPr>
            </w:pPr>
            <w:r>
              <w:rPr>
                <w:rFonts w:hint="eastAsia" w:hAnsi="宋体" w:cs="宋体"/>
                <w:color w:val="0000FF"/>
                <w:kern w:val="2"/>
                <w:sz w:val="21"/>
                <w:szCs w:val="21"/>
                <w:lang w:val="en-US" w:eastAsia="zh-CN"/>
              </w:rPr>
              <w:t xml:space="preserve"> </w:t>
            </w:r>
            <w:r>
              <w:rPr>
                <w:rFonts w:hint="eastAsia" w:ascii="宋体" w:hAnsi="宋体" w:eastAsia="宋体" w:cs="宋体"/>
                <w:color w:val="0000FF"/>
                <w:kern w:val="2"/>
                <w:sz w:val="21"/>
                <w:szCs w:val="21"/>
                <w:lang w:val="en-US" w:eastAsia="zh-CN"/>
              </w:rPr>
              <w:t>5</w:t>
            </w:r>
            <w:r>
              <w:rPr>
                <w:rFonts w:hint="eastAsia" w:hAnsi="宋体" w:cs="宋体"/>
                <w:color w:val="0000FF"/>
                <w:kern w:val="2"/>
                <w:sz w:val="21"/>
                <w:szCs w:val="21"/>
                <w:lang w:val="en-US" w:eastAsia="zh-CN"/>
              </w:rPr>
              <w:t>）</w:t>
            </w:r>
          </w:p>
        </w:tc>
        <w:tc>
          <w:tcPr>
            <w:tcW w:w="2993" w:type="dxa"/>
            <w:vAlign w:val="center"/>
          </w:tcPr>
          <w:p w14:paraId="7A36C132">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区的通道宽度，应符合下列要求：1应符合通道两侧建筑物、构筑物及露天设施对防火、安全与卫生间距的要求；2应符合铁路、道路与带式输送机通廊等工业运输线路的布置要求；3应符合各种工程管线的布置要求；4应符合绿化布置的要求；5应符合施工、安装与检修的要求；6应符合竖向设计的要求；7应符合预留发展用地的要求。</w:t>
            </w:r>
          </w:p>
        </w:tc>
        <w:tc>
          <w:tcPr>
            <w:tcW w:w="2303" w:type="dxa"/>
            <w:vAlign w:val="center"/>
          </w:tcPr>
          <w:p w14:paraId="1B6003C3">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33605E72">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第5.1.4 条 </w:t>
            </w:r>
          </w:p>
        </w:tc>
        <w:tc>
          <w:tcPr>
            <w:tcW w:w="2277" w:type="dxa"/>
            <w:vAlign w:val="center"/>
          </w:tcPr>
          <w:p w14:paraId="77A7489C">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本项目工艺设备布置紧凑、合理，厂内通道满足要求。</w:t>
            </w:r>
          </w:p>
        </w:tc>
        <w:tc>
          <w:tcPr>
            <w:tcW w:w="771" w:type="dxa"/>
            <w:vAlign w:val="center"/>
          </w:tcPr>
          <w:p w14:paraId="076F19B6">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0DD47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10045FDB">
            <w:pPr>
              <w:adjustRightInd w:val="0"/>
              <w:snapToGrid w:val="0"/>
              <w:jc w:val="center"/>
              <w:rPr>
                <w:rFonts w:hint="eastAsia" w:ascii="宋体" w:hAnsi="宋体" w:eastAsia="宋体" w:cs="宋体"/>
                <w:color w:val="0000FF"/>
                <w:kern w:val="2"/>
                <w:sz w:val="21"/>
                <w:szCs w:val="21"/>
                <w:lang w:eastAsia="zh-CN"/>
              </w:rPr>
            </w:pPr>
            <w:r>
              <w:rPr>
                <w:rFonts w:hint="eastAsia" w:hAnsi="宋体" w:cs="宋体"/>
                <w:color w:val="0000FF"/>
                <w:kern w:val="2"/>
                <w:sz w:val="21"/>
                <w:szCs w:val="21"/>
                <w:lang w:val="en-US" w:eastAsia="zh-CN"/>
              </w:rPr>
              <w:t xml:space="preserve"> </w:t>
            </w:r>
            <w:r>
              <w:rPr>
                <w:rFonts w:hint="eastAsia" w:ascii="宋体" w:hAnsi="宋体" w:eastAsia="宋体" w:cs="宋体"/>
                <w:color w:val="0000FF"/>
                <w:kern w:val="2"/>
                <w:sz w:val="21"/>
                <w:szCs w:val="21"/>
                <w:lang w:val="en-US" w:eastAsia="zh-CN"/>
              </w:rPr>
              <w:t>6</w:t>
            </w:r>
            <w:r>
              <w:rPr>
                <w:rFonts w:hint="eastAsia" w:hAnsi="宋体" w:cs="宋体"/>
                <w:color w:val="0000FF"/>
                <w:kern w:val="2"/>
                <w:sz w:val="21"/>
                <w:szCs w:val="21"/>
                <w:lang w:val="en-US" w:eastAsia="zh-CN"/>
              </w:rPr>
              <w:t>）</w:t>
            </w:r>
          </w:p>
        </w:tc>
        <w:tc>
          <w:tcPr>
            <w:tcW w:w="2993" w:type="dxa"/>
            <w:vAlign w:val="center"/>
          </w:tcPr>
          <w:p w14:paraId="40750A48">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总平面布置，应充分利用地形、地势、工程地质及水文地质条件，布置建筑物、构筑物和有关设施，应减少土（石）方工程量和基础工程费用，并应符合下列要求：1当厂区地形坡度较大时，建筑物、构筑物的长轴宜顺等高线布置；2应结合地形及竖向设计，为物料采用自流管道及高站台、低货位等设施创造条件。</w:t>
            </w:r>
          </w:p>
        </w:tc>
        <w:tc>
          <w:tcPr>
            <w:tcW w:w="2303" w:type="dxa"/>
            <w:vAlign w:val="center"/>
          </w:tcPr>
          <w:p w14:paraId="1ACF27DD">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59528AE7">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 xml:space="preserve">第5.1.5条  </w:t>
            </w:r>
          </w:p>
        </w:tc>
        <w:tc>
          <w:tcPr>
            <w:tcW w:w="2277" w:type="dxa"/>
            <w:vAlign w:val="center"/>
          </w:tcPr>
          <w:p w14:paraId="4D41FA0F">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厂内建构筑物布置依托了原有地形、地势条件进行布置。</w:t>
            </w:r>
          </w:p>
        </w:tc>
        <w:tc>
          <w:tcPr>
            <w:tcW w:w="771" w:type="dxa"/>
            <w:vAlign w:val="center"/>
          </w:tcPr>
          <w:p w14:paraId="217A4FBA">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3A5F5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477CB1F7">
            <w:pPr>
              <w:adjustRightInd w:val="0"/>
              <w:snapToGrid w:val="0"/>
              <w:ind w:firstLine="210" w:firstLineChars="100"/>
              <w:jc w:val="left"/>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lang w:val="en-US" w:eastAsia="zh-CN"/>
              </w:rPr>
              <w:t>7</w:t>
            </w:r>
            <w:r>
              <w:rPr>
                <w:rFonts w:hint="eastAsia" w:hAnsi="宋体" w:cs="宋体"/>
                <w:color w:val="0000FF"/>
                <w:kern w:val="2"/>
                <w:sz w:val="21"/>
                <w:szCs w:val="21"/>
                <w:lang w:val="en-US" w:eastAsia="zh-CN"/>
              </w:rPr>
              <w:t>）</w:t>
            </w:r>
          </w:p>
        </w:tc>
        <w:tc>
          <w:tcPr>
            <w:tcW w:w="2993" w:type="dxa"/>
            <w:vAlign w:val="center"/>
          </w:tcPr>
          <w:p w14:paraId="4C6F3B3E">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总平面布置应采取防止高温、有害气体、烟、雾、粉尘、强烈振动和高噪声对周围环境和人身安全的危害的安全保障措施，并应符合现行国家有关工业企业卫生设计标准的规定。</w:t>
            </w:r>
          </w:p>
        </w:tc>
        <w:tc>
          <w:tcPr>
            <w:tcW w:w="2303" w:type="dxa"/>
            <w:vAlign w:val="center"/>
          </w:tcPr>
          <w:p w14:paraId="503C4B9B">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5807D82D">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第5.1.7条</w:t>
            </w:r>
          </w:p>
        </w:tc>
        <w:tc>
          <w:tcPr>
            <w:tcW w:w="2277" w:type="dxa"/>
            <w:vAlign w:val="center"/>
          </w:tcPr>
          <w:p w14:paraId="6A23053A">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项目</w:t>
            </w:r>
            <w:r>
              <w:rPr>
                <w:rFonts w:hint="eastAsia" w:ascii="宋体" w:hAnsi="宋体" w:eastAsia="宋体" w:cs="宋体"/>
                <w:color w:val="000000" w:themeColor="text1"/>
                <w:kern w:val="2"/>
                <w:sz w:val="21"/>
                <w:szCs w:val="21"/>
                <w:lang w:val="en-US" w:eastAsia="zh-CN"/>
                <w14:textFill>
                  <w14:solidFill>
                    <w14:schemeClr w14:val="tx1"/>
                  </w14:solidFill>
                </w14:textFill>
              </w:rPr>
              <w:t>磨粉</w:t>
            </w:r>
            <w:r>
              <w:rPr>
                <w:rFonts w:hint="eastAsia" w:ascii="宋体" w:hAnsi="宋体" w:eastAsia="宋体" w:cs="宋体"/>
                <w:color w:val="000000" w:themeColor="text1"/>
                <w:kern w:val="2"/>
                <w:sz w:val="21"/>
                <w:szCs w:val="21"/>
                <w14:textFill>
                  <w14:solidFill>
                    <w14:schemeClr w14:val="tx1"/>
                  </w14:solidFill>
                </w14:textFill>
              </w:rPr>
              <w:t>工段会产生粉尘，已设置有除尘设备。配发了相应劳保物品。</w:t>
            </w:r>
          </w:p>
        </w:tc>
        <w:tc>
          <w:tcPr>
            <w:tcW w:w="771" w:type="dxa"/>
            <w:vAlign w:val="center"/>
          </w:tcPr>
          <w:p w14:paraId="35DE1D0E">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1CAD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6F620EA2">
            <w:pPr>
              <w:adjustRightInd w:val="0"/>
              <w:snapToGrid w:val="0"/>
              <w:jc w:val="center"/>
              <w:rPr>
                <w:rFonts w:hint="eastAsia" w:ascii="宋体" w:hAnsi="宋体" w:eastAsia="宋体" w:cs="宋体"/>
                <w:color w:val="0000FF"/>
                <w:kern w:val="2"/>
                <w:sz w:val="21"/>
                <w:szCs w:val="21"/>
                <w:lang w:eastAsia="zh-CN"/>
              </w:rPr>
            </w:pPr>
            <w:r>
              <w:rPr>
                <w:rFonts w:hint="eastAsia" w:ascii="宋体" w:hAnsi="宋体" w:eastAsia="宋体" w:cs="宋体"/>
                <w:color w:val="0000FF"/>
                <w:kern w:val="2"/>
                <w:sz w:val="21"/>
                <w:szCs w:val="21"/>
                <w:lang w:val="en-US" w:eastAsia="zh-CN"/>
              </w:rPr>
              <w:t>8</w:t>
            </w:r>
            <w:r>
              <w:rPr>
                <w:rFonts w:hint="eastAsia" w:hAnsi="宋体" w:cs="宋体"/>
                <w:color w:val="0000FF"/>
                <w:kern w:val="2"/>
                <w:sz w:val="21"/>
                <w:szCs w:val="21"/>
                <w:lang w:val="en-US" w:eastAsia="zh-CN"/>
              </w:rPr>
              <w:t>）</w:t>
            </w:r>
          </w:p>
        </w:tc>
        <w:tc>
          <w:tcPr>
            <w:tcW w:w="2993" w:type="dxa"/>
            <w:vAlign w:val="center"/>
          </w:tcPr>
          <w:p w14:paraId="184A7E15">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总平面布置，应合理地组织货流和人流，并应符合下列要求：1运输线路的布置，应保证物流顺畅、径路短捷、不折返；2应避免运输繁忙的铁路与道路平面交叉；3应使人、货分流，应避免运输繁忙的货流与人流交叉；4应避免进出厂的主要货流与企业外部交通干线的平面交叉。</w:t>
            </w:r>
          </w:p>
        </w:tc>
        <w:tc>
          <w:tcPr>
            <w:tcW w:w="2303" w:type="dxa"/>
            <w:vAlign w:val="center"/>
          </w:tcPr>
          <w:p w14:paraId="50945ABC">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《工业企业总平面设计规范》（GB50187-2012）</w:t>
            </w:r>
          </w:p>
          <w:p w14:paraId="04EEBBB9">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第5.1.8条</w:t>
            </w:r>
          </w:p>
        </w:tc>
        <w:tc>
          <w:tcPr>
            <w:tcW w:w="2277" w:type="dxa"/>
            <w:vAlign w:val="center"/>
          </w:tcPr>
          <w:p w14:paraId="1692167B">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厂区交通运输通畅。</w:t>
            </w:r>
          </w:p>
        </w:tc>
        <w:tc>
          <w:tcPr>
            <w:tcW w:w="771" w:type="dxa"/>
            <w:vAlign w:val="center"/>
          </w:tcPr>
          <w:p w14:paraId="33D2301D">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5133C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shd w:val="clear" w:color="auto" w:fill="auto"/>
            <w:vAlign w:val="center"/>
          </w:tcPr>
          <w:p w14:paraId="1C85E861">
            <w:pPr>
              <w:adjustRightInd w:val="0"/>
              <w:snapToGrid w:val="0"/>
              <w:jc w:val="center"/>
              <w:rPr>
                <w:rFonts w:hint="default" w:ascii="宋体" w:hAnsi="宋体" w:eastAsia="宋体" w:cs="宋体"/>
                <w:color w:val="0000FF"/>
                <w:kern w:val="2"/>
                <w:sz w:val="21"/>
                <w:szCs w:val="21"/>
                <w:lang w:val="en-US" w:eastAsia="zh-CN"/>
              </w:rPr>
            </w:pPr>
            <w:bookmarkStart w:id="604" w:name="_Toc278151422"/>
            <w:bookmarkStart w:id="605" w:name="_Toc309682498"/>
            <w:bookmarkStart w:id="606" w:name="_Toc202575710"/>
            <w:bookmarkStart w:id="607" w:name="_Toc201767300"/>
            <w:bookmarkStart w:id="608" w:name="_Toc327017835"/>
            <w:r>
              <w:rPr>
                <w:rFonts w:hint="eastAsia" w:ascii="宋体" w:hAnsi="宋体" w:eastAsia="宋体" w:cs="宋体"/>
                <w:color w:val="0000FF"/>
                <w:kern w:val="2"/>
                <w:sz w:val="21"/>
                <w:szCs w:val="21"/>
                <w:lang w:val="en-US" w:eastAsia="zh-CN"/>
              </w:rPr>
              <w:t>9</w:t>
            </w:r>
            <w:r>
              <w:rPr>
                <w:rFonts w:hint="eastAsia" w:hAnsi="宋体" w:cs="宋体"/>
                <w:color w:val="0000FF"/>
                <w:kern w:val="2"/>
                <w:sz w:val="21"/>
                <w:szCs w:val="21"/>
                <w:lang w:val="en-US" w:eastAsia="zh-CN"/>
              </w:rPr>
              <w:t>）</w:t>
            </w:r>
          </w:p>
        </w:tc>
        <w:tc>
          <w:tcPr>
            <w:tcW w:w="2993" w:type="dxa"/>
            <w:shd w:val="clear" w:color="auto" w:fill="auto"/>
            <w:vAlign w:val="center"/>
          </w:tcPr>
          <w:p w14:paraId="2749E2A5">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行政办公及生活服务设施的布置，应位于厂区全年最小频率风向的下风侧，并应符合下列要求：</w:t>
            </w:r>
          </w:p>
          <w:p w14:paraId="7ABECBB9">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1 应布置在便于行政办公、环境洁净、靠近主要人流出入口、与城镇和居住区联系方便的位置；</w:t>
            </w:r>
          </w:p>
          <w:p w14:paraId="36C34A05">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2 行政办公及生活服务设施的用地面积，不得超过工业项目总用地面积的7%。</w:t>
            </w:r>
          </w:p>
        </w:tc>
        <w:tc>
          <w:tcPr>
            <w:tcW w:w="2303" w:type="dxa"/>
            <w:shd w:val="clear" w:color="auto" w:fill="auto"/>
            <w:vAlign w:val="center"/>
          </w:tcPr>
          <w:p w14:paraId="77DA87B6">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GB50187-2012第5.7.1条</w:t>
            </w:r>
          </w:p>
        </w:tc>
        <w:tc>
          <w:tcPr>
            <w:tcW w:w="2277" w:type="dxa"/>
            <w:shd w:val="clear" w:color="auto" w:fill="auto"/>
            <w:vAlign w:val="center"/>
          </w:tcPr>
          <w:p w14:paraId="21430CD2">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该项目行政办公区位于厂区的</w:t>
            </w:r>
            <w:r>
              <w:rPr>
                <w:rFonts w:hint="eastAsia" w:ascii="宋体" w:hAnsi="宋体" w:eastAsia="宋体" w:cs="宋体"/>
                <w:color w:val="000000" w:themeColor="text1"/>
                <w:kern w:val="2"/>
                <w:sz w:val="21"/>
                <w:szCs w:val="21"/>
                <w:lang w:val="en-US" w:eastAsia="zh-CN"/>
                <w14:textFill>
                  <w14:solidFill>
                    <w14:schemeClr w14:val="tx1"/>
                  </w14:solidFill>
                </w14:textFill>
              </w:rPr>
              <w:t>北侧</w:t>
            </w:r>
            <w:r>
              <w:rPr>
                <w:rFonts w:hint="eastAsia" w:ascii="宋体" w:hAnsi="宋体" w:eastAsia="宋体" w:cs="宋体"/>
                <w:color w:val="000000" w:themeColor="text1"/>
                <w:kern w:val="2"/>
                <w:sz w:val="21"/>
                <w:szCs w:val="21"/>
                <w14:textFill>
                  <w14:solidFill>
                    <w14:schemeClr w14:val="tx1"/>
                  </w14:solidFill>
                </w14:textFill>
              </w:rPr>
              <w:t>，与生产区分开设置。</w:t>
            </w:r>
          </w:p>
        </w:tc>
        <w:tc>
          <w:tcPr>
            <w:tcW w:w="771" w:type="dxa"/>
            <w:shd w:val="clear" w:color="auto" w:fill="auto"/>
            <w:vAlign w:val="center"/>
          </w:tcPr>
          <w:p w14:paraId="0F4364B7">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2506E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shd w:val="clear" w:color="auto" w:fill="auto"/>
            <w:vAlign w:val="center"/>
          </w:tcPr>
          <w:p w14:paraId="28CC6BAB">
            <w:pPr>
              <w:adjustRightInd w:val="0"/>
              <w:snapToGrid w:val="0"/>
              <w:jc w:val="center"/>
              <w:rPr>
                <w:rFonts w:hint="default" w:ascii="宋体" w:hAnsi="宋体" w:eastAsia="宋体" w:cs="宋体"/>
                <w:color w:val="0000FF"/>
                <w:kern w:val="2"/>
                <w:sz w:val="21"/>
                <w:szCs w:val="21"/>
                <w:lang w:val="en-US" w:eastAsia="zh-CN"/>
              </w:rPr>
            </w:pPr>
            <w:r>
              <w:rPr>
                <w:rFonts w:hint="eastAsia" w:ascii="宋体" w:hAnsi="宋体" w:eastAsia="宋体" w:cs="宋体"/>
                <w:color w:val="0000FF"/>
                <w:kern w:val="2"/>
                <w:sz w:val="21"/>
                <w:szCs w:val="21"/>
                <w:lang w:val="en-US" w:eastAsia="zh-CN"/>
              </w:rPr>
              <w:t>10</w:t>
            </w:r>
            <w:r>
              <w:rPr>
                <w:rFonts w:hint="eastAsia" w:hAnsi="宋体" w:cs="宋体"/>
                <w:color w:val="0000FF"/>
                <w:kern w:val="2"/>
                <w:sz w:val="21"/>
                <w:szCs w:val="21"/>
                <w:lang w:val="en-US" w:eastAsia="zh-CN"/>
              </w:rPr>
              <w:t>）</w:t>
            </w:r>
          </w:p>
        </w:tc>
        <w:tc>
          <w:tcPr>
            <w:tcW w:w="2993" w:type="dxa"/>
            <w:shd w:val="clear" w:color="auto" w:fill="auto"/>
            <w:vAlign w:val="center"/>
          </w:tcPr>
          <w:p w14:paraId="1AEAE417">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厂区出入口的位置和数量，应根据企业的生产规模、总体规划、厂区用地面积及总平面布置等因素综合确定，并应符合下列要求：</w:t>
            </w:r>
          </w:p>
          <w:p w14:paraId="1B46E6AE">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1 出入口的数量不宜少于2个；</w:t>
            </w:r>
          </w:p>
          <w:p w14:paraId="7C216F85">
            <w:pPr>
              <w:adjustRightInd w:val="0"/>
              <w:snapToGrid w:val="0"/>
              <w:jc w:val="left"/>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2 主要人流出入口宜与主要货流出入口分开设置，并应位于厂区主干道通往居住区或城镇的一侧；主要货流出入口应位于主要货流方向，应靠近运输繁忙的仓库、堆场，并应与外部运输线路连接方便；</w:t>
            </w:r>
          </w:p>
          <w:p w14:paraId="22F75523">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3 铁路出入口，应具备良好的瞭望条件。</w:t>
            </w:r>
          </w:p>
        </w:tc>
        <w:tc>
          <w:tcPr>
            <w:tcW w:w="2303" w:type="dxa"/>
            <w:shd w:val="clear" w:color="auto" w:fill="auto"/>
            <w:vAlign w:val="center"/>
          </w:tcPr>
          <w:p w14:paraId="08E7AAC9">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GB50187-2012第5.7.4条</w:t>
            </w:r>
          </w:p>
        </w:tc>
        <w:tc>
          <w:tcPr>
            <w:tcW w:w="2277" w:type="dxa"/>
            <w:shd w:val="clear" w:color="auto" w:fill="auto"/>
            <w:vAlign w:val="center"/>
          </w:tcPr>
          <w:p w14:paraId="37C2ECF0">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厂区内生产车间出入口数量大于2个。</w:t>
            </w:r>
          </w:p>
        </w:tc>
        <w:tc>
          <w:tcPr>
            <w:tcW w:w="771" w:type="dxa"/>
            <w:shd w:val="clear" w:color="auto" w:fill="auto"/>
            <w:vAlign w:val="center"/>
          </w:tcPr>
          <w:p w14:paraId="70F61D1F">
            <w:pPr>
              <w:adjustRightInd w:val="0"/>
              <w:snapToGrid w:val="0"/>
              <w:jc w:val="left"/>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6554C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shd w:val="clear" w:color="auto" w:fill="auto"/>
            <w:vAlign w:val="center"/>
          </w:tcPr>
          <w:p w14:paraId="6DB18701">
            <w:pPr>
              <w:adjustRightInd w:val="0"/>
              <w:snapToGrid w:val="0"/>
              <w:jc w:val="center"/>
              <w:rPr>
                <w:rFonts w:hint="default" w:ascii="宋体" w:hAnsi="宋体" w:eastAsia="宋体" w:cs="宋体"/>
                <w:color w:val="0000FF"/>
                <w:kern w:val="2"/>
                <w:sz w:val="21"/>
                <w:szCs w:val="21"/>
                <w:lang w:val="en-US" w:eastAsia="zh-CN"/>
              </w:rPr>
            </w:pPr>
            <w:r>
              <w:rPr>
                <w:rFonts w:hint="eastAsia" w:ascii="宋体" w:hAnsi="宋体" w:eastAsia="宋体" w:cs="宋体"/>
                <w:color w:val="0000FF"/>
                <w:kern w:val="2"/>
                <w:sz w:val="21"/>
                <w:szCs w:val="21"/>
                <w:lang w:val="en-US" w:eastAsia="zh-CN"/>
              </w:rPr>
              <w:t>11</w:t>
            </w:r>
            <w:r>
              <w:rPr>
                <w:rFonts w:hint="eastAsia" w:hAnsi="宋体" w:cs="宋体"/>
                <w:color w:val="0000FF"/>
                <w:kern w:val="2"/>
                <w:sz w:val="21"/>
                <w:szCs w:val="21"/>
                <w:lang w:val="en-US" w:eastAsia="zh-CN"/>
              </w:rPr>
              <w:t>）</w:t>
            </w:r>
          </w:p>
          <w:p w14:paraId="24D50BB1">
            <w:pPr>
              <w:adjustRightInd w:val="0"/>
              <w:snapToGrid w:val="0"/>
              <w:jc w:val="center"/>
              <w:rPr>
                <w:rFonts w:hint="eastAsia" w:ascii="宋体" w:hAnsi="宋体" w:eastAsia="宋体" w:cs="宋体"/>
                <w:color w:val="0000FF"/>
                <w:kern w:val="2"/>
                <w:sz w:val="21"/>
                <w:szCs w:val="21"/>
                <w:lang w:val="en-US" w:eastAsia="zh-CN"/>
              </w:rPr>
            </w:pPr>
          </w:p>
        </w:tc>
        <w:tc>
          <w:tcPr>
            <w:tcW w:w="2993" w:type="dxa"/>
            <w:shd w:val="clear" w:color="auto" w:fill="auto"/>
            <w:vAlign w:val="center"/>
          </w:tcPr>
          <w:p w14:paraId="27FF1CDE">
            <w:pPr>
              <w:adjustRightInd w:val="0"/>
              <w:snapToGrid w:val="0"/>
              <w:jc w:val="center"/>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员工宿舍严禁设置在厂房内。</w:t>
            </w:r>
          </w:p>
        </w:tc>
        <w:tc>
          <w:tcPr>
            <w:tcW w:w="2303" w:type="dxa"/>
            <w:shd w:val="clear" w:color="auto" w:fill="auto"/>
            <w:vAlign w:val="center"/>
          </w:tcPr>
          <w:p w14:paraId="2D699622">
            <w:pPr>
              <w:adjustRightInd w:val="0"/>
              <w:snapToGrid w:val="0"/>
              <w:jc w:val="center"/>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《建筑设计防火规范（2018年版）》（GB 50016-2014）3.3.5</w:t>
            </w:r>
          </w:p>
        </w:tc>
        <w:tc>
          <w:tcPr>
            <w:tcW w:w="2277" w:type="dxa"/>
            <w:shd w:val="clear" w:color="auto" w:fill="auto"/>
            <w:vAlign w:val="center"/>
          </w:tcPr>
          <w:p w14:paraId="2BAA69E4">
            <w:pPr>
              <w:adjustRightInd w:val="0"/>
              <w:snapToGrid w:val="0"/>
              <w:jc w:val="center"/>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default" w:ascii="宋体" w:hAnsi="宋体" w:eastAsia="宋体" w:cs="宋体"/>
                <w:color w:val="000000" w:themeColor="text1"/>
                <w:kern w:val="2"/>
                <w:sz w:val="21"/>
                <w:szCs w:val="21"/>
                <w:lang w:val="zh-CN"/>
                <w14:textFill>
                  <w14:solidFill>
                    <w14:schemeClr w14:val="tx1"/>
                  </w14:solidFill>
                </w14:textFill>
              </w:rPr>
              <w:t>项目厂房内未设置员工宿舍。</w:t>
            </w:r>
          </w:p>
        </w:tc>
        <w:tc>
          <w:tcPr>
            <w:tcW w:w="771" w:type="dxa"/>
            <w:shd w:val="clear" w:color="auto" w:fill="auto"/>
            <w:vAlign w:val="center"/>
          </w:tcPr>
          <w:p w14:paraId="4F789C1F">
            <w:pPr>
              <w:adjustRightInd w:val="0"/>
              <w:snapToGrid w:val="0"/>
              <w:jc w:val="center"/>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3A5B1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shd w:val="clear" w:color="auto" w:fill="auto"/>
            <w:vAlign w:val="center"/>
          </w:tcPr>
          <w:p w14:paraId="2A713F9E">
            <w:pPr>
              <w:adjustRightInd w:val="0"/>
              <w:snapToGrid w:val="0"/>
              <w:jc w:val="center"/>
              <w:rPr>
                <w:rFonts w:hint="default" w:ascii="宋体" w:hAnsi="宋体" w:eastAsia="宋体" w:cs="宋体"/>
                <w:color w:val="0000FF"/>
                <w:kern w:val="2"/>
                <w:sz w:val="21"/>
                <w:szCs w:val="21"/>
                <w:lang w:val="en-US" w:eastAsia="zh-CN"/>
              </w:rPr>
            </w:pPr>
            <w:r>
              <w:rPr>
                <w:rFonts w:hint="eastAsia" w:ascii="宋体" w:hAnsi="宋体" w:eastAsia="宋体" w:cs="宋体"/>
                <w:color w:val="0000FF"/>
                <w:kern w:val="2"/>
                <w:sz w:val="21"/>
                <w:szCs w:val="21"/>
                <w:lang w:val="en-US" w:eastAsia="zh-CN"/>
              </w:rPr>
              <w:t>12</w:t>
            </w:r>
            <w:r>
              <w:rPr>
                <w:rFonts w:hint="eastAsia" w:hAnsi="宋体" w:cs="宋体"/>
                <w:color w:val="0000FF"/>
                <w:kern w:val="2"/>
                <w:sz w:val="21"/>
                <w:szCs w:val="21"/>
                <w:lang w:val="en-US" w:eastAsia="zh-CN"/>
              </w:rPr>
              <w:t>）</w:t>
            </w:r>
          </w:p>
        </w:tc>
        <w:tc>
          <w:tcPr>
            <w:tcW w:w="2993" w:type="dxa"/>
            <w:shd w:val="clear" w:color="auto" w:fill="auto"/>
            <w:vAlign w:val="center"/>
          </w:tcPr>
          <w:p w14:paraId="4404A224">
            <w:pPr>
              <w:adjustRightInd w:val="0"/>
              <w:snapToGrid w:val="0"/>
              <w:jc w:val="center"/>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员工宿舍严禁设置在仓库内。</w:t>
            </w:r>
          </w:p>
        </w:tc>
        <w:tc>
          <w:tcPr>
            <w:tcW w:w="2303" w:type="dxa"/>
            <w:shd w:val="clear" w:color="auto" w:fill="auto"/>
            <w:vAlign w:val="center"/>
          </w:tcPr>
          <w:p w14:paraId="2B50D764">
            <w:pPr>
              <w:adjustRightInd w:val="0"/>
              <w:snapToGrid w:val="0"/>
              <w:jc w:val="center"/>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《建筑设计防火规范（2018年版）》（GB 50016-2014）3.3.9</w:t>
            </w:r>
          </w:p>
        </w:tc>
        <w:tc>
          <w:tcPr>
            <w:tcW w:w="2277" w:type="dxa"/>
            <w:shd w:val="clear" w:color="auto" w:fill="auto"/>
            <w:vAlign w:val="center"/>
          </w:tcPr>
          <w:p w14:paraId="7DA5B3B4">
            <w:pPr>
              <w:adjustRightInd w:val="0"/>
              <w:snapToGrid w:val="0"/>
              <w:jc w:val="center"/>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仓库内无员工宿舍</w:t>
            </w:r>
          </w:p>
        </w:tc>
        <w:tc>
          <w:tcPr>
            <w:tcW w:w="771" w:type="dxa"/>
            <w:shd w:val="clear" w:color="auto" w:fill="auto"/>
            <w:vAlign w:val="center"/>
          </w:tcPr>
          <w:p w14:paraId="0ADE908A">
            <w:pPr>
              <w:adjustRightInd w:val="0"/>
              <w:snapToGrid w:val="0"/>
              <w:jc w:val="center"/>
              <w:rPr>
                <w:rFonts w:hint="eastAsia" w:ascii="宋体" w:hAnsi="宋体" w:eastAsia="宋体" w:cs="宋体"/>
                <w:color w:val="000000" w:themeColor="text1"/>
                <w:kern w:val="2"/>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lang w:val="en-US" w:eastAsia="zh-CN"/>
                <w14:textFill>
                  <w14:solidFill>
                    <w14:schemeClr w14:val="tx1"/>
                  </w14:solidFill>
                </w14:textFill>
              </w:rPr>
              <w:t>符合</w:t>
            </w:r>
          </w:p>
        </w:tc>
      </w:tr>
      <w:tr w14:paraId="0965E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97" w:type="dxa"/>
            <w:gridSpan w:val="5"/>
            <w:vAlign w:val="center"/>
          </w:tcPr>
          <w:p w14:paraId="2E3559E7">
            <w:pPr>
              <w:adjustRightInd w:val="0"/>
              <w:snapToGrid w:val="0"/>
              <w:jc w:val="center"/>
              <w:rPr>
                <w:rFonts w:hint="eastAsia" w:ascii="宋体" w:hAnsi="宋体" w:eastAsia="宋体" w:cs="宋体"/>
                <w:color w:val="0000FF"/>
                <w:kern w:val="2"/>
                <w:sz w:val="21"/>
                <w:szCs w:val="21"/>
              </w:rPr>
            </w:pPr>
            <w:r>
              <w:rPr>
                <w:rFonts w:hint="eastAsia" w:ascii="宋体" w:hAnsi="宋体" w:eastAsia="宋体" w:cs="宋体"/>
                <w:color w:val="0000FF"/>
                <w:kern w:val="2"/>
                <w:sz w:val="21"/>
                <w:szCs w:val="21"/>
              </w:rPr>
              <w:t>厂区道路检查</w:t>
            </w:r>
          </w:p>
        </w:tc>
      </w:tr>
      <w:tr w14:paraId="6CB4E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26F04841">
            <w:pPr>
              <w:adjustRightInd w:val="0"/>
              <w:snapToGrid w:val="0"/>
              <w:jc w:val="center"/>
              <w:rPr>
                <w:rFonts w:hint="eastAsia" w:ascii="宋体" w:hAnsi="宋体" w:eastAsia="宋体" w:cs="宋体"/>
                <w:color w:val="0000FF"/>
                <w:kern w:val="2"/>
                <w:sz w:val="21"/>
                <w:szCs w:val="21"/>
                <w:lang w:val="en-US" w:eastAsia="zh-CN"/>
              </w:rPr>
            </w:pPr>
            <w:bookmarkStart w:id="609" w:name="_Toc26445"/>
            <w:bookmarkStart w:id="610" w:name="_Toc327017836"/>
            <w:bookmarkStart w:id="611" w:name="_Toc4660"/>
            <w:bookmarkStart w:id="612" w:name="_Toc202575711"/>
            <w:bookmarkStart w:id="613" w:name="_Toc278151423"/>
            <w:bookmarkStart w:id="614" w:name="_Toc309682499"/>
            <w:bookmarkStart w:id="615" w:name="_Toc201767301"/>
            <w:bookmarkStart w:id="616" w:name="_Toc335926269"/>
            <w:bookmarkStart w:id="617" w:name="_Toc5096"/>
            <w:r>
              <w:rPr>
                <w:rFonts w:hint="eastAsia" w:ascii="宋体" w:hAnsi="宋体" w:eastAsia="宋体" w:cs="宋体"/>
                <w:color w:val="0000FF"/>
                <w:kern w:val="2"/>
                <w:sz w:val="21"/>
                <w:szCs w:val="21"/>
                <w:lang w:val="en-US" w:eastAsia="zh-CN"/>
              </w:rPr>
              <w:t>1</w:t>
            </w:r>
            <w:r>
              <w:rPr>
                <w:rFonts w:hint="eastAsia" w:hAnsi="宋体" w:cs="宋体"/>
                <w:color w:val="0000FF"/>
                <w:kern w:val="2"/>
                <w:sz w:val="21"/>
                <w:szCs w:val="21"/>
                <w:lang w:val="en-US" w:eastAsia="zh-CN"/>
              </w:rPr>
              <w:t>）</w:t>
            </w:r>
          </w:p>
        </w:tc>
        <w:tc>
          <w:tcPr>
            <w:tcW w:w="2993" w:type="dxa"/>
            <w:shd w:val="clear" w:color="auto" w:fill="auto"/>
            <w:vAlign w:val="top"/>
          </w:tcPr>
          <w:p w14:paraId="0A750255">
            <w:pPr>
              <w:adjustRightInd w:val="0"/>
              <w:snapToGrid w:val="0"/>
              <w:jc w:val="left"/>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应根据工艺流程，运输量和物料性质，选用适当的运输方式，合理地组织车流、人流，从设计上保证运输、装卸作业安全。</w:t>
            </w:r>
          </w:p>
        </w:tc>
        <w:tc>
          <w:tcPr>
            <w:tcW w:w="2303" w:type="dxa"/>
            <w:shd w:val="clear" w:color="auto" w:fill="auto"/>
            <w:vAlign w:val="center"/>
          </w:tcPr>
          <w:p w14:paraId="305C960D">
            <w:pPr>
              <w:adjustRightInd w:val="0"/>
              <w:snapToGrid w:val="0"/>
              <w:jc w:val="center"/>
              <w:rPr>
                <w:rFonts w:hint="eastAsia" w:ascii="宋体" w:hAnsi="宋体" w:eastAsia="宋体" w:cs="宋体"/>
                <w:color w:val="000000" w:themeColor="text1"/>
                <w:kern w:val="2"/>
                <w:sz w:val="21"/>
                <w:szCs w:val="21"/>
                <w:lang w:val="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GB4387-2008</w:t>
            </w:r>
          </w:p>
          <w:p w14:paraId="49948187">
            <w:pPr>
              <w:adjustRightInd w:val="0"/>
              <w:snapToGrid w:val="0"/>
              <w:jc w:val="center"/>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第4.1条</w:t>
            </w:r>
          </w:p>
        </w:tc>
        <w:tc>
          <w:tcPr>
            <w:tcW w:w="2277" w:type="dxa"/>
            <w:shd w:val="clear" w:color="auto" w:fill="auto"/>
            <w:vAlign w:val="center"/>
          </w:tcPr>
          <w:p w14:paraId="5FBF9EF1">
            <w:pPr>
              <w:adjustRightInd w:val="0"/>
              <w:snapToGrid w:val="0"/>
              <w:jc w:val="left"/>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该项目按照工艺流程、运输量等要求，合理组织了车流和人流。</w:t>
            </w:r>
          </w:p>
        </w:tc>
        <w:tc>
          <w:tcPr>
            <w:tcW w:w="771" w:type="dxa"/>
            <w:shd w:val="clear" w:color="auto" w:fill="auto"/>
            <w:vAlign w:val="center"/>
          </w:tcPr>
          <w:p w14:paraId="409F46CB">
            <w:pPr>
              <w:adjustRightInd w:val="0"/>
              <w:snapToGrid w:val="0"/>
              <w:jc w:val="left"/>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符合</w:t>
            </w:r>
          </w:p>
        </w:tc>
      </w:tr>
      <w:tr w14:paraId="692D1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54F2B88A">
            <w:pPr>
              <w:adjustRightInd w:val="0"/>
              <w:snapToGrid w:val="0"/>
              <w:jc w:val="center"/>
              <w:rPr>
                <w:rFonts w:hint="eastAsia" w:ascii="宋体" w:hAnsi="宋体" w:eastAsia="宋体" w:cs="宋体"/>
                <w:color w:val="0000FF"/>
                <w:kern w:val="2"/>
                <w:sz w:val="21"/>
                <w:szCs w:val="21"/>
                <w:lang w:val="en-US" w:eastAsia="zh-CN"/>
              </w:rPr>
            </w:pPr>
            <w:r>
              <w:rPr>
                <w:rFonts w:hint="eastAsia" w:ascii="宋体" w:hAnsi="宋体" w:eastAsia="宋体" w:cs="宋体"/>
                <w:color w:val="0000FF"/>
                <w:kern w:val="2"/>
                <w:sz w:val="21"/>
                <w:szCs w:val="21"/>
                <w:lang w:val="en-US" w:eastAsia="zh-CN"/>
              </w:rPr>
              <w:t>2</w:t>
            </w:r>
            <w:r>
              <w:rPr>
                <w:rFonts w:hint="eastAsia" w:hAnsi="宋体" w:cs="宋体"/>
                <w:color w:val="0000FF"/>
                <w:kern w:val="2"/>
                <w:sz w:val="21"/>
                <w:szCs w:val="21"/>
                <w:lang w:val="en-US" w:eastAsia="zh-CN"/>
              </w:rPr>
              <w:t>）</w:t>
            </w:r>
          </w:p>
        </w:tc>
        <w:tc>
          <w:tcPr>
            <w:tcW w:w="2993" w:type="dxa"/>
            <w:shd w:val="clear" w:color="auto" w:fill="auto"/>
            <w:vAlign w:val="center"/>
          </w:tcPr>
          <w:p w14:paraId="6FC44ADF">
            <w:pPr>
              <w:adjustRightInd w:val="0"/>
              <w:snapToGrid w:val="0"/>
              <w:jc w:val="left"/>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厂内道路的平纵断面设计应符合有关规定，并应经常保持路面平整、路基稳固、边坡整齐、排水良好，并应有完好的照明设施。</w:t>
            </w:r>
          </w:p>
        </w:tc>
        <w:tc>
          <w:tcPr>
            <w:tcW w:w="2303" w:type="dxa"/>
            <w:shd w:val="clear" w:color="auto" w:fill="auto"/>
            <w:vAlign w:val="center"/>
          </w:tcPr>
          <w:p w14:paraId="601A9FF8">
            <w:pPr>
              <w:adjustRightInd w:val="0"/>
              <w:snapToGrid w:val="0"/>
              <w:jc w:val="center"/>
              <w:rPr>
                <w:rFonts w:hint="eastAsia" w:ascii="宋体" w:hAnsi="宋体" w:eastAsia="宋体" w:cs="宋体"/>
                <w:color w:val="000000" w:themeColor="text1"/>
                <w:kern w:val="2"/>
                <w:sz w:val="21"/>
                <w:szCs w:val="21"/>
                <w:lang w:val="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GB4387-2008</w:t>
            </w:r>
          </w:p>
          <w:p w14:paraId="2651A2E0">
            <w:pPr>
              <w:adjustRightInd w:val="0"/>
              <w:snapToGrid w:val="0"/>
              <w:jc w:val="center"/>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第6.1.1条</w:t>
            </w:r>
          </w:p>
        </w:tc>
        <w:tc>
          <w:tcPr>
            <w:tcW w:w="2277" w:type="dxa"/>
            <w:shd w:val="clear" w:color="auto" w:fill="auto"/>
            <w:vAlign w:val="center"/>
          </w:tcPr>
          <w:p w14:paraId="7B9C85E9">
            <w:pPr>
              <w:adjustRightInd w:val="0"/>
              <w:snapToGrid w:val="0"/>
              <w:jc w:val="left"/>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道路设置满足前述要求。</w:t>
            </w:r>
          </w:p>
        </w:tc>
        <w:tc>
          <w:tcPr>
            <w:tcW w:w="771" w:type="dxa"/>
            <w:shd w:val="clear" w:color="auto" w:fill="auto"/>
            <w:vAlign w:val="center"/>
          </w:tcPr>
          <w:p w14:paraId="6E48BBBB">
            <w:pPr>
              <w:adjustRightInd w:val="0"/>
              <w:snapToGrid w:val="0"/>
              <w:jc w:val="left"/>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符合</w:t>
            </w:r>
          </w:p>
        </w:tc>
      </w:tr>
      <w:tr w14:paraId="4420E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3" w:type="dxa"/>
            <w:vAlign w:val="center"/>
          </w:tcPr>
          <w:p w14:paraId="071CB219">
            <w:pPr>
              <w:adjustRightInd w:val="0"/>
              <w:snapToGrid w:val="0"/>
              <w:jc w:val="center"/>
              <w:rPr>
                <w:rFonts w:hint="eastAsia" w:ascii="宋体" w:hAnsi="宋体" w:eastAsia="宋体" w:cs="宋体"/>
                <w:color w:val="0000FF"/>
                <w:kern w:val="2"/>
                <w:sz w:val="21"/>
                <w:szCs w:val="21"/>
                <w:lang w:val="en-US" w:eastAsia="zh-CN"/>
              </w:rPr>
            </w:pPr>
            <w:r>
              <w:rPr>
                <w:rFonts w:hint="eastAsia" w:ascii="宋体" w:hAnsi="宋体" w:eastAsia="宋体" w:cs="宋体"/>
                <w:color w:val="0000FF"/>
                <w:kern w:val="2"/>
                <w:sz w:val="21"/>
                <w:szCs w:val="21"/>
                <w:lang w:val="en-US" w:eastAsia="zh-CN"/>
              </w:rPr>
              <w:t>3</w:t>
            </w:r>
            <w:r>
              <w:rPr>
                <w:rFonts w:hint="eastAsia" w:hAnsi="宋体" w:cs="宋体"/>
                <w:color w:val="0000FF"/>
                <w:kern w:val="2"/>
                <w:sz w:val="21"/>
                <w:szCs w:val="21"/>
                <w:lang w:val="en-US" w:eastAsia="zh-CN"/>
              </w:rPr>
              <w:t>）</w:t>
            </w:r>
          </w:p>
        </w:tc>
        <w:tc>
          <w:tcPr>
            <w:tcW w:w="2993" w:type="dxa"/>
            <w:shd w:val="clear" w:color="auto" w:fill="auto"/>
            <w:vAlign w:val="center"/>
          </w:tcPr>
          <w:p w14:paraId="0AA7F717">
            <w:pPr>
              <w:adjustRightInd w:val="0"/>
              <w:snapToGrid w:val="0"/>
              <w:jc w:val="left"/>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厂内道路应根据交通量设置交通标志，其设置、位置、形式、尺寸、图案和颜色等必须符合国家相关规定要求。</w:t>
            </w:r>
          </w:p>
        </w:tc>
        <w:tc>
          <w:tcPr>
            <w:tcW w:w="2303" w:type="dxa"/>
            <w:shd w:val="clear" w:color="auto" w:fill="auto"/>
            <w:vAlign w:val="center"/>
          </w:tcPr>
          <w:p w14:paraId="463D3BBF">
            <w:pPr>
              <w:adjustRightInd w:val="0"/>
              <w:snapToGrid w:val="0"/>
              <w:jc w:val="center"/>
              <w:rPr>
                <w:rFonts w:hint="eastAsia" w:ascii="宋体" w:hAnsi="宋体" w:eastAsia="宋体" w:cs="宋体"/>
                <w:color w:val="000000" w:themeColor="text1"/>
                <w:kern w:val="2"/>
                <w:sz w:val="21"/>
                <w:szCs w:val="21"/>
                <w:lang w:val="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GB4387-2008</w:t>
            </w:r>
          </w:p>
          <w:p w14:paraId="7ABF46B6">
            <w:pPr>
              <w:adjustRightInd w:val="0"/>
              <w:snapToGrid w:val="0"/>
              <w:jc w:val="center"/>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第6.1.3条</w:t>
            </w:r>
          </w:p>
        </w:tc>
        <w:tc>
          <w:tcPr>
            <w:tcW w:w="2277" w:type="dxa"/>
            <w:shd w:val="clear" w:color="auto" w:fill="auto"/>
            <w:vAlign w:val="center"/>
          </w:tcPr>
          <w:p w14:paraId="69DEAC0C">
            <w:pPr>
              <w:adjustRightInd w:val="0"/>
              <w:snapToGrid w:val="0"/>
              <w:jc w:val="left"/>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厂内道路设置有限速标志。</w:t>
            </w:r>
          </w:p>
        </w:tc>
        <w:tc>
          <w:tcPr>
            <w:tcW w:w="771" w:type="dxa"/>
            <w:shd w:val="clear" w:color="auto" w:fill="auto"/>
            <w:vAlign w:val="center"/>
          </w:tcPr>
          <w:p w14:paraId="10E97FFD">
            <w:pPr>
              <w:adjustRightInd w:val="0"/>
              <w:snapToGrid w:val="0"/>
              <w:jc w:val="left"/>
              <w:rPr>
                <w:rFonts w:hint="eastAsia" w:ascii="宋体" w:hAnsi="宋体" w:eastAsia="宋体" w:cs="宋体"/>
                <w:color w:val="000000" w:themeColor="text1"/>
                <w:kern w:val="2"/>
                <w:sz w:val="21"/>
                <w:szCs w:val="21"/>
                <w:lang w:val="zh-CN" w:eastAsia="zh-CN"/>
                <w14:textFill>
                  <w14:solidFill>
                    <w14:schemeClr w14:val="tx1"/>
                  </w14:solidFill>
                </w14:textFill>
              </w:rPr>
            </w:pPr>
            <w:r>
              <w:rPr>
                <w:rFonts w:hint="eastAsia" w:ascii="宋体" w:hAnsi="宋体" w:eastAsia="宋体" w:cs="宋体"/>
                <w:color w:val="000000" w:themeColor="text1"/>
                <w:kern w:val="2"/>
                <w:sz w:val="21"/>
                <w:szCs w:val="21"/>
                <w:lang w:val="zh-CN"/>
                <w14:textFill>
                  <w14:solidFill>
                    <w14:schemeClr w14:val="tx1"/>
                  </w14:solidFill>
                </w14:textFill>
              </w:rPr>
              <w:t>符合</w:t>
            </w:r>
          </w:p>
        </w:tc>
      </w:tr>
      <w:bookmarkEnd w:id="604"/>
      <w:bookmarkEnd w:id="605"/>
      <w:bookmarkEnd w:id="606"/>
      <w:bookmarkEnd w:id="607"/>
      <w:bookmarkEnd w:id="608"/>
    </w:tbl>
    <w:p w14:paraId="5EA6BFB2">
      <w:pPr>
        <w:pStyle w:val="5"/>
        <w:spacing w:line="360" w:lineRule="auto"/>
        <w:rPr>
          <w:rFonts w:ascii="Times New Roman" w:hAnsi="Times New Roman"/>
          <w:color w:val="000000" w:themeColor="text1"/>
          <w14:textFill>
            <w14:solidFill>
              <w14:schemeClr w14:val="tx1"/>
            </w14:solidFill>
          </w14:textFill>
        </w:rPr>
      </w:pPr>
      <w:bookmarkStart w:id="618" w:name="_Toc25065"/>
      <w:r>
        <w:rPr>
          <w:rFonts w:ascii="Times New Roman" w:hAnsi="Times New Roman"/>
          <w:color w:val="000000" w:themeColor="text1"/>
          <w14:textFill>
            <w14:solidFill>
              <w14:schemeClr w14:val="tx1"/>
            </w14:solidFill>
          </w14:textFill>
        </w:rPr>
        <w:t>5.1.2</w:t>
      </w:r>
      <w:r>
        <w:rPr>
          <w:rFonts w:hint="eastAsia" w:ascii="Times New Roman" w:hAnsi="Times New Roman"/>
          <w:color w:val="000000" w:themeColor="text1"/>
          <w:lang w:val="en-US" w:eastAsia="zh-CN"/>
          <w14:textFill>
            <w14:solidFill>
              <w14:schemeClr w14:val="tx1"/>
            </w14:solidFill>
          </w14:textFill>
        </w:rPr>
        <w:t>单元</w:t>
      </w:r>
      <w:r>
        <w:rPr>
          <w:rFonts w:ascii="Times New Roman" w:hAnsi="Times New Roman"/>
          <w:color w:val="000000" w:themeColor="text1"/>
          <w14:textFill>
            <w14:solidFill>
              <w14:schemeClr w14:val="tx1"/>
            </w14:solidFill>
          </w14:textFill>
        </w:rPr>
        <w:t>小结</w:t>
      </w:r>
      <w:bookmarkEnd w:id="609"/>
      <w:bookmarkEnd w:id="610"/>
      <w:bookmarkEnd w:id="611"/>
      <w:bookmarkEnd w:id="612"/>
      <w:bookmarkEnd w:id="613"/>
      <w:bookmarkEnd w:id="614"/>
      <w:bookmarkEnd w:id="615"/>
      <w:bookmarkEnd w:id="616"/>
      <w:bookmarkEnd w:id="617"/>
      <w:bookmarkEnd w:id="618"/>
    </w:p>
    <w:p w14:paraId="7C26AA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本章采用安全检查表法，对本项目的厂址、总平面布置、</w:t>
      </w:r>
      <w:r>
        <w:rPr>
          <w:rFonts w:hint="eastAsia" w:ascii="宋体" w:hAnsi="宋体" w:eastAsia="宋体" w:cs="宋体"/>
          <w:color w:val="000000" w:themeColor="text1"/>
          <w:sz w:val="28"/>
          <w:szCs w:val="28"/>
          <w:lang w:val="en-US" w:eastAsia="zh-CN"/>
          <w14:textFill>
            <w14:solidFill>
              <w14:schemeClr w14:val="tx1"/>
            </w14:solidFill>
          </w14:textFill>
        </w:rPr>
        <w:t>厂区道路</w:t>
      </w:r>
      <w:r>
        <w:rPr>
          <w:rFonts w:hint="eastAsia" w:ascii="宋体" w:hAnsi="宋体" w:eastAsia="宋体" w:cs="宋体"/>
          <w:color w:val="000000" w:themeColor="text1"/>
          <w:sz w:val="28"/>
          <w:szCs w:val="28"/>
          <w14:textFill>
            <w14:solidFill>
              <w14:schemeClr w14:val="tx1"/>
            </w14:solidFill>
          </w14:textFill>
        </w:rPr>
        <w:t>进行了检查，总平面布置各功能区</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分布合理，布局连续紧凑，分区明确，生产环境良好，便于管理，能够满足目前安全生产的要求。</w:t>
      </w:r>
    </w:p>
    <w:p w14:paraId="65AAC57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项目平面布置</w:t>
      </w:r>
      <w:r>
        <w:rPr>
          <w:rFonts w:hint="eastAsia" w:ascii="宋体" w:hAnsi="宋体" w:eastAsia="宋体" w:cs="宋体"/>
          <w:color w:val="000000" w:themeColor="text1"/>
          <w:sz w:val="28"/>
          <w:szCs w:val="28"/>
          <w:lang w:val="en-US" w:eastAsia="zh-CN"/>
          <w14:textFill>
            <w14:solidFill>
              <w14:schemeClr w14:val="tx1"/>
            </w14:solidFill>
          </w14:textFill>
        </w:rPr>
        <w:t>符合</w:t>
      </w:r>
      <w:r>
        <w:rPr>
          <w:rFonts w:hint="eastAsia" w:ascii="宋体" w:hAnsi="宋体" w:eastAsia="宋体" w:cs="宋体"/>
          <w:color w:val="000000" w:themeColor="text1"/>
          <w:sz w:val="28"/>
          <w:szCs w:val="28"/>
          <w14:textFill>
            <w14:solidFill>
              <w14:schemeClr w14:val="tx1"/>
            </w14:solidFill>
          </w14:textFill>
        </w:rPr>
        <w:t>《工业企业总平面设计规范》（</w:t>
      </w:r>
      <w:r>
        <w:rPr>
          <w:rFonts w:hint="eastAsia" w:ascii="宋体" w:hAnsi="宋体" w:eastAsia="宋体" w:cs="宋体"/>
          <w:color w:val="000000" w:themeColor="text1"/>
          <w:sz w:val="28"/>
          <w:szCs w:val="28"/>
          <w:lang w:val="zh-CN"/>
          <w14:textFill>
            <w14:solidFill>
              <w14:schemeClr w14:val="tx1"/>
            </w14:solidFill>
          </w14:textFill>
        </w:rPr>
        <w:t>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50187-2012）、《工业企业厂内铁路、道路运输安全规程》（GB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4387-2008）</w:t>
      </w:r>
      <w:r>
        <w:rPr>
          <w:rFonts w:hint="eastAsia" w:ascii="宋体" w:hAnsi="宋体" w:eastAsia="宋体" w:cs="宋体"/>
          <w:color w:val="000000" w:themeColor="text1"/>
          <w:sz w:val="28"/>
          <w:szCs w:val="28"/>
          <w14:textFill>
            <w14:solidFill>
              <w14:schemeClr w14:val="tx1"/>
            </w14:solidFill>
          </w14:textFill>
        </w:rPr>
        <w:t>和《建筑设计防火规范〔2018版〕》（GB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50016-2014）中的</w:t>
      </w:r>
      <w:r>
        <w:rPr>
          <w:rFonts w:hint="eastAsia" w:ascii="宋体" w:hAnsi="宋体" w:eastAsia="宋体" w:cs="宋体"/>
          <w:color w:val="000000" w:themeColor="text1"/>
          <w:sz w:val="28"/>
          <w:szCs w:val="28"/>
          <w:lang w:val="en-US" w:eastAsia="zh-CN"/>
          <w14:textFill>
            <w14:solidFill>
              <w14:schemeClr w14:val="tx1"/>
            </w14:solidFill>
          </w14:textFill>
        </w:rPr>
        <w:t>规范要求</w:t>
      </w:r>
      <w:r>
        <w:rPr>
          <w:rFonts w:hint="eastAsia" w:ascii="宋体" w:hAnsi="宋体" w:eastAsia="宋体" w:cs="宋体"/>
          <w:color w:val="000000" w:themeColor="text1"/>
          <w:sz w:val="28"/>
          <w:szCs w:val="28"/>
          <w14:textFill>
            <w14:solidFill>
              <w14:schemeClr w14:val="tx1"/>
            </w14:solidFill>
          </w14:textFill>
        </w:rPr>
        <w:t>。</w:t>
      </w:r>
    </w:p>
    <w:p w14:paraId="1C91613C">
      <w:pPr>
        <w:pStyle w:val="4"/>
        <w:spacing w:line="360" w:lineRule="auto"/>
        <w:rPr>
          <w:rFonts w:ascii="Times New Roman" w:hAnsi="Times New Roman"/>
          <w:color w:val="000000" w:themeColor="text1"/>
          <w14:textFill>
            <w14:solidFill>
              <w14:schemeClr w14:val="tx1"/>
            </w14:solidFill>
          </w14:textFill>
        </w:rPr>
      </w:pPr>
      <w:bookmarkStart w:id="619" w:name="_Toc18641"/>
      <w:bookmarkStart w:id="620" w:name="_Toc32345"/>
      <w:bookmarkStart w:id="621" w:name="_Toc11689"/>
      <w:bookmarkStart w:id="622" w:name="_Toc8408"/>
      <w:bookmarkStart w:id="623" w:name="_Toc313545238"/>
      <w:bookmarkStart w:id="624" w:name="_Toc335926278"/>
      <w:bookmarkStart w:id="625" w:name="_Toc145775716"/>
      <w:bookmarkStart w:id="626" w:name="_Toc313453594"/>
      <w:r>
        <w:rPr>
          <w:rFonts w:ascii="Times New Roman" w:hAnsi="Times New Roman"/>
          <w:color w:val="000000" w:themeColor="text1"/>
          <w14:textFill>
            <w14:solidFill>
              <w14:schemeClr w14:val="tx1"/>
            </w14:solidFill>
          </w14:textFill>
        </w:rPr>
        <w:t>5.2生产工艺</w:t>
      </w:r>
      <w:r>
        <w:rPr>
          <w:rFonts w:hint="eastAsia" w:ascii="Times New Roman" w:hAnsi="Times New Roman"/>
          <w:color w:val="000000" w:themeColor="text1"/>
          <w:lang w:val="en-US" w:eastAsia="zh-CN"/>
          <w14:textFill>
            <w14:solidFill>
              <w14:schemeClr w14:val="tx1"/>
            </w14:solidFill>
          </w14:textFill>
        </w:rPr>
        <w:t>及设施</w:t>
      </w:r>
      <w:r>
        <w:rPr>
          <w:rFonts w:ascii="Times New Roman" w:hAnsi="Times New Roman"/>
          <w:color w:val="000000" w:themeColor="text1"/>
          <w14:textFill>
            <w14:solidFill>
              <w14:schemeClr w14:val="tx1"/>
            </w14:solidFill>
          </w14:textFill>
        </w:rPr>
        <w:t>评价单元</w:t>
      </w:r>
      <w:bookmarkEnd w:id="619"/>
      <w:bookmarkEnd w:id="620"/>
      <w:bookmarkEnd w:id="621"/>
    </w:p>
    <w:bookmarkEnd w:id="622"/>
    <w:bookmarkEnd w:id="623"/>
    <w:bookmarkEnd w:id="624"/>
    <w:p w14:paraId="4707074E">
      <w:pPr>
        <w:pStyle w:val="5"/>
        <w:spacing w:line="360" w:lineRule="auto"/>
        <w:rPr>
          <w:rFonts w:ascii="Times New Roman" w:hAnsi="Times New Roman" w:cs="Times New Roman"/>
          <w:color w:val="000000" w:themeColor="text1"/>
          <w14:textFill>
            <w14:solidFill>
              <w14:schemeClr w14:val="tx1"/>
            </w14:solidFill>
          </w14:textFill>
        </w:rPr>
      </w:pPr>
      <w:bookmarkStart w:id="627" w:name="_Toc29073"/>
      <w:bookmarkStart w:id="628" w:name="_Toc3128"/>
      <w:bookmarkStart w:id="629" w:name="_Toc11794"/>
      <w:bookmarkStart w:id="630" w:name="_Toc335926279"/>
      <w:bookmarkStart w:id="631" w:name="_Toc21611"/>
      <w:r>
        <w:rPr>
          <w:rFonts w:hint="eastAsia" w:ascii="Times New Roman" w:hAnsi="Times New Roman" w:cs="Times New Roman"/>
          <w:color w:val="000000" w:themeColor="text1"/>
          <w14:textFill>
            <w14:solidFill>
              <w14:schemeClr w14:val="tx1"/>
            </w14:solidFill>
          </w14:textFill>
        </w:rPr>
        <w:t>5.2.1生产场所和设施安全检查表</w:t>
      </w:r>
      <w:bookmarkEnd w:id="627"/>
      <w:bookmarkEnd w:id="628"/>
      <w:bookmarkEnd w:id="629"/>
    </w:p>
    <w:p w14:paraId="02274E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本节主要依据《中华人民共和国安全生产法》（中华人民共和国主席令第88号，2021年修订）</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《生产设备安全卫生设计总则》（</w:t>
      </w:r>
      <w:r>
        <w:rPr>
          <w:rFonts w:hint="eastAsia" w:hAnsi="宋体" w:cs="宋体"/>
          <w:color w:val="000000" w:themeColor="text1"/>
          <w:sz w:val="28"/>
          <w:szCs w:val="28"/>
          <w:lang w:eastAsia="zh-CN"/>
          <w14:textFill>
            <w14:solidFill>
              <w14:schemeClr w14:val="tx1"/>
            </w14:solidFill>
          </w14:textFill>
        </w:rPr>
        <w:t>GB5083-2023</w:t>
      </w:r>
      <w:r>
        <w:rPr>
          <w:rFonts w:hint="eastAsia" w:ascii="宋体" w:hAnsi="宋体" w:eastAsia="宋体" w:cs="宋体"/>
          <w:color w:val="000000" w:themeColor="text1"/>
          <w:sz w:val="28"/>
          <w:szCs w:val="28"/>
          <w14:textFill>
            <w14:solidFill>
              <w14:schemeClr w14:val="tx1"/>
            </w14:solidFill>
          </w14:textFill>
        </w:rPr>
        <w:t>）、《生产过程安全卫生要求总则》（GB/T12801-2008）等标准规范编制检查表对南华昆轻树脂瓦开发有限公司生产项目的生产场所和设施进行检查和分析评价，见下表。</w:t>
      </w:r>
    </w:p>
    <w:p w14:paraId="7FB218CC">
      <w:pPr>
        <w:spacing w:line="500" w:lineRule="exact"/>
        <w:ind w:firstLine="482"/>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表</w:t>
      </w:r>
      <w:r>
        <w:rPr>
          <w:rFonts w:hint="eastAsia"/>
          <w:b/>
          <w:bCs/>
          <w:color w:val="000000" w:themeColor="text1"/>
          <w:szCs w:val="21"/>
          <w14:textFill>
            <w14:solidFill>
              <w14:schemeClr w14:val="tx1"/>
            </w14:solidFill>
          </w14:textFill>
        </w:rPr>
        <w:t>5-</w:t>
      </w:r>
      <w:r>
        <w:rPr>
          <w:rFonts w:hint="eastAsia"/>
          <w:b/>
          <w:bCs/>
          <w:color w:val="000000" w:themeColor="text1"/>
          <w:szCs w:val="21"/>
          <w:lang w:val="en-US" w:eastAsia="zh-CN"/>
          <w14:textFill>
            <w14:solidFill>
              <w14:schemeClr w14:val="tx1"/>
            </w14:solidFill>
          </w14:textFill>
        </w:rPr>
        <w:t>2</w:t>
      </w:r>
      <w:r>
        <w:rPr>
          <w:rFonts w:hint="eastAsia"/>
          <w:b/>
          <w:bCs/>
          <w:color w:val="000000" w:themeColor="text1"/>
          <w:szCs w:val="21"/>
          <w14:textFill>
            <w14:solidFill>
              <w14:schemeClr w14:val="tx1"/>
            </w14:solidFill>
          </w14:textFill>
        </w:rPr>
        <w:t>生产场所和设施安全检查表</w:t>
      </w:r>
    </w:p>
    <w:tbl>
      <w:tblPr>
        <w:tblStyle w:val="53"/>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3120"/>
        <w:gridCol w:w="2280"/>
        <w:gridCol w:w="1817"/>
        <w:gridCol w:w="1192"/>
      </w:tblGrid>
      <w:tr w14:paraId="541C6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blHeader/>
          <w:jc w:val="center"/>
        </w:trPr>
        <w:tc>
          <w:tcPr>
            <w:tcW w:w="612" w:type="dxa"/>
            <w:vAlign w:val="center"/>
          </w:tcPr>
          <w:p w14:paraId="64A34F71">
            <w:pPr>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3120" w:type="dxa"/>
            <w:vAlign w:val="center"/>
          </w:tcPr>
          <w:p w14:paraId="122071C6">
            <w:pPr>
              <w:adjustRightInd w:val="0"/>
              <w:snapToGrid w:val="0"/>
              <w:jc w:val="lef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检查内容</w:t>
            </w:r>
          </w:p>
        </w:tc>
        <w:tc>
          <w:tcPr>
            <w:tcW w:w="2280" w:type="dxa"/>
            <w:vAlign w:val="center"/>
          </w:tcPr>
          <w:p w14:paraId="31C53D27">
            <w:pPr>
              <w:adjustRightInd w:val="0"/>
              <w:snapToGrid w:val="0"/>
              <w:jc w:val="lef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依据标准</w:t>
            </w:r>
          </w:p>
        </w:tc>
        <w:tc>
          <w:tcPr>
            <w:tcW w:w="1817" w:type="dxa"/>
            <w:vAlign w:val="center"/>
          </w:tcPr>
          <w:p w14:paraId="72336319">
            <w:pPr>
              <w:adjustRightInd w:val="0"/>
              <w:snapToGrid w:val="0"/>
              <w:jc w:val="lef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检查情况</w:t>
            </w:r>
          </w:p>
        </w:tc>
        <w:tc>
          <w:tcPr>
            <w:tcW w:w="1192" w:type="dxa"/>
            <w:vAlign w:val="center"/>
          </w:tcPr>
          <w:p w14:paraId="0D0133BB">
            <w:pPr>
              <w:adjustRightInd w:val="0"/>
              <w:snapToGrid w:val="0"/>
              <w:jc w:val="center"/>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检查结果</w:t>
            </w:r>
          </w:p>
        </w:tc>
      </w:tr>
      <w:tr w14:paraId="2E90C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2" w:type="dxa"/>
            <w:shd w:val="clear" w:color="auto" w:fill="auto"/>
            <w:vAlign w:val="center"/>
          </w:tcPr>
          <w:p w14:paraId="3567C194">
            <w:pPr>
              <w:numPr>
                <w:ilvl w:val="0"/>
                <w:numId w:val="21"/>
              </w:numPr>
              <w:adjustRightInd w:val="0"/>
              <w:snapToGrid w:val="0"/>
              <w:ind w:left="0" w:firstLine="0"/>
              <w:jc w:val="center"/>
              <w:rPr>
                <w:rFonts w:hint="eastAsia" w:ascii="宋体" w:hAnsi="宋体" w:eastAsia="宋体" w:cs="宋体"/>
                <w:color w:val="000000" w:themeColor="text1"/>
                <w:sz w:val="21"/>
                <w:szCs w:val="21"/>
                <w:lang w:val="en-US" w:eastAsia="zh-CN"/>
                <w14:textFill>
                  <w14:solidFill>
                    <w14:schemeClr w14:val="tx1"/>
                  </w14:solidFill>
                </w14:textFill>
              </w:rPr>
            </w:pPr>
          </w:p>
        </w:tc>
        <w:tc>
          <w:tcPr>
            <w:tcW w:w="3120" w:type="dxa"/>
            <w:shd w:val="clear" w:color="auto" w:fill="auto"/>
            <w:vAlign w:val="center"/>
          </w:tcPr>
          <w:p w14:paraId="1B0A10D8">
            <w:pPr>
              <w:numPr>
                <w:ilvl w:val="0"/>
                <w:numId w:val="0"/>
              </w:numPr>
              <w:adjustRightInd w:val="0"/>
              <w:snapToGrid w:val="0"/>
              <w:ind w:left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生产经营单位不得使用应当淘汰的危及生产安全的工艺、设</w:t>
            </w:r>
          </w:p>
          <w:p w14:paraId="2570FCCD">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备。</w:t>
            </w:r>
          </w:p>
        </w:tc>
        <w:tc>
          <w:tcPr>
            <w:tcW w:w="2280" w:type="dxa"/>
            <w:shd w:val="clear" w:color="auto" w:fill="auto"/>
            <w:vAlign w:val="center"/>
          </w:tcPr>
          <w:p w14:paraId="3973750D">
            <w:pPr>
              <w:numPr>
                <w:ilvl w:val="0"/>
                <w:numId w:val="0"/>
              </w:numPr>
              <w:adjustRightInd w:val="0"/>
              <w:snapToGrid w:val="0"/>
              <w:ind w:left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《中华人民共和国安全生产法》（中华人民共和国主席令第88号，2021年修订）</w:t>
            </w:r>
          </w:p>
          <w:p w14:paraId="2C49632E">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第三十八条</w:t>
            </w:r>
          </w:p>
        </w:tc>
        <w:tc>
          <w:tcPr>
            <w:tcW w:w="1817" w:type="dxa"/>
            <w:shd w:val="clear" w:color="auto" w:fill="auto"/>
            <w:vAlign w:val="center"/>
          </w:tcPr>
          <w:p w14:paraId="0CF06CEB">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没有使用国家明令淘汰、禁止使用的危及生产安全的工艺、设备。</w:t>
            </w:r>
          </w:p>
        </w:tc>
        <w:tc>
          <w:tcPr>
            <w:tcW w:w="1192" w:type="dxa"/>
            <w:shd w:val="clear" w:color="auto" w:fill="auto"/>
            <w:vAlign w:val="center"/>
          </w:tcPr>
          <w:p w14:paraId="42772AF4">
            <w:pPr>
              <w:numPr>
                <w:ilvl w:val="0"/>
                <w:numId w:val="0"/>
              </w:numPr>
              <w:adjustRightInd w:val="0"/>
              <w:snapToGrid w:val="0"/>
              <w:ind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955D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2" w:type="dxa"/>
            <w:shd w:val="clear" w:color="auto" w:fill="auto"/>
            <w:vAlign w:val="center"/>
          </w:tcPr>
          <w:p w14:paraId="6B7FCF5A">
            <w:pPr>
              <w:numPr>
                <w:ilvl w:val="0"/>
                <w:numId w:val="21"/>
              </w:numPr>
              <w:adjustRightInd w:val="0"/>
              <w:snapToGrid w:val="0"/>
              <w:ind w:left="0" w:firstLine="0"/>
              <w:jc w:val="center"/>
              <w:rPr>
                <w:rFonts w:hint="eastAsia" w:ascii="宋体" w:hAnsi="宋体" w:eastAsia="宋体" w:cs="宋体"/>
                <w:color w:val="000000" w:themeColor="text1"/>
                <w:sz w:val="21"/>
                <w:szCs w:val="21"/>
                <w:lang w:val="en-US" w:eastAsia="zh-CN"/>
                <w14:textFill>
                  <w14:solidFill>
                    <w14:schemeClr w14:val="tx1"/>
                  </w14:solidFill>
                </w14:textFill>
              </w:rPr>
            </w:pPr>
          </w:p>
        </w:tc>
        <w:tc>
          <w:tcPr>
            <w:tcW w:w="3120" w:type="dxa"/>
            <w:shd w:val="clear" w:color="auto" w:fill="auto"/>
            <w:vAlign w:val="center"/>
          </w:tcPr>
          <w:p w14:paraId="02CFF50F">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生产设备(包括零部件)应有符合产品安全性能的力学特性、稳定性和可靠性。在按规定条件制</w:t>
            </w:r>
          </w:p>
          <w:p w14:paraId="4DCCA536">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造、运输、储存、安装、使用和拆除时，不应对人员造成危害。</w:t>
            </w:r>
          </w:p>
        </w:tc>
        <w:tc>
          <w:tcPr>
            <w:tcW w:w="2280" w:type="dxa"/>
            <w:shd w:val="clear" w:color="auto" w:fill="auto"/>
            <w:vAlign w:val="center"/>
          </w:tcPr>
          <w:p w14:paraId="7CE11BB7">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《生产设备安全卫生设计总则》（GB5083-2023）第4.2条</w:t>
            </w:r>
          </w:p>
        </w:tc>
        <w:tc>
          <w:tcPr>
            <w:tcW w:w="1817" w:type="dxa"/>
            <w:shd w:val="clear" w:color="auto" w:fill="auto"/>
            <w:vAlign w:val="center"/>
          </w:tcPr>
          <w:p w14:paraId="06BF1804">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该项目生产设备均通过具有生产资质的厂家采购，设备有产品合格证，各设备危险点均采取了相应防护措施。</w:t>
            </w:r>
          </w:p>
        </w:tc>
        <w:tc>
          <w:tcPr>
            <w:tcW w:w="1192" w:type="dxa"/>
            <w:shd w:val="clear" w:color="auto" w:fill="auto"/>
            <w:vAlign w:val="center"/>
          </w:tcPr>
          <w:p w14:paraId="5E4B91EB">
            <w:pPr>
              <w:snapToGrid w:val="0"/>
              <w:jc w:val="center"/>
              <w:textAlignment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3531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2" w:type="dxa"/>
            <w:vAlign w:val="center"/>
          </w:tcPr>
          <w:p w14:paraId="53D2117B">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shd w:val="clear" w:color="auto" w:fill="auto"/>
            <w:vAlign w:val="center"/>
          </w:tcPr>
          <w:p w14:paraId="2427F8FA">
            <w:pPr>
              <w:adjustRightInd w:val="0"/>
              <w:snapToGrid w:val="0"/>
              <w:jc w:val="left"/>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使用环境或介质易致其腐蚀的生产设备(包括零部件)应选用相应的耐腐蚀材料制造,并应采取防腐蚀措施。</w:t>
            </w:r>
            <w:r>
              <w:rPr>
                <w:rFonts w:hint="eastAsia" w:ascii="宋体" w:hAnsi="宋体" w:eastAsia="宋体" w:cs="宋体"/>
                <w:color w:val="000000" w:themeColor="text1"/>
                <w:sz w:val="21"/>
                <w:szCs w:val="21"/>
                <w:lang w:eastAsia="zh-CN"/>
                <w14:textFill>
                  <w14:solidFill>
                    <w14:schemeClr w14:val="tx1"/>
                  </w14:solidFill>
                </w14:textFill>
              </w:rPr>
              <w:t>。</w:t>
            </w:r>
          </w:p>
        </w:tc>
        <w:tc>
          <w:tcPr>
            <w:tcW w:w="2280" w:type="dxa"/>
            <w:shd w:val="clear" w:color="auto" w:fill="auto"/>
            <w:vAlign w:val="center"/>
          </w:tcPr>
          <w:p w14:paraId="6C78FFD6">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46954CE3">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第5.2.4条</w:t>
            </w:r>
          </w:p>
        </w:tc>
        <w:tc>
          <w:tcPr>
            <w:tcW w:w="1817" w:type="dxa"/>
            <w:shd w:val="clear" w:color="auto" w:fill="auto"/>
            <w:vAlign w:val="center"/>
          </w:tcPr>
          <w:p w14:paraId="6F39C692">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生产过程使用的物料对设备设施腐蚀性较小。</w:t>
            </w:r>
          </w:p>
        </w:tc>
        <w:tc>
          <w:tcPr>
            <w:tcW w:w="1192" w:type="dxa"/>
            <w:shd w:val="clear" w:color="auto" w:fill="auto"/>
            <w:vAlign w:val="center"/>
          </w:tcPr>
          <w:p w14:paraId="4584DC83">
            <w:pPr>
              <w:adjustRightInd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CA63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2" w:type="dxa"/>
            <w:vAlign w:val="center"/>
          </w:tcPr>
          <w:p w14:paraId="4A177823">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shd w:val="clear" w:color="auto" w:fill="auto"/>
            <w:vAlign w:val="center"/>
          </w:tcPr>
          <w:p w14:paraId="5355E3DB">
            <w:pPr>
              <w:pStyle w:val="361"/>
              <w:overflowPunct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生产设备的控制装置不应使用联锁装置代替控制开关执行常规机械功能。</w:t>
            </w:r>
          </w:p>
        </w:tc>
        <w:tc>
          <w:tcPr>
            <w:tcW w:w="2280" w:type="dxa"/>
            <w:shd w:val="clear" w:color="auto" w:fill="auto"/>
            <w:vAlign w:val="center"/>
          </w:tcPr>
          <w:p w14:paraId="0F77098C">
            <w:pPr>
              <w:pStyle w:val="361"/>
              <w:overflowPunct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6F6A64C2">
            <w:pPr>
              <w:pStyle w:val="361"/>
              <w:overflowPunct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第5.6.2.9条</w:t>
            </w:r>
          </w:p>
        </w:tc>
        <w:tc>
          <w:tcPr>
            <w:tcW w:w="1817" w:type="dxa"/>
            <w:shd w:val="clear" w:color="auto" w:fill="auto"/>
            <w:vAlign w:val="center"/>
          </w:tcPr>
          <w:p w14:paraId="189E4F4C">
            <w:pPr>
              <w:pStyle w:val="361"/>
              <w:overflowPunct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生产设备的控制开关为手动开关。</w:t>
            </w:r>
          </w:p>
        </w:tc>
        <w:tc>
          <w:tcPr>
            <w:tcW w:w="1192" w:type="dxa"/>
            <w:shd w:val="clear" w:color="auto" w:fill="auto"/>
            <w:vAlign w:val="center"/>
          </w:tcPr>
          <w:p w14:paraId="14AAA1DB">
            <w:pPr>
              <w:pStyle w:val="361"/>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F761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2" w:type="dxa"/>
            <w:shd w:val="clear" w:color="auto" w:fill="auto"/>
            <w:vAlign w:val="center"/>
          </w:tcPr>
          <w:p w14:paraId="10555B79">
            <w:pPr>
              <w:numPr>
                <w:ilvl w:val="0"/>
                <w:numId w:val="21"/>
              </w:numPr>
              <w:adjustRightInd w:val="0"/>
              <w:snapToGrid w:val="0"/>
              <w:ind w:left="0" w:firstLine="0"/>
              <w:jc w:val="center"/>
              <w:rPr>
                <w:rFonts w:hint="eastAsia" w:ascii="宋体" w:hAnsi="宋体" w:eastAsia="宋体" w:cs="宋体"/>
                <w:color w:val="000000" w:themeColor="text1"/>
                <w:sz w:val="21"/>
                <w:szCs w:val="21"/>
                <w:lang w:val="en-US" w:eastAsia="zh-CN"/>
                <w14:textFill>
                  <w14:solidFill>
                    <w14:schemeClr w14:val="tx1"/>
                  </w14:solidFill>
                </w14:textFill>
              </w:rPr>
            </w:pPr>
          </w:p>
        </w:tc>
        <w:tc>
          <w:tcPr>
            <w:tcW w:w="3120" w:type="dxa"/>
            <w:shd w:val="clear" w:color="auto" w:fill="auto"/>
            <w:vAlign w:val="center"/>
          </w:tcPr>
          <w:p w14:paraId="59C942A8">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生产设备上供人员作业的操作位置应安全可靠，并应满足人机交互功能的要求。其工作空间应保证作业人员的身体各部位在作业中可正常活动。危险作业点应留有安全退避空间。</w:t>
            </w:r>
          </w:p>
        </w:tc>
        <w:tc>
          <w:tcPr>
            <w:tcW w:w="2280" w:type="dxa"/>
            <w:shd w:val="clear" w:color="auto" w:fill="auto"/>
            <w:vAlign w:val="center"/>
          </w:tcPr>
          <w:p w14:paraId="3462417C">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《生产设备安全卫生设计总则》（GB5083-2023）第5.7.1条</w:t>
            </w:r>
          </w:p>
        </w:tc>
        <w:tc>
          <w:tcPr>
            <w:tcW w:w="1817" w:type="dxa"/>
            <w:shd w:val="clear" w:color="auto" w:fill="auto"/>
            <w:vAlign w:val="center"/>
          </w:tcPr>
          <w:p w14:paraId="3383CE98">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设备工作空间可以保证操作人员的头、臂、手、腿、足在正常作业中有充分的活动余地。</w:t>
            </w:r>
          </w:p>
        </w:tc>
        <w:tc>
          <w:tcPr>
            <w:tcW w:w="1192" w:type="dxa"/>
            <w:shd w:val="clear" w:color="auto" w:fill="auto"/>
            <w:vAlign w:val="center"/>
          </w:tcPr>
          <w:p w14:paraId="3B27FAAC">
            <w:pPr>
              <w:numPr>
                <w:ilvl w:val="0"/>
                <w:numId w:val="0"/>
              </w:numPr>
              <w:adjustRightInd w:val="0"/>
              <w:snapToGrid w:val="0"/>
              <w:ind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A308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2" w:type="dxa"/>
            <w:shd w:val="clear" w:color="auto" w:fill="auto"/>
            <w:vAlign w:val="center"/>
          </w:tcPr>
          <w:p w14:paraId="2CEF5877">
            <w:pPr>
              <w:numPr>
                <w:ilvl w:val="0"/>
                <w:numId w:val="21"/>
              </w:numPr>
              <w:adjustRightInd w:val="0"/>
              <w:snapToGrid w:val="0"/>
              <w:ind w:left="0" w:firstLine="0"/>
              <w:jc w:val="center"/>
              <w:rPr>
                <w:rFonts w:hint="eastAsia" w:ascii="宋体" w:hAnsi="宋体" w:eastAsia="宋体" w:cs="宋体"/>
                <w:color w:val="000000" w:themeColor="text1"/>
                <w:sz w:val="21"/>
                <w:szCs w:val="21"/>
                <w:lang w:val="en-US" w:eastAsia="zh-CN"/>
                <w14:textFill>
                  <w14:solidFill>
                    <w14:schemeClr w14:val="tx1"/>
                  </w14:solidFill>
                </w14:textFill>
              </w:rPr>
            </w:pPr>
          </w:p>
        </w:tc>
        <w:tc>
          <w:tcPr>
            <w:tcW w:w="3120" w:type="dxa"/>
            <w:shd w:val="clear" w:color="auto" w:fill="auto"/>
            <w:vAlign w:val="center"/>
          </w:tcPr>
          <w:p w14:paraId="4700AB39">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生产设备操作位置应优先设计座子。</w:t>
            </w:r>
          </w:p>
        </w:tc>
        <w:tc>
          <w:tcPr>
            <w:tcW w:w="2280" w:type="dxa"/>
            <w:shd w:val="clear" w:color="auto" w:fill="auto"/>
            <w:vAlign w:val="center"/>
          </w:tcPr>
          <w:p w14:paraId="4DDD6235">
            <w:pPr>
              <w:adjustRightInd w:val="0"/>
              <w:snapToGrid w:val="0"/>
              <w:jc w:val="left"/>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GB5083-2023</w:t>
            </w:r>
          </w:p>
          <w:p w14:paraId="346604BF">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第5.7.</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条</w:t>
            </w:r>
          </w:p>
        </w:tc>
        <w:tc>
          <w:tcPr>
            <w:tcW w:w="1817" w:type="dxa"/>
            <w:shd w:val="clear" w:color="auto" w:fill="auto"/>
            <w:vAlign w:val="center"/>
          </w:tcPr>
          <w:p w14:paraId="6AD75C57">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操作位置采用立姿和坐姿交替进行。</w:t>
            </w:r>
          </w:p>
        </w:tc>
        <w:tc>
          <w:tcPr>
            <w:tcW w:w="1192" w:type="dxa"/>
            <w:shd w:val="clear" w:color="auto" w:fill="auto"/>
            <w:vAlign w:val="center"/>
          </w:tcPr>
          <w:p w14:paraId="44509C50">
            <w:pPr>
              <w:numPr>
                <w:ilvl w:val="0"/>
                <w:numId w:val="0"/>
              </w:numPr>
              <w:adjustRightInd w:val="0"/>
              <w:snapToGrid w:val="0"/>
              <w:ind w:left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CAA6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12" w:type="dxa"/>
            <w:vAlign w:val="center"/>
          </w:tcPr>
          <w:p w14:paraId="5F977656">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shd w:val="clear" w:color="auto" w:fill="auto"/>
            <w:vAlign w:val="center"/>
          </w:tcPr>
          <w:p w14:paraId="6B0ECF86">
            <w:pPr>
              <w:pStyle w:val="361"/>
              <w:overflowPunct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生产设备的操作点和操作区域应防止各种频闪效应和眩光现象,其照明设计应按GB50034 的规定执行。生产设备本体照明设计应符合视觉工效学原则。</w:t>
            </w:r>
          </w:p>
        </w:tc>
        <w:tc>
          <w:tcPr>
            <w:tcW w:w="2280" w:type="dxa"/>
            <w:shd w:val="clear" w:color="auto" w:fill="auto"/>
            <w:vAlign w:val="center"/>
          </w:tcPr>
          <w:p w14:paraId="1DBA70A7">
            <w:pPr>
              <w:pStyle w:val="361"/>
              <w:overflowPunct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《生产设备安全卫生设计总则》（GB5083-2023）第5.8.1条</w:t>
            </w:r>
          </w:p>
        </w:tc>
        <w:tc>
          <w:tcPr>
            <w:tcW w:w="1817" w:type="dxa"/>
            <w:shd w:val="clear" w:color="auto" w:fill="auto"/>
            <w:vAlign w:val="center"/>
          </w:tcPr>
          <w:p w14:paraId="38CF66D6">
            <w:pPr>
              <w:pStyle w:val="361"/>
              <w:overflowPunct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生产车间安装照明设施。</w:t>
            </w:r>
          </w:p>
        </w:tc>
        <w:tc>
          <w:tcPr>
            <w:tcW w:w="1192" w:type="dxa"/>
            <w:shd w:val="clear" w:color="auto" w:fill="auto"/>
            <w:vAlign w:val="center"/>
          </w:tcPr>
          <w:p w14:paraId="4EE0D1CE">
            <w:pPr>
              <w:pStyle w:val="361"/>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bidi="ar-SA"/>
                <w14:textFill>
                  <w14:solidFill>
                    <w14:schemeClr w14:val="tx1"/>
                  </w14:solidFill>
                </w14:textFill>
              </w:rPr>
              <w:t>符合</w:t>
            </w:r>
          </w:p>
        </w:tc>
      </w:tr>
      <w:tr w14:paraId="49B71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12" w:type="dxa"/>
            <w:vAlign w:val="center"/>
          </w:tcPr>
          <w:p w14:paraId="317283A5">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shd w:val="clear" w:color="auto" w:fill="auto"/>
            <w:vAlign w:val="center"/>
          </w:tcPr>
          <w:p w14:paraId="35CBA7E0">
            <w:pPr>
              <w:pStyle w:val="361"/>
              <w:overflowPunct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凡生产过程(包括三废处理)中能产生粉尘或其他有毒，有害物质的生产设备，应优先采用机械化、自动化和密闭装置完成加料、卸料等作业，并应设置吸收、净化、排放等装置或能与净化、排放系统连接的接口，以保证工作场所和排放的有害物质浓度符合要求。</w:t>
            </w:r>
          </w:p>
        </w:tc>
        <w:tc>
          <w:tcPr>
            <w:tcW w:w="2280" w:type="dxa"/>
            <w:shd w:val="clear" w:color="auto" w:fill="auto"/>
            <w:vAlign w:val="center"/>
          </w:tcPr>
          <w:p w14:paraId="007898E9">
            <w:pPr>
              <w:pStyle w:val="361"/>
              <w:overflowPunct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《生产设备安全卫生设计总则》（GB5083-2023）第6.7.1条</w:t>
            </w:r>
          </w:p>
        </w:tc>
        <w:tc>
          <w:tcPr>
            <w:tcW w:w="1817" w:type="dxa"/>
            <w:shd w:val="clear" w:color="auto" w:fill="auto"/>
            <w:vAlign w:val="center"/>
          </w:tcPr>
          <w:p w14:paraId="3379C686">
            <w:pPr>
              <w:pStyle w:val="361"/>
              <w:overflowPunct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厂区在产尘环节已配置除尘设施。</w:t>
            </w:r>
          </w:p>
        </w:tc>
        <w:tc>
          <w:tcPr>
            <w:tcW w:w="1192" w:type="dxa"/>
            <w:shd w:val="clear" w:color="auto" w:fill="auto"/>
            <w:vAlign w:val="center"/>
          </w:tcPr>
          <w:p w14:paraId="34168213">
            <w:pPr>
              <w:pStyle w:val="361"/>
              <w:overflowPunct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166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612" w:type="dxa"/>
            <w:vAlign w:val="center"/>
          </w:tcPr>
          <w:p w14:paraId="7F7F4D9E">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shd w:val="clear" w:color="auto" w:fill="auto"/>
            <w:vAlign w:val="center"/>
          </w:tcPr>
          <w:p w14:paraId="04E0B73E">
            <w:pPr>
              <w:pStyle w:val="362"/>
              <w:overflowPunct w:val="0"/>
              <w:snapToGrid w:val="0"/>
              <w:spacing w:line="300" w:lineRule="exact"/>
              <w:jc w:val="left"/>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生产设备运行时可能触及并易造成人身伤害的可动零部件应配置安全卫生防护装置。</w:t>
            </w:r>
          </w:p>
        </w:tc>
        <w:tc>
          <w:tcPr>
            <w:tcW w:w="2280" w:type="dxa"/>
            <w:shd w:val="clear" w:color="auto" w:fill="auto"/>
            <w:vAlign w:val="center"/>
          </w:tcPr>
          <w:p w14:paraId="43074F7D">
            <w:pPr>
              <w:pStyle w:val="362"/>
              <w:overflowPunct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《生产设备安全卫生设计总则》（GB5083-2023）</w:t>
            </w:r>
          </w:p>
          <w:p w14:paraId="284408C9">
            <w:pPr>
              <w:pStyle w:val="362"/>
              <w:overflowPunct w:val="0"/>
              <w:snapToGrid w:val="0"/>
              <w:spacing w:line="300" w:lineRule="exact"/>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第6.1.1条</w:t>
            </w:r>
          </w:p>
        </w:tc>
        <w:tc>
          <w:tcPr>
            <w:tcW w:w="1817" w:type="dxa"/>
            <w:shd w:val="clear" w:color="auto" w:fill="auto"/>
            <w:vAlign w:val="center"/>
          </w:tcPr>
          <w:p w14:paraId="3E1986D3">
            <w:pPr>
              <w:overflowPunct w:val="0"/>
              <w:snapToGrid w:val="0"/>
              <w:spacing w:line="300" w:lineRule="exact"/>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各设备存在危险的部位均设置了防护网、罩防护。</w:t>
            </w:r>
          </w:p>
        </w:tc>
        <w:tc>
          <w:tcPr>
            <w:tcW w:w="1192" w:type="dxa"/>
            <w:shd w:val="clear" w:color="auto" w:fill="auto"/>
            <w:vAlign w:val="center"/>
          </w:tcPr>
          <w:p w14:paraId="6730AF3F">
            <w:pPr>
              <w:overflowPunct w:val="0"/>
              <w:snapToGrid w:val="0"/>
              <w:spacing w:line="300" w:lineRule="exact"/>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E3CA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2" w:type="dxa"/>
            <w:vAlign w:val="center"/>
          </w:tcPr>
          <w:p w14:paraId="0F679B49">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vAlign w:val="center"/>
          </w:tcPr>
          <w:p w14:paraId="3C701724">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若操作人员进行操作、维护、调节的工作位置在坠落基准面2m以上时，则必须在生产设备上配置供站立的平台和防坠落的护栏、护板或安全圈等。</w:t>
            </w:r>
          </w:p>
        </w:tc>
        <w:tc>
          <w:tcPr>
            <w:tcW w:w="2280" w:type="dxa"/>
            <w:vAlign w:val="center"/>
          </w:tcPr>
          <w:p w14:paraId="79BEFC43">
            <w:pPr>
              <w:adjustRightInd w:val="0"/>
              <w:snapToGrid w:val="0"/>
              <w:jc w:val="left"/>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GB5083-2023</w:t>
            </w:r>
          </w:p>
          <w:p w14:paraId="2AD42E87">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第5.7.4条</w:t>
            </w:r>
          </w:p>
        </w:tc>
        <w:tc>
          <w:tcPr>
            <w:tcW w:w="1817" w:type="dxa"/>
            <w:vAlign w:val="center"/>
          </w:tcPr>
          <w:p w14:paraId="5B651895">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各工作台面配置有人员站立的平台和护栏、护板等。</w:t>
            </w:r>
          </w:p>
        </w:tc>
        <w:tc>
          <w:tcPr>
            <w:tcW w:w="1192" w:type="dxa"/>
            <w:vAlign w:val="center"/>
          </w:tcPr>
          <w:p w14:paraId="2C98404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E900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2" w:type="dxa"/>
            <w:vAlign w:val="center"/>
          </w:tcPr>
          <w:p w14:paraId="5B9233CF">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vAlign w:val="center"/>
          </w:tcPr>
          <w:p w14:paraId="08F799FE">
            <w:pPr>
              <w:numPr>
                <w:ilvl w:val="0"/>
                <w:numId w:val="0"/>
              </w:numPr>
              <w:adjustRightInd w:val="0"/>
              <w:snapToGrid w:val="0"/>
              <w:ind w:left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以作业人员的操作位置所在平面为基准,凡高度在2m之内的所有传动带、转轴、传动链、联轴节、带轮、齿轮、飞轮、链轮、电锯等外露危险零部件及危险部位,均应设置安全卫生防护装置。</w:t>
            </w:r>
          </w:p>
        </w:tc>
        <w:tc>
          <w:tcPr>
            <w:tcW w:w="2280" w:type="dxa"/>
            <w:shd w:val="clear" w:color="auto" w:fill="auto"/>
            <w:vAlign w:val="center"/>
          </w:tcPr>
          <w:p w14:paraId="64583CB5">
            <w:pPr>
              <w:numPr>
                <w:ilvl w:val="0"/>
                <w:numId w:val="0"/>
              </w:numPr>
              <w:adjustRightInd w:val="0"/>
              <w:snapToGrid w:val="0"/>
              <w:ind w:leftChars="0"/>
              <w:jc w:val="left"/>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GB5083-2023</w:t>
            </w:r>
          </w:p>
          <w:p w14:paraId="6ED600AB">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第6.1.</w:t>
            </w:r>
            <w:r>
              <w:rPr>
                <w:rFonts w:hint="eastAsia" w:ascii="宋体" w:hAnsi="宋体" w:eastAsia="宋体" w:cs="宋体"/>
                <w:color w:val="000000" w:themeColor="text1"/>
                <w:sz w:val="21"/>
                <w:szCs w:val="21"/>
                <w:lang w:val="en-US" w:eastAsia="zh-CN"/>
                <w14:textFill>
                  <w14:solidFill>
                    <w14:schemeClr w14:val="tx1"/>
                  </w14:solidFill>
                </w14:textFill>
              </w:rPr>
              <w:t>5</w:t>
            </w:r>
            <w:r>
              <w:rPr>
                <w:rFonts w:hint="eastAsia" w:ascii="宋体" w:hAnsi="宋体" w:eastAsia="宋体" w:cs="宋体"/>
                <w:color w:val="000000" w:themeColor="text1"/>
                <w:sz w:val="21"/>
                <w:szCs w:val="21"/>
                <w14:textFill>
                  <w14:solidFill>
                    <w14:schemeClr w14:val="tx1"/>
                  </w14:solidFill>
                </w14:textFill>
              </w:rPr>
              <w:t>条</w:t>
            </w:r>
          </w:p>
        </w:tc>
        <w:tc>
          <w:tcPr>
            <w:tcW w:w="1817" w:type="dxa"/>
            <w:shd w:val="clear" w:color="auto" w:fill="auto"/>
            <w:vAlign w:val="center"/>
          </w:tcPr>
          <w:p w14:paraId="6DD16FB0">
            <w:pPr>
              <w:numPr>
                <w:ilvl w:val="0"/>
                <w:numId w:val="0"/>
              </w:numPr>
              <w:adjustRightInd w:val="0"/>
              <w:snapToGrid w:val="0"/>
              <w:ind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设置有安全防护装置。</w:t>
            </w:r>
          </w:p>
        </w:tc>
        <w:tc>
          <w:tcPr>
            <w:tcW w:w="1192" w:type="dxa"/>
            <w:shd w:val="clear" w:color="auto" w:fill="auto"/>
            <w:vAlign w:val="center"/>
          </w:tcPr>
          <w:p w14:paraId="2B56E94F">
            <w:pPr>
              <w:numPr>
                <w:ilvl w:val="0"/>
                <w:numId w:val="0"/>
              </w:numPr>
              <w:adjustRightInd w:val="0"/>
              <w:snapToGrid w:val="0"/>
              <w:ind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7AE3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2" w:type="dxa"/>
            <w:vAlign w:val="center"/>
          </w:tcPr>
          <w:p w14:paraId="1FA517F6">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shd w:val="clear" w:color="auto" w:fill="auto"/>
            <w:vAlign w:val="center"/>
          </w:tcPr>
          <w:p w14:paraId="108A66D2">
            <w:pPr>
              <w:adjustRightInd w:val="0"/>
              <w:snapToGrid w:val="0"/>
              <w:spacing w:line="300" w:lineRule="exact"/>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企业应按照GB11651和国家颁发的劳动防护用品配备标准和有关规定，为从业人员配备劳动防护用品。</w:t>
            </w:r>
          </w:p>
        </w:tc>
        <w:tc>
          <w:tcPr>
            <w:tcW w:w="2280" w:type="dxa"/>
            <w:shd w:val="clear" w:color="auto" w:fill="auto"/>
            <w:vAlign w:val="center"/>
          </w:tcPr>
          <w:p w14:paraId="1BB27B58">
            <w:pPr>
              <w:adjustRightInd w:val="0"/>
              <w:snapToGrid w:val="0"/>
              <w:spacing w:line="300" w:lineRule="exact"/>
              <w:jc w:val="left"/>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p>
          <w:p w14:paraId="20E72EC5">
            <w:pPr>
              <w:adjustRightInd w:val="0"/>
              <w:snapToGrid w:val="0"/>
              <w:spacing w:line="300" w:lineRule="exact"/>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12801-2008）第6.2.1条</w:t>
            </w:r>
          </w:p>
        </w:tc>
        <w:tc>
          <w:tcPr>
            <w:tcW w:w="1817" w:type="dxa"/>
            <w:shd w:val="clear" w:color="auto" w:fill="auto"/>
            <w:vAlign w:val="center"/>
          </w:tcPr>
          <w:p w14:paraId="700AEF1D">
            <w:pPr>
              <w:adjustRightInd w:val="0"/>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企业</w:t>
            </w:r>
            <w:r>
              <w:rPr>
                <w:rFonts w:hint="eastAsia" w:ascii="宋体" w:hAnsi="宋体" w:eastAsia="宋体" w:cs="宋体"/>
                <w:color w:val="000000" w:themeColor="text1"/>
                <w:sz w:val="21"/>
                <w:szCs w:val="21"/>
                <w14:textFill>
                  <w14:solidFill>
                    <w14:schemeClr w14:val="tx1"/>
                  </w14:solidFill>
                </w14:textFill>
              </w:rPr>
              <w:t>为从业人员配备劳动防护用品</w:t>
            </w:r>
            <w:r>
              <w:rPr>
                <w:rFonts w:hint="eastAsia" w:ascii="宋体" w:hAnsi="宋体" w:eastAsia="宋体" w:cs="宋体"/>
                <w:color w:val="000000" w:themeColor="text1"/>
                <w:sz w:val="21"/>
                <w:szCs w:val="21"/>
                <w:lang w:eastAsia="zh-CN"/>
                <w14:textFill>
                  <w14:solidFill>
                    <w14:schemeClr w14:val="tx1"/>
                  </w14:solidFill>
                </w14:textFill>
              </w:rPr>
              <w:t>。</w:t>
            </w:r>
          </w:p>
        </w:tc>
        <w:tc>
          <w:tcPr>
            <w:tcW w:w="1192" w:type="dxa"/>
            <w:shd w:val="clear" w:color="auto" w:fill="auto"/>
            <w:vAlign w:val="center"/>
          </w:tcPr>
          <w:p w14:paraId="0E48EA89">
            <w:pPr>
              <w:adjustRightInd w:val="0"/>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3480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2" w:type="dxa"/>
            <w:vAlign w:val="center"/>
          </w:tcPr>
          <w:p w14:paraId="502ED10D">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shd w:val="clear" w:color="auto" w:fill="auto"/>
            <w:vAlign w:val="center"/>
          </w:tcPr>
          <w:p w14:paraId="606E116D">
            <w:pPr>
              <w:adjustRightInd w:val="0"/>
              <w:snapToGrid w:val="0"/>
              <w:spacing w:line="300" w:lineRule="exact"/>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具有火灾危险的工作过程，应综合考虑防火防爆措施和报警系统，合理选择和配置消防设施。</w:t>
            </w:r>
          </w:p>
        </w:tc>
        <w:tc>
          <w:tcPr>
            <w:tcW w:w="2280" w:type="dxa"/>
            <w:shd w:val="clear" w:color="auto" w:fill="auto"/>
            <w:vAlign w:val="center"/>
          </w:tcPr>
          <w:p w14:paraId="15BA948E">
            <w:pPr>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《生产过程安全卫生要求总则》（GB/T12801-2008）</w:t>
            </w:r>
          </w:p>
          <w:p w14:paraId="726B49AF">
            <w:pPr>
              <w:adjustRightInd w:val="0"/>
              <w:snapToGrid w:val="0"/>
              <w:spacing w:line="300" w:lineRule="exact"/>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第6.3.1条</w:t>
            </w:r>
          </w:p>
        </w:tc>
        <w:tc>
          <w:tcPr>
            <w:tcW w:w="1817" w:type="dxa"/>
            <w:shd w:val="clear" w:color="auto" w:fill="auto"/>
            <w:vAlign w:val="center"/>
          </w:tcPr>
          <w:p w14:paraId="2BED65A9">
            <w:pPr>
              <w:adjustRightInd w:val="0"/>
              <w:snapToGrid w:val="0"/>
              <w:spacing w:line="300" w:lineRule="exact"/>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w:t>
            </w:r>
            <w:r>
              <w:rPr>
                <w:rFonts w:hint="eastAsia" w:ascii="宋体" w:hAnsi="宋体" w:eastAsia="宋体" w:cs="宋体"/>
                <w:color w:val="000000" w:themeColor="text1"/>
                <w:sz w:val="21"/>
                <w:szCs w:val="21"/>
                <w:lang w:val="en-US" w:eastAsia="zh-CN"/>
                <w14:textFill>
                  <w14:solidFill>
                    <w14:schemeClr w14:val="tx1"/>
                  </w14:solidFill>
                </w14:textFill>
              </w:rPr>
              <w:t>在生产车间</w:t>
            </w:r>
            <w:r>
              <w:rPr>
                <w:rFonts w:hint="eastAsia" w:ascii="宋体" w:hAnsi="宋体" w:eastAsia="宋体" w:cs="宋体"/>
                <w:color w:val="000000" w:themeColor="text1"/>
                <w:sz w:val="21"/>
                <w:szCs w:val="21"/>
                <w14:textFill>
                  <w14:solidFill>
                    <w14:schemeClr w14:val="tx1"/>
                  </w14:solidFill>
                </w14:textFill>
              </w:rPr>
              <w:t>、办公室</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宿舍</w:t>
            </w:r>
            <w:r>
              <w:rPr>
                <w:rFonts w:hint="eastAsia" w:ascii="宋体" w:hAnsi="宋体" w:eastAsia="宋体" w:cs="宋体"/>
                <w:color w:val="000000" w:themeColor="text1"/>
                <w:sz w:val="21"/>
                <w:szCs w:val="21"/>
                <w14:textFill>
                  <w14:solidFill>
                    <w14:schemeClr w14:val="tx1"/>
                  </w14:solidFill>
                </w14:textFill>
              </w:rPr>
              <w:t>等区域配备了灭火器。</w:t>
            </w:r>
          </w:p>
        </w:tc>
        <w:tc>
          <w:tcPr>
            <w:tcW w:w="1192" w:type="dxa"/>
            <w:shd w:val="clear" w:color="auto" w:fill="auto"/>
            <w:vAlign w:val="center"/>
          </w:tcPr>
          <w:p w14:paraId="1C6B8AEC">
            <w:pPr>
              <w:adjustRightInd w:val="0"/>
              <w:snapToGrid w:val="0"/>
              <w:spacing w:line="300" w:lineRule="exact"/>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C4DC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2" w:type="dxa"/>
            <w:vAlign w:val="center"/>
          </w:tcPr>
          <w:p w14:paraId="732D8EE2">
            <w:pPr>
              <w:numPr>
                <w:ilvl w:val="0"/>
                <w:numId w:val="21"/>
              </w:numPr>
              <w:adjustRightInd w:val="0"/>
              <w:snapToGrid w:val="0"/>
              <w:ind w:left="0" w:firstLine="0"/>
              <w:jc w:val="center"/>
              <w:rPr>
                <w:rFonts w:hint="eastAsia" w:ascii="宋体" w:hAnsi="宋体" w:eastAsia="宋体" w:cs="宋体"/>
                <w:color w:val="000000" w:themeColor="text1"/>
                <w:sz w:val="21"/>
                <w:szCs w:val="21"/>
                <w14:textFill>
                  <w14:solidFill>
                    <w14:schemeClr w14:val="tx1"/>
                  </w14:solidFill>
                </w14:textFill>
              </w:rPr>
            </w:pPr>
          </w:p>
        </w:tc>
        <w:tc>
          <w:tcPr>
            <w:tcW w:w="3120" w:type="dxa"/>
            <w:shd w:val="clear" w:color="auto" w:fill="auto"/>
            <w:vAlign w:val="center"/>
          </w:tcPr>
          <w:p w14:paraId="4FC4B49C">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设备布置的原则：</w:t>
            </w:r>
          </w:p>
          <w:p w14:paraId="632D4BA2">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 便于操作和维护；</w:t>
            </w:r>
          </w:p>
          <w:p w14:paraId="0D88EE65">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b. 发生火灾或出现紧急情况时，便于人员撤离；</w:t>
            </w:r>
          </w:p>
          <w:p w14:paraId="2E06FFE3">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 尽量避免生产装置之间危害因素的相互影响，减小对人员的综合作用；</w:t>
            </w:r>
          </w:p>
          <w:p w14:paraId="01DF8BE5">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d. 布置具有潜在危险的设备时，应根据有关规定进行分散和隔离，并设置必要的提示、标志和警告信号；</w:t>
            </w:r>
          </w:p>
          <w:p w14:paraId="1DB6557D">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e. 对振动、爆炸敏感的设备，应进行隔离或设置屏蔽、防护墙、减振设施等；</w:t>
            </w:r>
          </w:p>
          <w:p w14:paraId="12371A14">
            <w:pPr>
              <w:spacing w:line="240" w:lineRule="auto"/>
              <w:ind w:firstLine="0" w:firstLineChars="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f. 设备的噪声超过有关标准规定时，应予以隔离；</w:t>
            </w:r>
          </w:p>
        </w:tc>
        <w:tc>
          <w:tcPr>
            <w:tcW w:w="2280" w:type="dxa"/>
            <w:shd w:val="clear" w:color="auto" w:fill="auto"/>
            <w:vAlign w:val="center"/>
          </w:tcPr>
          <w:p w14:paraId="75094AF2">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w:t>
            </w:r>
          </w:p>
          <w:p w14:paraId="6CAB692E">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12801-2008）</w:t>
            </w:r>
          </w:p>
          <w:p w14:paraId="30EB6A6F">
            <w:pPr>
              <w:spacing w:line="240" w:lineRule="auto"/>
              <w:ind w:firstLine="0" w:firstLineChars="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5.7.2</w:t>
            </w:r>
          </w:p>
        </w:tc>
        <w:tc>
          <w:tcPr>
            <w:tcW w:w="1817" w:type="dxa"/>
            <w:shd w:val="clear" w:color="auto" w:fill="auto"/>
            <w:vAlign w:val="center"/>
          </w:tcPr>
          <w:p w14:paraId="008698A3">
            <w:pPr>
              <w:spacing w:line="240" w:lineRule="auto"/>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本项目周围没有对振动要求高的设备，均按相关要求规定进行布置，有足够的操作和检维修空间，便于操作和维护；</w:t>
            </w:r>
          </w:p>
          <w:p w14:paraId="55B4A95A">
            <w:pPr>
              <w:spacing w:line="240" w:lineRule="auto"/>
              <w:ind w:firstLine="0" w:firstLineChars="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本项目各生产厂房设有紧急出入口，发生火灾或出现紧急情况时人员能迅速撤离。</w:t>
            </w:r>
          </w:p>
        </w:tc>
        <w:tc>
          <w:tcPr>
            <w:tcW w:w="1192" w:type="dxa"/>
            <w:shd w:val="clear" w:color="auto" w:fill="auto"/>
            <w:vAlign w:val="center"/>
          </w:tcPr>
          <w:p w14:paraId="4962FA5A">
            <w:pPr>
              <w:spacing w:line="240" w:lineRule="auto"/>
              <w:ind w:firstLine="0" w:firstLineChars="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5B22406C">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检查评价结果：</w:t>
      </w:r>
    </w:p>
    <w:p w14:paraId="182DC4A6">
      <w:pPr>
        <w:adjustRightInd w:val="0"/>
        <w:snapToGrid w:val="0"/>
        <w:spacing w:line="500" w:lineRule="exact"/>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本项目的生产设备设施、安全设施符合《生产设备安全卫生设计总则》、《生产过程安全卫生要求总则》的规定和要求。</w:t>
      </w:r>
    </w:p>
    <w:p w14:paraId="1DC9370D">
      <w:pPr>
        <w:pStyle w:val="5"/>
        <w:spacing w:line="360" w:lineRule="auto"/>
        <w:rPr>
          <w:rFonts w:ascii="Times New Roman" w:hAnsi="Times New Roman"/>
          <w:color w:val="000000" w:themeColor="text1"/>
          <w14:textFill>
            <w14:solidFill>
              <w14:schemeClr w14:val="tx1"/>
            </w14:solidFill>
          </w14:textFill>
        </w:rPr>
      </w:pPr>
      <w:bookmarkStart w:id="632" w:name="_Toc18254"/>
      <w:bookmarkStart w:id="633" w:name="_Toc314238283"/>
      <w:bookmarkStart w:id="634" w:name="_Toc341693650"/>
      <w:bookmarkStart w:id="635" w:name="_Toc313524477"/>
      <w:bookmarkStart w:id="636" w:name="_Toc314143822"/>
      <w:bookmarkStart w:id="637" w:name="_Toc2883"/>
      <w:bookmarkStart w:id="638" w:name="_Toc25419"/>
      <w:r>
        <w:rPr>
          <w:rFonts w:hint="eastAsia" w:ascii="Times New Roman" w:hAnsi="Times New Roman"/>
          <w:color w:val="000000" w:themeColor="text1"/>
          <w14:textFill>
            <w14:solidFill>
              <w14:schemeClr w14:val="tx1"/>
            </w14:solidFill>
          </w14:textFill>
        </w:rPr>
        <w:t>5.2.2</w:t>
      </w:r>
      <w:bookmarkEnd w:id="632"/>
      <w:bookmarkEnd w:id="633"/>
      <w:bookmarkEnd w:id="634"/>
      <w:bookmarkEnd w:id="635"/>
      <w:bookmarkEnd w:id="636"/>
      <w:r>
        <w:rPr>
          <w:rFonts w:hint="eastAsia" w:ascii="Times New Roman" w:hAnsi="Times New Roman"/>
          <w:color w:val="000000" w:themeColor="text1"/>
          <w14:textFill>
            <w14:solidFill>
              <w14:schemeClr w14:val="tx1"/>
            </w14:solidFill>
          </w14:textFill>
        </w:rPr>
        <w:t>单元小结</w:t>
      </w:r>
      <w:bookmarkEnd w:id="637"/>
      <w:bookmarkEnd w:id="638"/>
    </w:p>
    <w:p w14:paraId="6AF2F5C8">
      <w:pPr>
        <w:adjustRightInd w:val="0"/>
        <w:snapToGrid w:val="0"/>
        <w:spacing w:line="50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该项目的生产工艺</w:t>
      </w:r>
      <w:r>
        <w:rPr>
          <w:rFonts w:hint="eastAsia" w:ascii="Times New Roman" w:hAnsi="Times New Roman" w:cs="Times New Roman"/>
          <w:color w:val="000000" w:themeColor="text1"/>
          <w:sz w:val="28"/>
          <w:szCs w:val="28"/>
          <w:lang w:val="en-US" w:eastAsia="zh-CN"/>
          <w14:textFill>
            <w14:solidFill>
              <w14:schemeClr w14:val="tx1"/>
            </w14:solidFill>
          </w14:textFill>
        </w:rPr>
        <w:t>及</w:t>
      </w:r>
      <w:r>
        <w:rPr>
          <w:rFonts w:hint="default" w:ascii="Times New Roman" w:hAnsi="Times New Roman" w:cs="Times New Roman"/>
          <w:color w:val="000000" w:themeColor="text1"/>
          <w:sz w:val="28"/>
          <w:szCs w:val="28"/>
          <w14:textFill>
            <w14:solidFill>
              <w14:schemeClr w14:val="tx1"/>
            </w14:solidFill>
          </w14:textFill>
        </w:rPr>
        <w:t>设施符合《生产设备安全卫生设计总则》（GB5083-</w:t>
      </w:r>
      <w:r>
        <w:rPr>
          <w:rFonts w:hint="eastAsia" w:ascii="Times New Roman" w:cs="Times New Roman"/>
          <w:color w:val="000000" w:themeColor="text1"/>
          <w:sz w:val="28"/>
          <w:szCs w:val="28"/>
          <w:lang w:val="en-US" w:eastAsia="zh-CN"/>
          <w14:textFill>
            <w14:solidFill>
              <w14:schemeClr w14:val="tx1"/>
            </w14:solidFill>
          </w14:textFill>
        </w:rPr>
        <w:t>2023</w:t>
      </w:r>
      <w:r>
        <w:rPr>
          <w:rFonts w:hint="default" w:ascii="Times New Roman" w:hAnsi="Times New Roman" w:cs="Times New Roman"/>
          <w:color w:val="000000" w:themeColor="text1"/>
          <w:sz w:val="28"/>
          <w:szCs w:val="28"/>
          <w14:textFill>
            <w14:solidFill>
              <w14:schemeClr w14:val="tx1"/>
            </w14:solidFill>
          </w14:textFill>
        </w:rPr>
        <w:t>）、《生产过程安全卫生要求总则》（GB/T 12801-2008）、《中华人民共和国安全生产法》（中华人民共和国主席令第88号，2021年修订）等相关规范的要求。</w:t>
      </w:r>
    </w:p>
    <w:p w14:paraId="178CC71F">
      <w:pPr>
        <w:pStyle w:val="4"/>
        <w:spacing w:line="360" w:lineRule="auto"/>
        <w:rPr>
          <w:rFonts w:ascii="Times New Roman" w:hAnsi="Times New Roman"/>
          <w:color w:val="000000" w:themeColor="text1"/>
          <w14:textFill>
            <w14:solidFill>
              <w14:schemeClr w14:val="tx1"/>
            </w14:solidFill>
          </w14:textFill>
        </w:rPr>
      </w:pPr>
      <w:bookmarkStart w:id="639" w:name="_Toc6503"/>
      <w:bookmarkStart w:id="640" w:name="_Toc27234"/>
      <w:bookmarkStart w:id="641" w:name="_Toc21045"/>
      <w:bookmarkStart w:id="642" w:name="_Toc335926305"/>
      <w:bookmarkStart w:id="643" w:name="_Toc15351"/>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t>常规防护设施评价单元</w:t>
      </w:r>
      <w:bookmarkEnd w:id="639"/>
      <w:bookmarkEnd w:id="640"/>
      <w:bookmarkEnd w:id="641"/>
      <w:bookmarkEnd w:id="642"/>
      <w:bookmarkEnd w:id="643"/>
    </w:p>
    <w:p w14:paraId="406E3133">
      <w:pPr>
        <w:pStyle w:val="5"/>
        <w:spacing w:line="360" w:lineRule="auto"/>
        <w:rPr>
          <w:rFonts w:ascii="Times New Roman" w:hAnsi="Times New Roman"/>
          <w:color w:val="000000" w:themeColor="text1"/>
          <w14:textFill>
            <w14:solidFill>
              <w14:schemeClr w14:val="tx1"/>
            </w14:solidFill>
          </w14:textFill>
        </w:rPr>
      </w:pPr>
      <w:bookmarkStart w:id="644" w:name="_Toc313493973"/>
      <w:bookmarkStart w:id="645" w:name="_Toc29115"/>
      <w:bookmarkStart w:id="646" w:name="_Toc13517"/>
      <w:bookmarkStart w:id="647" w:name="_Toc335926306"/>
      <w:bookmarkStart w:id="648" w:name="_Toc11184"/>
      <w:bookmarkStart w:id="649" w:name="_Toc13791"/>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t>.1常规防护设施</w:t>
      </w:r>
      <w:bookmarkStart w:id="650" w:name="_Hlt142011580"/>
      <w:bookmarkEnd w:id="650"/>
      <w:r>
        <w:rPr>
          <w:rFonts w:ascii="Times New Roman" w:hAnsi="Times New Roman"/>
          <w:color w:val="000000" w:themeColor="text1"/>
          <w14:textFill>
            <w14:solidFill>
              <w14:schemeClr w14:val="tx1"/>
            </w14:solidFill>
          </w14:textFill>
        </w:rPr>
        <w:t>和措施</w:t>
      </w:r>
      <w:bookmarkEnd w:id="644"/>
      <w:bookmarkEnd w:id="645"/>
      <w:bookmarkEnd w:id="646"/>
      <w:bookmarkEnd w:id="647"/>
      <w:bookmarkEnd w:id="648"/>
      <w:bookmarkEnd w:id="649"/>
    </w:p>
    <w:p w14:paraId="6F896953">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根据《中华人民共和国安全生产法》、《生产过程安全卫生要求总则》（GB/T12801-2008）、《生产设备安全卫生设计总则》（</w:t>
      </w:r>
      <w:r>
        <w:rPr>
          <w:rFonts w:hint="eastAsia" w:hAnsi="宋体" w:cs="宋体"/>
          <w:color w:val="000000" w:themeColor="text1"/>
          <w:sz w:val="28"/>
          <w:szCs w:val="28"/>
          <w:lang w:eastAsia="zh-CN"/>
          <w14:textFill>
            <w14:solidFill>
              <w14:schemeClr w14:val="tx1"/>
            </w14:solidFill>
          </w14:textFill>
        </w:rPr>
        <w:t>GB5083-2023</w:t>
      </w:r>
      <w:r>
        <w:rPr>
          <w:rFonts w:hint="eastAsia" w:hAnsi="宋体" w:cs="宋体"/>
          <w:color w:val="000000" w:themeColor="text1"/>
          <w:sz w:val="28"/>
          <w:szCs w:val="28"/>
          <w14:textFill>
            <w14:solidFill>
              <w14:schemeClr w14:val="tx1"/>
            </w14:solidFill>
          </w14:textFill>
        </w:rPr>
        <w:t>）、《固定式钢梯及平台安全要求（系列）》（GB4053-2009）等规范的要求，编制了常规防护设施和措施检查表，对该项目的常规防护设施和措施进行检查，其检查结果见下表。</w:t>
      </w:r>
    </w:p>
    <w:p w14:paraId="06F2A1E8">
      <w:pPr>
        <w:snapToGrid w:val="0"/>
        <w:spacing w:line="520" w:lineRule="exact"/>
        <w:jc w:val="center"/>
        <w:rPr>
          <w:rFonts w:ascii="Times New Roman"/>
          <w:b/>
          <w:bCs/>
          <w:color w:val="000000" w:themeColor="text1"/>
          <w14:textFill>
            <w14:solidFill>
              <w14:schemeClr w14:val="tx1"/>
            </w14:solidFill>
          </w14:textFill>
        </w:rPr>
      </w:pPr>
      <w:r>
        <w:rPr>
          <w:rFonts w:hint="eastAsia" w:hAnsi="宋体" w:cs="宋体"/>
          <w:b/>
          <w:bCs/>
          <w:color w:val="000000" w:themeColor="text1"/>
          <w14:textFill>
            <w14:solidFill>
              <w14:schemeClr w14:val="tx1"/>
            </w14:solidFill>
          </w14:textFill>
        </w:rPr>
        <w:t>表5-</w:t>
      </w:r>
      <w:r>
        <w:rPr>
          <w:rFonts w:hint="eastAsia" w:hAnsi="宋体" w:cs="宋体"/>
          <w:b/>
          <w:bCs/>
          <w:color w:val="000000" w:themeColor="text1"/>
          <w:lang w:val="en-US" w:eastAsia="zh-CN"/>
          <w14:textFill>
            <w14:solidFill>
              <w14:schemeClr w14:val="tx1"/>
            </w14:solidFill>
          </w14:textFill>
        </w:rPr>
        <w:t>3</w:t>
      </w:r>
      <w:r>
        <w:rPr>
          <w:rFonts w:hint="eastAsia" w:hAnsi="宋体" w:cs="宋体"/>
          <w:b/>
          <w:bCs/>
          <w:color w:val="000000" w:themeColor="text1"/>
          <w14:textFill>
            <w14:solidFill>
              <w14:schemeClr w14:val="tx1"/>
            </w14:solidFill>
          </w14:textFill>
        </w:rPr>
        <w:t xml:space="preserve">  常规防护设施和措施安全检查表</w:t>
      </w:r>
    </w:p>
    <w:tbl>
      <w:tblPr>
        <w:tblStyle w:val="53"/>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3190"/>
        <w:gridCol w:w="2199"/>
        <w:gridCol w:w="1795"/>
        <w:gridCol w:w="793"/>
      </w:tblGrid>
      <w:tr w14:paraId="44C2F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43" w:type="dxa"/>
            <w:vAlign w:val="center"/>
          </w:tcPr>
          <w:p w14:paraId="3CE54F90">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3190" w:type="dxa"/>
            <w:vAlign w:val="center"/>
          </w:tcPr>
          <w:p w14:paraId="788AD18C">
            <w:pPr>
              <w:suppressAutoHyphens/>
              <w:snapToGrid w:val="0"/>
              <w:jc w:val="center"/>
              <w:rPr>
                <w:rFonts w:hint="eastAsia" w:ascii="宋体" w:hAnsi="宋体" w:eastAsia="宋体" w:cs="宋体"/>
                <w:b/>
                <w:bCs/>
                <w:snapToGrid w:val="0"/>
                <w:color w:val="000000" w:themeColor="text1"/>
                <w:sz w:val="21"/>
                <w:szCs w:val="21"/>
                <w14:textFill>
                  <w14:solidFill>
                    <w14:schemeClr w14:val="tx1"/>
                  </w14:solidFill>
                </w14:textFill>
              </w:rPr>
            </w:pPr>
            <w:r>
              <w:rPr>
                <w:rFonts w:hint="eastAsia" w:ascii="宋体" w:hAnsi="宋体" w:eastAsia="宋体" w:cs="宋体"/>
                <w:b/>
                <w:bCs/>
                <w:snapToGrid w:val="0"/>
                <w:color w:val="000000" w:themeColor="text1"/>
                <w:sz w:val="21"/>
                <w:szCs w:val="21"/>
                <w14:textFill>
                  <w14:solidFill>
                    <w14:schemeClr w14:val="tx1"/>
                  </w14:solidFill>
                </w14:textFill>
              </w:rPr>
              <w:t>检查内容</w:t>
            </w:r>
          </w:p>
        </w:tc>
        <w:tc>
          <w:tcPr>
            <w:tcW w:w="2199" w:type="dxa"/>
            <w:vAlign w:val="center"/>
          </w:tcPr>
          <w:p w14:paraId="2B82EBC0">
            <w:pPr>
              <w:suppressAutoHyphens/>
              <w:snapToGrid w:val="0"/>
              <w:jc w:val="center"/>
              <w:rPr>
                <w:rFonts w:hint="eastAsia" w:ascii="宋体" w:hAnsi="宋体" w:eastAsia="宋体" w:cs="宋体"/>
                <w:b/>
                <w:bCs/>
                <w:snapToGrid w:val="0"/>
                <w:color w:val="000000" w:themeColor="text1"/>
                <w:sz w:val="21"/>
                <w:szCs w:val="21"/>
                <w14:textFill>
                  <w14:solidFill>
                    <w14:schemeClr w14:val="tx1"/>
                  </w14:solidFill>
                </w14:textFill>
              </w:rPr>
            </w:pPr>
            <w:r>
              <w:rPr>
                <w:rFonts w:hint="eastAsia" w:ascii="宋体" w:hAnsi="宋体" w:eastAsia="宋体" w:cs="宋体"/>
                <w:b/>
                <w:bCs/>
                <w:snapToGrid w:val="0"/>
                <w:color w:val="000000" w:themeColor="text1"/>
                <w:sz w:val="21"/>
                <w:szCs w:val="21"/>
                <w14:textFill>
                  <w14:solidFill>
                    <w14:schemeClr w14:val="tx1"/>
                  </w14:solidFill>
                </w14:textFill>
              </w:rPr>
              <w:t>依据标准</w:t>
            </w:r>
          </w:p>
        </w:tc>
        <w:tc>
          <w:tcPr>
            <w:tcW w:w="1795" w:type="dxa"/>
            <w:vAlign w:val="center"/>
          </w:tcPr>
          <w:p w14:paraId="36BE2549">
            <w:pPr>
              <w:suppressAutoHyphens/>
              <w:snapToGrid w:val="0"/>
              <w:jc w:val="center"/>
              <w:rPr>
                <w:rFonts w:hint="eastAsia" w:ascii="宋体" w:hAnsi="宋体" w:eastAsia="宋体" w:cs="宋体"/>
                <w:b/>
                <w:bCs/>
                <w:snapToGrid w:val="0"/>
                <w:color w:val="000000" w:themeColor="text1"/>
                <w:sz w:val="21"/>
                <w:szCs w:val="21"/>
                <w14:textFill>
                  <w14:solidFill>
                    <w14:schemeClr w14:val="tx1"/>
                  </w14:solidFill>
                </w14:textFill>
              </w:rPr>
            </w:pPr>
            <w:r>
              <w:rPr>
                <w:rFonts w:hint="eastAsia" w:ascii="宋体" w:hAnsi="宋体" w:eastAsia="宋体" w:cs="宋体"/>
                <w:b/>
                <w:bCs/>
                <w:snapToGrid w:val="0"/>
                <w:color w:val="000000" w:themeColor="text1"/>
                <w:sz w:val="21"/>
                <w:szCs w:val="21"/>
                <w14:textFill>
                  <w14:solidFill>
                    <w14:schemeClr w14:val="tx1"/>
                  </w14:solidFill>
                </w14:textFill>
              </w:rPr>
              <w:t>检查情况</w:t>
            </w:r>
          </w:p>
        </w:tc>
        <w:tc>
          <w:tcPr>
            <w:tcW w:w="793" w:type="dxa"/>
            <w:vAlign w:val="center"/>
          </w:tcPr>
          <w:p w14:paraId="4FBC790B">
            <w:pPr>
              <w:suppressAutoHyphens/>
              <w:snapToGrid w:val="0"/>
              <w:jc w:val="center"/>
              <w:rPr>
                <w:rFonts w:hint="eastAsia" w:ascii="宋体" w:hAnsi="宋体" w:eastAsia="宋体" w:cs="宋体"/>
                <w:b/>
                <w:bCs/>
                <w:snapToGrid w:val="0"/>
                <w:color w:val="000000" w:themeColor="text1"/>
                <w:sz w:val="21"/>
                <w:szCs w:val="21"/>
                <w14:textFill>
                  <w14:solidFill>
                    <w14:schemeClr w14:val="tx1"/>
                  </w14:solidFill>
                </w14:textFill>
              </w:rPr>
            </w:pPr>
            <w:r>
              <w:rPr>
                <w:rFonts w:hint="eastAsia" w:ascii="宋体" w:hAnsi="宋体" w:eastAsia="宋体" w:cs="宋体"/>
                <w:b/>
                <w:bCs/>
                <w:snapToGrid w:val="0"/>
                <w:color w:val="000000" w:themeColor="text1"/>
                <w:sz w:val="21"/>
                <w:szCs w:val="21"/>
                <w14:textFill>
                  <w14:solidFill>
                    <w14:schemeClr w14:val="tx1"/>
                  </w14:solidFill>
                </w14:textFill>
              </w:rPr>
              <w:t>结论</w:t>
            </w:r>
          </w:p>
        </w:tc>
      </w:tr>
      <w:tr w14:paraId="0DABF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20" w:type="dxa"/>
            <w:gridSpan w:val="5"/>
            <w:vAlign w:val="center"/>
          </w:tcPr>
          <w:p w14:paraId="09A56488">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安全标志</w:t>
            </w:r>
          </w:p>
        </w:tc>
      </w:tr>
      <w:tr w14:paraId="33CCF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43" w:type="dxa"/>
            <w:vAlign w:val="center"/>
          </w:tcPr>
          <w:p w14:paraId="1D77FD2E">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3190" w:type="dxa"/>
            <w:vAlign w:val="center"/>
          </w:tcPr>
          <w:p w14:paraId="16B87BB5">
            <w:pPr>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凡容易发生事故的地方，应按GB2894的要求设置安全标志，或在建（构）筑物及设备上按GB2893的要求涂安全色。</w:t>
            </w:r>
          </w:p>
        </w:tc>
        <w:tc>
          <w:tcPr>
            <w:tcW w:w="2199" w:type="dxa"/>
            <w:vAlign w:val="center"/>
          </w:tcPr>
          <w:p w14:paraId="1C1AB725">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《生产过程安全卫生要求总则》（GB/T12801-2008）第6.8.1条</w:t>
            </w:r>
          </w:p>
        </w:tc>
        <w:tc>
          <w:tcPr>
            <w:tcW w:w="1795" w:type="dxa"/>
            <w:vAlign w:val="center"/>
          </w:tcPr>
          <w:p w14:paraId="4B0DA965">
            <w:pPr>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本项目按照要求在容易发生事故的地方设置安全标志。</w:t>
            </w:r>
          </w:p>
        </w:tc>
        <w:tc>
          <w:tcPr>
            <w:tcW w:w="793" w:type="dxa"/>
            <w:vAlign w:val="center"/>
          </w:tcPr>
          <w:p w14:paraId="6B7E75BA">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3277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43" w:type="dxa"/>
            <w:vAlign w:val="center"/>
          </w:tcPr>
          <w:p w14:paraId="58246CF2">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3190" w:type="dxa"/>
            <w:vAlign w:val="center"/>
          </w:tcPr>
          <w:p w14:paraId="7BC7793D">
            <w:pPr>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生产场所、作业点的紧急通道和出入口，应设置醒目的标志。</w:t>
            </w:r>
          </w:p>
        </w:tc>
        <w:tc>
          <w:tcPr>
            <w:tcW w:w="2199" w:type="dxa"/>
            <w:vAlign w:val="center"/>
          </w:tcPr>
          <w:p w14:paraId="376F195B">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《生产过程安全卫生要求总则》（GB/T12801-2008）第6.8.3条</w:t>
            </w:r>
          </w:p>
        </w:tc>
        <w:tc>
          <w:tcPr>
            <w:tcW w:w="1795" w:type="dxa"/>
            <w:vAlign w:val="center"/>
          </w:tcPr>
          <w:p w14:paraId="274D3676">
            <w:pPr>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本项目生产场所、紧急通道和出入口设置了安全警示标志。</w:t>
            </w:r>
          </w:p>
        </w:tc>
        <w:tc>
          <w:tcPr>
            <w:tcW w:w="793" w:type="dxa"/>
            <w:vAlign w:val="center"/>
          </w:tcPr>
          <w:p w14:paraId="5CB99E73">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F66D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jc w:val="center"/>
        </w:trPr>
        <w:tc>
          <w:tcPr>
            <w:tcW w:w="743" w:type="dxa"/>
            <w:shd w:val="clear" w:color="auto" w:fill="auto"/>
            <w:vAlign w:val="center"/>
          </w:tcPr>
          <w:p w14:paraId="660B3C79">
            <w:pPr>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3190" w:type="dxa"/>
            <w:shd w:val="clear" w:color="auto" w:fill="auto"/>
            <w:vAlign w:val="center"/>
          </w:tcPr>
          <w:p w14:paraId="019E024B">
            <w:pPr>
              <w:autoSpaceDE w:val="0"/>
              <w:autoSpaceDN w:val="0"/>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生产经营单位应当在有较大危险因素的生产经营场所和有关设施、设备上，设置明显的安全警示标志。</w:t>
            </w:r>
          </w:p>
          <w:p w14:paraId="17798E3C">
            <w:pPr>
              <w:autoSpaceDE w:val="0"/>
              <w:autoSpaceDN w:val="0"/>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p>
        </w:tc>
        <w:tc>
          <w:tcPr>
            <w:tcW w:w="2199" w:type="dxa"/>
            <w:shd w:val="clear" w:color="auto" w:fill="auto"/>
            <w:vAlign w:val="center"/>
          </w:tcPr>
          <w:p w14:paraId="7321B1CA">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4791AAB4">
            <w:pPr>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第三十五条</w:t>
            </w:r>
          </w:p>
        </w:tc>
        <w:tc>
          <w:tcPr>
            <w:tcW w:w="1795" w:type="dxa"/>
            <w:shd w:val="clear" w:color="auto" w:fill="auto"/>
            <w:vAlign w:val="center"/>
          </w:tcPr>
          <w:p w14:paraId="0B8C4A7C">
            <w:pPr>
              <w:adjustRightInd w:val="0"/>
              <w:snapToGrid w:val="0"/>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设置安全警示标志。</w:t>
            </w:r>
          </w:p>
        </w:tc>
        <w:tc>
          <w:tcPr>
            <w:tcW w:w="793" w:type="dxa"/>
            <w:shd w:val="clear" w:color="auto" w:fill="auto"/>
            <w:vAlign w:val="center"/>
          </w:tcPr>
          <w:p w14:paraId="4AA2B107">
            <w:pPr>
              <w:autoSpaceDE w:val="0"/>
              <w:autoSpaceDN w:val="0"/>
              <w:adjustRightInd w:val="0"/>
              <w:snapToGrid w:val="0"/>
              <w:jc w:val="center"/>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F252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20" w:type="dxa"/>
            <w:gridSpan w:val="5"/>
            <w:vAlign w:val="center"/>
          </w:tcPr>
          <w:p w14:paraId="6FDDE4EA">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钢斜梯</w:t>
            </w:r>
          </w:p>
        </w:tc>
      </w:tr>
      <w:tr w14:paraId="6CFC7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743" w:type="dxa"/>
            <w:vAlign w:val="center"/>
          </w:tcPr>
          <w:p w14:paraId="7380FC64">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w:t>
            </w:r>
          </w:p>
        </w:tc>
        <w:tc>
          <w:tcPr>
            <w:tcW w:w="3190" w:type="dxa"/>
            <w:vAlign w:val="center"/>
          </w:tcPr>
          <w:p w14:paraId="7D6A669D">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钢斜梯应采用焊接连接。</w:t>
            </w:r>
          </w:p>
        </w:tc>
        <w:tc>
          <w:tcPr>
            <w:tcW w:w="2199" w:type="dxa"/>
            <w:vAlign w:val="center"/>
          </w:tcPr>
          <w:p w14:paraId="455B31B3">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第2部分：钢斜梯》</w:t>
            </w:r>
          </w:p>
          <w:p w14:paraId="37F11EE7">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（GB4053.2-2009）</w:t>
            </w:r>
          </w:p>
          <w:p w14:paraId="32F0F289">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第4.4.1条</w:t>
            </w:r>
          </w:p>
        </w:tc>
        <w:tc>
          <w:tcPr>
            <w:tcW w:w="1795" w:type="dxa"/>
            <w:vAlign w:val="center"/>
          </w:tcPr>
          <w:p w14:paraId="00FF52D3">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钢斜梯采用焊接连接。</w:t>
            </w:r>
          </w:p>
        </w:tc>
        <w:tc>
          <w:tcPr>
            <w:tcW w:w="793" w:type="dxa"/>
            <w:vAlign w:val="center"/>
          </w:tcPr>
          <w:p w14:paraId="5B57FF09">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5DF5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743" w:type="dxa"/>
            <w:vAlign w:val="center"/>
          </w:tcPr>
          <w:p w14:paraId="2C58955F">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3190" w:type="dxa"/>
            <w:vAlign w:val="center"/>
          </w:tcPr>
          <w:p w14:paraId="41F87A16">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制造安装工艺应确保梯子及其所有构件的表面光滑、无锐边、尖角、毛刺或其他可能对梯子使用者造成伤害或者妨碍其通过的外部缺陷。</w:t>
            </w:r>
          </w:p>
        </w:tc>
        <w:tc>
          <w:tcPr>
            <w:tcW w:w="2199" w:type="dxa"/>
            <w:vAlign w:val="center"/>
          </w:tcPr>
          <w:p w14:paraId="1587ADC2">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第2部分：钢斜梯》</w:t>
            </w:r>
          </w:p>
          <w:p w14:paraId="2E8C2E9E">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（GB4053.2-2009）</w:t>
            </w:r>
          </w:p>
          <w:p w14:paraId="38C32222">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第4.4.2条</w:t>
            </w:r>
          </w:p>
        </w:tc>
        <w:tc>
          <w:tcPr>
            <w:tcW w:w="1795" w:type="dxa"/>
            <w:vAlign w:val="center"/>
          </w:tcPr>
          <w:p w14:paraId="04E33A38">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项目内的钢斜梯符合相关要求。</w:t>
            </w:r>
          </w:p>
        </w:tc>
        <w:tc>
          <w:tcPr>
            <w:tcW w:w="793" w:type="dxa"/>
            <w:vAlign w:val="center"/>
          </w:tcPr>
          <w:p w14:paraId="43BAC11D">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6565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743" w:type="dxa"/>
            <w:vAlign w:val="center"/>
          </w:tcPr>
          <w:p w14:paraId="295EBD5B">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w:t>
            </w:r>
          </w:p>
        </w:tc>
        <w:tc>
          <w:tcPr>
            <w:tcW w:w="3190" w:type="dxa"/>
            <w:vAlign w:val="center"/>
          </w:tcPr>
          <w:p w14:paraId="68CB72EB">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根据钢斜梯使用场合及环境条件，应对梯子进行合适的防锈及防腐涂装。</w:t>
            </w:r>
          </w:p>
        </w:tc>
        <w:tc>
          <w:tcPr>
            <w:tcW w:w="2199" w:type="dxa"/>
            <w:vAlign w:val="center"/>
          </w:tcPr>
          <w:p w14:paraId="1B51262A">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第2部分：钢斜梯》</w:t>
            </w:r>
          </w:p>
          <w:p w14:paraId="40EAC528">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（GB4053.2-2009）</w:t>
            </w:r>
          </w:p>
          <w:p w14:paraId="3C90584D">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第4.5.2条</w:t>
            </w:r>
          </w:p>
        </w:tc>
        <w:tc>
          <w:tcPr>
            <w:tcW w:w="1795" w:type="dxa"/>
            <w:vAlign w:val="center"/>
          </w:tcPr>
          <w:p w14:paraId="4F2C51FD">
            <w:pPr>
              <w:snapToGrid w:val="0"/>
              <w:rPr>
                <w:rFonts w:hint="eastAsia" w:ascii="宋体" w:hAnsi="宋体" w:eastAsia="宋体" w:cs="宋体"/>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项目内的钢斜梯均进行了相关的防锈及防腐涂装。</w:t>
            </w:r>
          </w:p>
        </w:tc>
        <w:tc>
          <w:tcPr>
            <w:tcW w:w="793" w:type="dxa"/>
            <w:vAlign w:val="center"/>
          </w:tcPr>
          <w:p w14:paraId="714127D1">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C8B3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743" w:type="dxa"/>
            <w:vAlign w:val="center"/>
          </w:tcPr>
          <w:p w14:paraId="307F41D5">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w:t>
            </w:r>
          </w:p>
        </w:tc>
        <w:tc>
          <w:tcPr>
            <w:tcW w:w="3190" w:type="dxa"/>
            <w:vAlign w:val="center"/>
          </w:tcPr>
          <w:p w14:paraId="71D51F54">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梯高宜不大于5m，大于5m时宜设梯间平台（休息平台），分段设梯。</w:t>
            </w:r>
          </w:p>
        </w:tc>
        <w:tc>
          <w:tcPr>
            <w:tcW w:w="2199" w:type="dxa"/>
            <w:vAlign w:val="center"/>
          </w:tcPr>
          <w:p w14:paraId="257E35F9">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第2部分：钢斜梯》</w:t>
            </w:r>
          </w:p>
          <w:p w14:paraId="233BB30C">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（GB4053.2-2009）</w:t>
            </w:r>
          </w:p>
          <w:p w14:paraId="6228787D">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第5.1.1条</w:t>
            </w:r>
          </w:p>
        </w:tc>
        <w:tc>
          <w:tcPr>
            <w:tcW w:w="1795" w:type="dxa"/>
            <w:vAlign w:val="center"/>
          </w:tcPr>
          <w:p w14:paraId="364C72DC">
            <w:pPr>
              <w:snapToGrid w:val="0"/>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梯高</w:t>
            </w:r>
            <w:r>
              <w:rPr>
                <w:rFonts w:hint="eastAsia" w:ascii="宋体" w:hAnsi="宋体" w:eastAsia="宋体" w:cs="宋体"/>
                <w:color w:val="000000" w:themeColor="text1"/>
                <w:sz w:val="21"/>
                <w:szCs w:val="21"/>
                <w:lang w:val="en-US" w:eastAsia="zh-CN"/>
                <w14:textFill>
                  <w14:solidFill>
                    <w14:schemeClr w14:val="tx1"/>
                  </w14:solidFill>
                </w14:textFill>
              </w:rPr>
              <w:t>小</w:t>
            </w:r>
            <w:r>
              <w:rPr>
                <w:rFonts w:hint="eastAsia" w:hAnsi="宋体" w:cs="宋体"/>
                <w:color w:val="000000" w:themeColor="text1"/>
                <w:sz w:val="21"/>
                <w:szCs w:val="21"/>
                <w:lang w:val="en-US" w:eastAsia="zh-CN"/>
                <w14:textFill>
                  <w14:solidFill>
                    <w14:schemeClr w14:val="tx1"/>
                  </w14:solidFill>
                </w14:textFill>
              </w:rPr>
              <w:t>于</w:t>
            </w:r>
            <w:r>
              <w:rPr>
                <w:rFonts w:hint="eastAsia" w:ascii="宋体" w:hAnsi="宋体" w:eastAsia="宋体" w:cs="宋体"/>
                <w:color w:val="000000" w:themeColor="text1"/>
                <w:sz w:val="21"/>
                <w:szCs w:val="21"/>
                <w:lang w:val="en-US" w:eastAsia="zh-CN"/>
                <w14:textFill>
                  <w14:solidFill>
                    <w14:schemeClr w14:val="tx1"/>
                  </w14:solidFill>
                </w14:textFill>
              </w:rPr>
              <w:t>5m。</w:t>
            </w:r>
          </w:p>
        </w:tc>
        <w:tc>
          <w:tcPr>
            <w:tcW w:w="793" w:type="dxa"/>
            <w:vAlign w:val="center"/>
          </w:tcPr>
          <w:p w14:paraId="3AFAAD40">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AC74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3" w:type="dxa"/>
            <w:vAlign w:val="center"/>
          </w:tcPr>
          <w:p w14:paraId="4BB3B023">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p>
        </w:tc>
        <w:tc>
          <w:tcPr>
            <w:tcW w:w="3190" w:type="dxa"/>
            <w:vAlign w:val="center"/>
          </w:tcPr>
          <w:p w14:paraId="7548B824">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踏板的前后深度应不小于80mm。</w:t>
            </w:r>
          </w:p>
        </w:tc>
        <w:tc>
          <w:tcPr>
            <w:tcW w:w="2199" w:type="dxa"/>
            <w:vAlign w:val="center"/>
          </w:tcPr>
          <w:p w14:paraId="1DD0E2CA">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第2部分：钢斜梯》</w:t>
            </w:r>
          </w:p>
          <w:p w14:paraId="72442C18">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（GB4053.2-2009）</w:t>
            </w:r>
          </w:p>
          <w:p w14:paraId="29A3784F">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第5.3.1 条</w:t>
            </w:r>
          </w:p>
        </w:tc>
        <w:tc>
          <w:tcPr>
            <w:tcW w:w="1795" w:type="dxa"/>
            <w:vAlign w:val="center"/>
          </w:tcPr>
          <w:p w14:paraId="19B8ACEA">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该项目内的踏板基本符合要求。</w:t>
            </w:r>
          </w:p>
        </w:tc>
        <w:tc>
          <w:tcPr>
            <w:tcW w:w="793" w:type="dxa"/>
            <w:vAlign w:val="center"/>
          </w:tcPr>
          <w:p w14:paraId="63380456">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6AB6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743" w:type="dxa"/>
            <w:vAlign w:val="center"/>
          </w:tcPr>
          <w:p w14:paraId="7DFDA543">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w:t>
            </w:r>
          </w:p>
        </w:tc>
        <w:tc>
          <w:tcPr>
            <w:tcW w:w="3190" w:type="dxa"/>
            <w:vAlign w:val="center"/>
          </w:tcPr>
          <w:p w14:paraId="149B01AE">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扶手应沿其整个长度方向上连续可抓握。</w:t>
            </w:r>
          </w:p>
        </w:tc>
        <w:tc>
          <w:tcPr>
            <w:tcW w:w="2199" w:type="dxa"/>
            <w:vAlign w:val="center"/>
          </w:tcPr>
          <w:p w14:paraId="147834B1">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第2部分：钢斜梯》</w:t>
            </w:r>
          </w:p>
          <w:p w14:paraId="4CD9E781">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（GB4053.2-2009）</w:t>
            </w:r>
          </w:p>
          <w:p w14:paraId="0E090E28">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第5.6.8条</w:t>
            </w:r>
          </w:p>
        </w:tc>
        <w:tc>
          <w:tcPr>
            <w:tcW w:w="1795" w:type="dxa"/>
            <w:vAlign w:val="center"/>
          </w:tcPr>
          <w:p w14:paraId="47A97CD8">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default" w:ascii="宋体" w:hAnsi="宋体" w:eastAsia="宋体" w:cs="宋体"/>
                <w:color w:val="000000" w:themeColor="text1"/>
                <w:sz w:val="21"/>
                <w:szCs w:val="21"/>
                <w14:textFill>
                  <w14:solidFill>
                    <w14:schemeClr w14:val="tx1"/>
                  </w14:solidFill>
                </w14:textFill>
              </w:rPr>
              <w:t>该项目内钢斜梯的扶手符合要求。</w:t>
            </w:r>
          </w:p>
        </w:tc>
        <w:tc>
          <w:tcPr>
            <w:tcW w:w="793" w:type="dxa"/>
            <w:vAlign w:val="center"/>
          </w:tcPr>
          <w:p w14:paraId="5669A704">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C35C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20" w:type="dxa"/>
            <w:gridSpan w:val="5"/>
            <w:vAlign w:val="center"/>
          </w:tcPr>
          <w:p w14:paraId="5D486066">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工业防护栏杆及钢平台</w:t>
            </w:r>
          </w:p>
        </w:tc>
      </w:tr>
      <w:tr w14:paraId="0BEC7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743" w:type="dxa"/>
            <w:vAlign w:val="center"/>
          </w:tcPr>
          <w:p w14:paraId="79A317A2">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11</w:t>
            </w:r>
          </w:p>
        </w:tc>
        <w:tc>
          <w:tcPr>
            <w:tcW w:w="3190" w:type="dxa"/>
            <w:vAlign w:val="center"/>
          </w:tcPr>
          <w:p w14:paraId="5EFA4103">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距下方相邻地板或地面1.2m及以上的平台、通道或工作面的所有敞开边缘应设置防护栏杆。</w:t>
            </w:r>
          </w:p>
        </w:tc>
        <w:tc>
          <w:tcPr>
            <w:tcW w:w="2199" w:type="dxa"/>
            <w:vAlign w:val="center"/>
          </w:tcPr>
          <w:p w14:paraId="1C9ABC95">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第3部分：工业防护栏杆及钢平台》（GB4053.3-2009）</w:t>
            </w:r>
          </w:p>
          <w:p w14:paraId="3DE6F56D">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第4.1.1条</w:t>
            </w:r>
          </w:p>
        </w:tc>
        <w:tc>
          <w:tcPr>
            <w:tcW w:w="1795" w:type="dxa"/>
            <w:vAlign w:val="center"/>
          </w:tcPr>
          <w:p w14:paraId="15A514A1">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default" w:ascii="宋体" w:hAnsi="宋体" w:eastAsia="宋体" w:cs="宋体"/>
                <w:color w:val="000000" w:themeColor="text1"/>
                <w:sz w:val="21"/>
                <w:szCs w:val="21"/>
                <w14:textFill>
                  <w14:solidFill>
                    <w14:schemeClr w14:val="tx1"/>
                  </w14:solidFill>
                </w14:textFill>
              </w:rPr>
              <w:t>平台设置了防护栏杆。</w:t>
            </w:r>
          </w:p>
        </w:tc>
        <w:tc>
          <w:tcPr>
            <w:tcW w:w="793" w:type="dxa"/>
            <w:vAlign w:val="center"/>
          </w:tcPr>
          <w:p w14:paraId="3EE1491C">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F675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743" w:type="dxa"/>
            <w:vAlign w:val="center"/>
          </w:tcPr>
          <w:p w14:paraId="42778E31">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12</w:t>
            </w:r>
          </w:p>
        </w:tc>
        <w:tc>
          <w:tcPr>
            <w:tcW w:w="3190" w:type="dxa"/>
            <w:vAlign w:val="center"/>
          </w:tcPr>
          <w:p w14:paraId="3090B788">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防护栏杆及钢平台应采取焊接连接。</w:t>
            </w:r>
          </w:p>
        </w:tc>
        <w:tc>
          <w:tcPr>
            <w:tcW w:w="2199" w:type="dxa"/>
            <w:vAlign w:val="center"/>
          </w:tcPr>
          <w:p w14:paraId="2006520C">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第3部分：工业防护栏杆及钢平台》（GB4053.3-2009）</w:t>
            </w:r>
          </w:p>
          <w:p w14:paraId="1327E350">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第4.5.1条</w:t>
            </w:r>
          </w:p>
        </w:tc>
        <w:tc>
          <w:tcPr>
            <w:tcW w:w="1795" w:type="dxa"/>
            <w:vAlign w:val="center"/>
          </w:tcPr>
          <w:p w14:paraId="6BC46E8C">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项目内的防护栏杆及钢平台均采取焊接连接。</w:t>
            </w:r>
          </w:p>
        </w:tc>
        <w:tc>
          <w:tcPr>
            <w:tcW w:w="793" w:type="dxa"/>
            <w:vAlign w:val="center"/>
          </w:tcPr>
          <w:p w14:paraId="724771E7">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A849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3" w:type="dxa"/>
            <w:vAlign w:val="center"/>
          </w:tcPr>
          <w:p w14:paraId="7ADCD621">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13</w:t>
            </w:r>
          </w:p>
        </w:tc>
        <w:tc>
          <w:tcPr>
            <w:tcW w:w="3190" w:type="dxa"/>
            <w:vAlign w:val="center"/>
          </w:tcPr>
          <w:p w14:paraId="407DCB04">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防护栏杆制造安装工艺应确保梯子及其所有构件的表面光滑、无锐边、尖角、毛刺或其他可能对梯子使用者造成伤害或者妨碍其通过的外部缺陷。</w:t>
            </w:r>
          </w:p>
        </w:tc>
        <w:tc>
          <w:tcPr>
            <w:tcW w:w="2199" w:type="dxa"/>
            <w:vAlign w:val="center"/>
          </w:tcPr>
          <w:p w14:paraId="73988D86">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第3部分：工业防护栏杆及钢平台》（GB4053.3-2009）</w:t>
            </w:r>
          </w:p>
          <w:p w14:paraId="4886566B">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第4.5.2条</w:t>
            </w:r>
          </w:p>
        </w:tc>
        <w:tc>
          <w:tcPr>
            <w:tcW w:w="1795" w:type="dxa"/>
            <w:vAlign w:val="center"/>
          </w:tcPr>
          <w:p w14:paraId="13448B81">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default" w:ascii="宋体" w:hAnsi="宋体" w:eastAsia="宋体" w:cs="宋体"/>
                <w:color w:val="000000" w:themeColor="text1"/>
                <w:sz w:val="21"/>
                <w:szCs w:val="21"/>
                <w14:textFill>
                  <w14:solidFill>
                    <w14:schemeClr w14:val="tx1"/>
                  </w14:solidFill>
                </w14:textFill>
              </w:rPr>
              <w:t>现场检查扶手无尖角、不光滑等外部缺陷。</w:t>
            </w:r>
          </w:p>
        </w:tc>
        <w:tc>
          <w:tcPr>
            <w:tcW w:w="793" w:type="dxa"/>
            <w:vAlign w:val="center"/>
          </w:tcPr>
          <w:p w14:paraId="0BE9D8A4">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AF10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43" w:type="dxa"/>
            <w:vAlign w:val="center"/>
          </w:tcPr>
          <w:p w14:paraId="6B6C2959">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14</w:t>
            </w:r>
          </w:p>
        </w:tc>
        <w:tc>
          <w:tcPr>
            <w:tcW w:w="3190" w:type="dxa"/>
            <w:vAlign w:val="center"/>
          </w:tcPr>
          <w:p w14:paraId="1286187B">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根据防护栏杆及钢平台使用场合及环境条件，应对梯子进行合适的防锈及防腐涂装。</w:t>
            </w:r>
          </w:p>
        </w:tc>
        <w:tc>
          <w:tcPr>
            <w:tcW w:w="2199" w:type="dxa"/>
            <w:vAlign w:val="center"/>
          </w:tcPr>
          <w:p w14:paraId="4A7456A5">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《固定式钢梯及平台安全要求 第3部分：工业防护栏杆及钢平台》（GB4053.3-2009）</w:t>
            </w:r>
          </w:p>
          <w:p w14:paraId="432B03E3">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第4.6.2条</w:t>
            </w:r>
          </w:p>
        </w:tc>
        <w:tc>
          <w:tcPr>
            <w:tcW w:w="1795" w:type="dxa"/>
            <w:vAlign w:val="center"/>
          </w:tcPr>
          <w:p w14:paraId="71A415BB">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项目内的防护栏杆及钢平台进行了防锈及防腐处理。</w:t>
            </w:r>
          </w:p>
        </w:tc>
        <w:tc>
          <w:tcPr>
            <w:tcW w:w="793" w:type="dxa"/>
            <w:vAlign w:val="center"/>
          </w:tcPr>
          <w:p w14:paraId="1C485F1C">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DF23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20" w:type="dxa"/>
            <w:gridSpan w:val="5"/>
            <w:vAlign w:val="center"/>
          </w:tcPr>
          <w:p w14:paraId="71303273">
            <w:pPr>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机械设备防护装置</w:t>
            </w:r>
          </w:p>
        </w:tc>
      </w:tr>
      <w:tr w14:paraId="62ADA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4" w:hRule="atLeast"/>
          <w:jc w:val="center"/>
        </w:trPr>
        <w:tc>
          <w:tcPr>
            <w:tcW w:w="743" w:type="dxa"/>
            <w:vAlign w:val="center"/>
          </w:tcPr>
          <w:p w14:paraId="4D7D052C">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15</w:t>
            </w:r>
          </w:p>
        </w:tc>
        <w:tc>
          <w:tcPr>
            <w:tcW w:w="3190" w:type="dxa"/>
            <w:vAlign w:val="center"/>
          </w:tcPr>
          <w:p w14:paraId="077AD3BD">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设计和应用防护装置时，应适当考虑在机器整个预期寿命期间的运行和可预见的机器环境方面的因素。对这些方面的考虑不当可能导致不安全或机器不能运行，以致人为的使防护装置失效，从而使人员暴露在更大的风险中。</w:t>
            </w:r>
          </w:p>
        </w:tc>
        <w:tc>
          <w:tcPr>
            <w:tcW w:w="2199" w:type="dxa"/>
            <w:vAlign w:val="center"/>
          </w:tcPr>
          <w:p w14:paraId="0C5113B0">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 防护装置 固定式和活动式防护装置的设计与制造一般要求》（GB/T 8196-2018）</w:t>
            </w:r>
          </w:p>
          <w:p w14:paraId="4549DB50">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第5.1.1条</w:t>
            </w:r>
          </w:p>
        </w:tc>
        <w:tc>
          <w:tcPr>
            <w:tcW w:w="1795" w:type="dxa"/>
            <w:vAlign w:val="center"/>
          </w:tcPr>
          <w:p w14:paraId="6EC57688">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该项目采用的防护装置均考虑了相关的因素。</w:t>
            </w:r>
          </w:p>
        </w:tc>
        <w:tc>
          <w:tcPr>
            <w:tcW w:w="793" w:type="dxa"/>
            <w:vAlign w:val="center"/>
          </w:tcPr>
          <w:p w14:paraId="04506F4A">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41AE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43" w:type="dxa"/>
            <w:vAlign w:val="center"/>
          </w:tcPr>
          <w:p w14:paraId="678B6D10">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16</w:t>
            </w:r>
          </w:p>
        </w:tc>
        <w:tc>
          <w:tcPr>
            <w:tcW w:w="3190" w:type="dxa"/>
            <w:vAlign w:val="center"/>
          </w:tcPr>
          <w:p w14:paraId="255873E6">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为尽可能减少进入危险区，防护装置和机器的设计应使其能不用打开或拆卸防护装置就可进行例行的调整、润滑和维护。</w:t>
            </w:r>
          </w:p>
        </w:tc>
        <w:tc>
          <w:tcPr>
            <w:tcW w:w="2199" w:type="dxa"/>
            <w:vAlign w:val="center"/>
          </w:tcPr>
          <w:p w14:paraId="231B0BD3">
            <w:pPr>
              <w:tabs>
                <w:tab w:val="left" w:pos="2898"/>
              </w:tabs>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 防护装置 固定式和活动式防护装置的设计与制造一般要求》（GB/T 8196-2018）第5.1.2条</w:t>
            </w:r>
          </w:p>
        </w:tc>
        <w:tc>
          <w:tcPr>
            <w:tcW w:w="1795" w:type="dxa"/>
            <w:vAlign w:val="center"/>
          </w:tcPr>
          <w:p w14:paraId="1E52C39C">
            <w:pPr>
              <w:tabs>
                <w:tab w:val="left" w:pos="2898"/>
              </w:tabs>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该项目的防护装置符合相关的要求。</w:t>
            </w:r>
          </w:p>
        </w:tc>
        <w:tc>
          <w:tcPr>
            <w:tcW w:w="793" w:type="dxa"/>
            <w:vAlign w:val="center"/>
          </w:tcPr>
          <w:p w14:paraId="12B6EBE5">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4DA2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743" w:type="dxa"/>
            <w:vAlign w:val="center"/>
          </w:tcPr>
          <w:p w14:paraId="039661CB">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17</w:t>
            </w:r>
          </w:p>
        </w:tc>
        <w:tc>
          <w:tcPr>
            <w:tcW w:w="3190" w:type="dxa"/>
            <w:vAlign w:val="center"/>
          </w:tcPr>
          <w:p w14:paraId="05449EEB">
            <w:pPr>
              <w:tabs>
                <w:tab w:val="left" w:pos="2898"/>
              </w:tabs>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对于用于防止进入危险区的防护装置，其设计，制造和安装应能防止身体的各部位触及危险区。</w:t>
            </w:r>
          </w:p>
        </w:tc>
        <w:tc>
          <w:tcPr>
            <w:tcW w:w="2199" w:type="dxa"/>
            <w:vAlign w:val="center"/>
          </w:tcPr>
          <w:p w14:paraId="6A892413">
            <w:pPr>
              <w:tabs>
                <w:tab w:val="left" w:pos="2898"/>
              </w:tabs>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 防护装置 固定式和活动式防护装置的设计与制造一般要求》（GB/T 8196-2018）第5.2.2条</w:t>
            </w:r>
          </w:p>
        </w:tc>
        <w:tc>
          <w:tcPr>
            <w:tcW w:w="1795" w:type="dxa"/>
            <w:vAlign w:val="center"/>
          </w:tcPr>
          <w:p w14:paraId="11A884FB">
            <w:pPr>
              <w:tabs>
                <w:tab w:val="left" w:pos="2898"/>
              </w:tabs>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该项目中的防护装置考虑了相关的因素。</w:t>
            </w:r>
          </w:p>
        </w:tc>
        <w:tc>
          <w:tcPr>
            <w:tcW w:w="793" w:type="dxa"/>
            <w:vAlign w:val="center"/>
          </w:tcPr>
          <w:p w14:paraId="568BAC69">
            <w:pPr>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A1C6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743" w:type="dxa"/>
            <w:vAlign w:val="center"/>
          </w:tcPr>
          <w:p w14:paraId="26BB2D8F">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bookmarkStart w:id="651" w:name="_Toc208675009"/>
            <w:bookmarkStart w:id="652" w:name="_Toc313493974"/>
            <w:bookmarkStart w:id="653" w:name="_Toc208674421"/>
            <w:bookmarkStart w:id="654" w:name="_Toc13789"/>
            <w:bookmarkStart w:id="655" w:name="_Toc22727"/>
            <w:bookmarkStart w:id="656" w:name="_Toc335926307"/>
            <w:bookmarkStart w:id="657" w:name="_Toc19772"/>
            <w:r>
              <w:rPr>
                <w:rFonts w:hint="eastAsia" w:ascii="宋体" w:hAnsi="宋体" w:eastAsia="宋体" w:cs="宋体"/>
                <w:color w:val="000000" w:themeColor="text1"/>
                <w:sz w:val="21"/>
                <w:szCs w:val="21"/>
                <w:lang w:val="en-US" w:eastAsia="zh-CN"/>
                <w14:textFill>
                  <w14:solidFill>
                    <w14:schemeClr w14:val="tx1"/>
                  </w14:solidFill>
                </w14:textFill>
              </w:rPr>
              <w:t>18</w:t>
            </w:r>
          </w:p>
        </w:tc>
        <w:tc>
          <w:tcPr>
            <w:tcW w:w="3190" w:type="dxa"/>
            <w:shd w:val="clear" w:color="auto" w:fill="auto"/>
            <w:vAlign w:val="center"/>
          </w:tcPr>
          <w:p w14:paraId="495EB6C0">
            <w:pPr>
              <w:tabs>
                <w:tab w:val="left" w:pos="2898"/>
              </w:tabs>
              <w:adjustRightInd w:val="0"/>
              <w:snapToGrid w:val="0"/>
              <w:spacing w:line="300" w:lineRule="exact"/>
              <w:jc w:val="left"/>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连接牢固性：焊接、粘接或机械式紧固连接应有足够的强度，以承受正常的可预见的载荷。在使用粘接剂的场合，应使其与所采用的工艺和使用的材料相匹配。在使用机械紧固件的场合，其强度、数量和位置应足以保证防护装置的稳定性和刚度。</w:t>
            </w:r>
          </w:p>
        </w:tc>
        <w:tc>
          <w:tcPr>
            <w:tcW w:w="2199" w:type="dxa"/>
            <w:shd w:val="clear" w:color="auto" w:fill="auto"/>
            <w:vAlign w:val="center"/>
          </w:tcPr>
          <w:p w14:paraId="6FA2255B">
            <w:pPr>
              <w:tabs>
                <w:tab w:val="left" w:pos="2898"/>
              </w:tabs>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《机械安全防护装置固定式和活动式防护装置的设计与制造一般要求》</w:t>
            </w:r>
          </w:p>
          <w:p w14:paraId="7D57B74C">
            <w:pPr>
              <w:tabs>
                <w:tab w:val="left" w:pos="2898"/>
              </w:tabs>
              <w:adjustRightInd w:val="0"/>
              <w:snapToGrid w:val="0"/>
              <w:spacing w:line="3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 8196-2018）</w:t>
            </w:r>
          </w:p>
          <w:p w14:paraId="7439CD40">
            <w:pPr>
              <w:tabs>
                <w:tab w:val="left" w:pos="2898"/>
              </w:tabs>
              <w:adjustRightInd w:val="0"/>
              <w:snapToGrid w:val="0"/>
              <w:spacing w:line="300" w:lineRule="exact"/>
              <w:jc w:val="left"/>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第5.3.8条</w:t>
            </w:r>
          </w:p>
        </w:tc>
        <w:tc>
          <w:tcPr>
            <w:tcW w:w="1795" w:type="dxa"/>
            <w:shd w:val="clear" w:color="auto" w:fill="auto"/>
            <w:vAlign w:val="center"/>
          </w:tcPr>
          <w:p w14:paraId="01122BCF">
            <w:pPr>
              <w:tabs>
                <w:tab w:val="left" w:pos="2898"/>
              </w:tabs>
              <w:adjustRightInd w:val="0"/>
              <w:snapToGrid w:val="0"/>
              <w:spacing w:line="300" w:lineRule="exact"/>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该项目防护装置连接牢固性基本符合要求，现场检查时未发现明显缺陷。</w:t>
            </w:r>
          </w:p>
        </w:tc>
        <w:tc>
          <w:tcPr>
            <w:tcW w:w="793" w:type="dxa"/>
            <w:shd w:val="clear" w:color="auto" w:fill="auto"/>
            <w:vAlign w:val="center"/>
          </w:tcPr>
          <w:p w14:paraId="67B58054">
            <w:pPr>
              <w:adjustRightInd w:val="0"/>
              <w:snapToGrid w:val="0"/>
              <w:spacing w:line="300" w:lineRule="exact"/>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731F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0" w:type="auto"/>
            <w:vAlign w:val="center"/>
          </w:tcPr>
          <w:p w14:paraId="0DD32C60">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19</w:t>
            </w:r>
          </w:p>
        </w:tc>
        <w:tc>
          <w:tcPr>
            <w:tcW w:w="0" w:type="auto"/>
            <w:shd w:val="clear" w:color="auto" w:fill="auto"/>
            <w:vAlign w:val="center"/>
          </w:tcPr>
          <w:p w14:paraId="51F44592">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只能用工具拆卸：防护装置的可拆卸部件应只能借助工具才可以拆卸。</w:t>
            </w:r>
          </w:p>
        </w:tc>
        <w:tc>
          <w:tcPr>
            <w:tcW w:w="0" w:type="auto"/>
            <w:shd w:val="clear" w:color="auto" w:fill="auto"/>
            <w:vAlign w:val="center"/>
          </w:tcPr>
          <w:p w14:paraId="7AE4D6D9">
            <w:pPr>
              <w:snapToGrid w:val="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《机械安全防护装置固定式和活动式防护装置的设计与制造一般要求》</w:t>
            </w:r>
          </w:p>
          <w:p w14:paraId="58361A8F">
            <w:pPr>
              <w:snapToGrid w:val="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（GB/T 8196-2018）</w:t>
            </w:r>
          </w:p>
          <w:p w14:paraId="402FD9D7">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第5.3.9条</w:t>
            </w:r>
          </w:p>
        </w:tc>
        <w:tc>
          <w:tcPr>
            <w:tcW w:w="0" w:type="auto"/>
            <w:shd w:val="clear" w:color="auto" w:fill="auto"/>
            <w:vAlign w:val="center"/>
          </w:tcPr>
          <w:p w14:paraId="461F6800">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该项目防护装置可拆卸部件设计符合相关要求。</w:t>
            </w:r>
          </w:p>
        </w:tc>
        <w:tc>
          <w:tcPr>
            <w:tcW w:w="0" w:type="auto"/>
            <w:shd w:val="clear" w:color="auto" w:fill="auto"/>
            <w:vAlign w:val="center"/>
          </w:tcPr>
          <w:p w14:paraId="3E3E1609">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符合</w:t>
            </w:r>
          </w:p>
        </w:tc>
      </w:tr>
      <w:tr w14:paraId="262C8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0" w:type="auto"/>
            <w:vAlign w:val="center"/>
          </w:tcPr>
          <w:p w14:paraId="590473D3">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w:t>
            </w:r>
          </w:p>
        </w:tc>
        <w:tc>
          <w:tcPr>
            <w:tcW w:w="0" w:type="auto"/>
            <w:shd w:val="clear" w:color="auto" w:fill="auto"/>
            <w:vAlign w:val="center"/>
          </w:tcPr>
          <w:p w14:paraId="4ECF337B">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对于带轮、传动带、齿轮、齿条齿轮和传动轴等运动的传动部件产生的危险，应采用固定式防护装置（见图 1）或联锁的活动式防护装置进行防护。</w:t>
            </w:r>
          </w:p>
        </w:tc>
        <w:tc>
          <w:tcPr>
            <w:tcW w:w="0" w:type="auto"/>
            <w:shd w:val="clear" w:color="auto" w:fill="auto"/>
            <w:vAlign w:val="center"/>
          </w:tcPr>
          <w:p w14:paraId="63B0567A">
            <w:pPr>
              <w:snapToGrid w:val="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《机械安全防护装置固定式和活动式防护装置的设计与制造一般要求》</w:t>
            </w:r>
          </w:p>
          <w:p w14:paraId="0C8F31E6">
            <w:pPr>
              <w:snapToGrid w:val="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（GB/T 8196-2018）</w:t>
            </w:r>
          </w:p>
          <w:p w14:paraId="39D7752E">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第6.4.2条</w:t>
            </w:r>
          </w:p>
        </w:tc>
        <w:tc>
          <w:tcPr>
            <w:tcW w:w="0" w:type="auto"/>
            <w:shd w:val="clear" w:color="auto" w:fill="auto"/>
            <w:vAlign w:val="center"/>
          </w:tcPr>
          <w:p w14:paraId="2D7B80D9">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该项目的转动或传动机械设备部位设置了机械防护装置。</w:t>
            </w:r>
          </w:p>
        </w:tc>
        <w:tc>
          <w:tcPr>
            <w:tcW w:w="0" w:type="auto"/>
            <w:shd w:val="clear" w:color="auto" w:fill="auto"/>
            <w:vAlign w:val="center"/>
          </w:tcPr>
          <w:p w14:paraId="7C9FBC0E">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符合</w:t>
            </w:r>
          </w:p>
        </w:tc>
      </w:tr>
      <w:tr w14:paraId="1EB94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0" w:type="auto"/>
            <w:vAlign w:val="center"/>
          </w:tcPr>
          <w:p w14:paraId="61B7721E">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21</w:t>
            </w:r>
          </w:p>
        </w:tc>
        <w:tc>
          <w:tcPr>
            <w:tcW w:w="0" w:type="auto"/>
            <w:shd w:val="clear" w:color="auto" w:fill="auto"/>
            <w:vAlign w:val="center"/>
          </w:tcPr>
          <w:p w14:paraId="5D7641C8">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车间的地面应平坦、不打滑。</w:t>
            </w:r>
          </w:p>
        </w:tc>
        <w:tc>
          <w:tcPr>
            <w:tcW w:w="0" w:type="auto"/>
            <w:shd w:val="clear" w:color="auto" w:fill="auto"/>
            <w:vAlign w:val="center"/>
          </w:tcPr>
          <w:p w14:paraId="7915D4D8">
            <w:pPr>
              <w:snapToGrid w:val="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《机械工业职业安全卫生设计规范》</w:t>
            </w:r>
          </w:p>
          <w:p w14:paraId="0DF008C3">
            <w:pPr>
              <w:snapToGrid w:val="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（JBJ 18-2000）</w:t>
            </w:r>
          </w:p>
          <w:p w14:paraId="7C314C95">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第3.1.4条</w:t>
            </w:r>
          </w:p>
        </w:tc>
        <w:tc>
          <w:tcPr>
            <w:tcW w:w="0" w:type="auto"/>
            <w:shd w:val="clear" w:color="auto" w:fill="auto"/>
            <w:vAlign w:val="center"/>
          </w:tcPr>
          <w:p w14:paraId="763234C2">
            <w:pPr>
              <w:snapToGrid w:val="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该项目车间地面平坦、不打滑。</w:t>
            </w:r>
          </w:p>
        </w:tc>
        <w:tc>
          <w:tcPr>
            <w:tcW w:w="0" w:type="auto"/>
            <w:shd w:val="clear" w:color="auto" w:fill="auto"/>
            <w:vAlign w:val="center"/>
          </w:tcPr>
          <w:p w14:paraId="5420433F">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宋体" w:hAnsi="宋体" w:eastAsia="宋体" w:cs="宋体"/>
                <w:color w:val="000000" w:themeColor="text1"/>
                <w:sz w:val="21"/>
                <w:szCs w:val="21"/>
                <w:lang w:val="en-US" w:eastAsia="zh-CN"/>
                <w14:textFill>
                  <w14:solidFill>
                    <w14:schemeClr w14:val="tx1"/>
                  </w14:solidFill>
                </w14:textFill>
              </w:rPr>
              <w:t>符合</w:t>
            </w:r>
          </w:p>
        </w:tc>
      </w:tr>
    </w:tbl>
    <w:p w14:paraId="4962D133">
      <w:pPr>
        <w:pStyle w:val="5"/>
        <w:spacing w:line="360" w:lineRule="auto"/>
        <w:rPr>
          <w:rFonts w:ascii="Times New Roman" w:hAnsi="Times New Roman"/>
          <w:color w:val="000000" w:themeColor="text1"/>
          <w14:textFill>
            <w14:solidFill>
              <w14:schemeClr w14:val="tx1"/>
            </w14:solidFill>
          </w14:textFill>
        </w:rPr>
      </w:pPr>
      <w:bookmarkStart w:id="658" w:name="_Toc13713"/>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lang w:val="en-US" w:eastAsia="zh-CN"/>
          <w14:textFill>
            <w14:solidFill>
              <w14:schemeClr w14:val="tx1"/>
            </w14:solidFill>
          </w14:textFill>
        </w:rPr>
        <w:t>3</w:t>
      </w:r>
      <w:r>
        <w:rPr>
          <w:rFonts w:ascii="Times New Roman" w:hAnsi="Times New Roman"/>
          <w:color w:val="000000" w:themeColor="text1"/>
          <w14:textFill>
            <w14:solidFill>
              <w14:schemeClr w14:val="tx1"/>
            </w14:solidFill>
          </w14:textFill>
        </w:rPr>
        <w:t>.2评价</w:t>
      </w:r>
      <w:bookmarkEnd w:id="651"/>
      <w:bookmarkEnd w:id="652"/>
      <w:bookmarkEnd w:id="653"/>
      <w:r>
        <w:rPr>
          <w:rFonts w:ascii="Times New Roman" w:hAnsi="Times New Roman"/>
          <w:color w:val="000000" w:themeColor="text1"/>
          <w14:textFill>
            <w14:solidFill>
              <w14:schemeClr w14:val="tx1"/>
            </w14:solidFill>
          </w14:textFill>
        </w:rPr>
        <w:t>小结</w:t>
      </w:r>
      <w:bookmarkEnd w:id="654"/>
      <w:bookmarkEnd w:id="655"/>
      <w:bookmarkEnd w:id="656"/>
      <w:bookmarkEnd w:id="657"/>
      <w:bookmarkEnd w:id="658"/>
    </w:p>
    <w:p w14:paraId="310E732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color w:val="000000" w:themeColor="text1"/>
          <w:sz w:val="28"/>
          <w:szCs w:val="28"/>
          <w14:textFill>
            <w14:solidFill>
              <w14:schemeClr w14:val="tx1"/>
            </w14:solidFill>
          </w14:textFill>
        </w:rPr>
      </w:pPr>
      <w:bookmarkStart w:id="659" w:name="_Hlt142612934"/>
      <w:r>
        <w:rPr>
          <w:rFonts w:hint="eastAsia" w:ascii="宋体" w:hAnsi="宋体" w:eastAsia="宋体" w:cs="宋体"/>
          <w:color w:val="000000" w:themeColor="text1"/>
          <w:sz w:val="28"/>
          <w:szCs w:val="28"/>
          <w14:textFill>
            <w14:solidFill>
              <w14:schemeClr w14:val="tx1"/>
            </w14:solidFill>
          </w14:textFill>
        </w:rPr>
        <w:t>安全检查表分析评价结果：该项目的安全防护设施符合《安全色》（GB 2893-2008）、《安全标志及其使用导则》（GB 2894-2008）、《固定式钢梯及平台安全要求第1部分：钢直梯》（GB 4053.1-2009）、《机械安全防护装置固定式和活动式防护装置的设计与制造一般要求》（GB/T 8196-2018）、《机械工业职业安全卫生设计规范》（JBJ 18-2000）等国家相关标准、规范的规定和要求。</w:t>
      </w:r>
    </w:p>
    <w:bookmarkEnd w:id="625"/>
    <w:bookmarkEnd w:id="626"/>
    <w:bookmarkEnd w:id="630"/>
    <w:bookmarkEnd w:id="631"/>
    <w:bookmarkEnd w:id="659"/>
    <w:p w14:paraId="7844997E">
      <w:pPr>
        <w:pStyle w:val="4"/>
        <w:spacing w:line="360" w:lineRule="auto"/>
        <w:rPr>
          <w:rFonts w:ascii="Times New Roman" w:hAnsi="Times New Roman"/>
          <w:color w:val="000000" w:themeColor="text1"/>
          <w14:textFill>
            <w14:solidFill>
              <w14:schemeClr w14:val="tx1"/>
            </w14:solidFill>
          </w14:textFill>
        </w:rPr>
      </w:pPr>
      <w:bookmarkStart w:id="660" w:name="_Toc15595"/>
      <w:bookmarkStart w:id="661" w:name="_Toc4845"/>
      <w:bookmarkStart w:id="662" w:name="_Toc17069"/>
      <w:bookmarkStart w:id="663" w:name="_Toc335926300"/>
      <w:bookmarkStart w:id="664" w:name="_Toc145775743"/>
      <w:bookmarkStart w:id="665" w:name="_Toc313453596"/>
      <w:bookmarkStart w:id="666" w:name="_Toc313493993"/>
      <w:bookmarkStart w:id="667" w:name="_Toc11730"/>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lang w:val="en-US" w:eastAsia="zh-CN"/>
          <w14:textFill>
            <w14:solidFill>
              <w14:schemeClr w14:val="tx1"/>
            </w14:solidFill>
          </w14:textFill>
        </w:rPr>
        <w:t>4</w:t>
      </w:r>
      <w:r>
        <w:rPr>
          <w:rFonts w:ascii="Times New Roman" w:hAnsi="Times New Roman"/>
          <w:color w:val="000000" w:themeColor="text1"/>
          <w14:textFill>
            <w14:solidFill>
              <w14:schemeClr w14:val="tx1"/>
            </w14:solidFill>
          </w14:textFill>
        </w:rPr>
        <w:t>公用工程及辅助设施评价单元</w:t>
      </w:r>
      <w:bookmarkEnd w:id="660"/>
      <w:bookmarkEnd w:id="661"/>
      <w:bookmarkEnd w:id="662"/>
    </w:p>
    <w:p w14:paraId="3EC2CED6">
      <w:pPr>
        <w:pStyle w:val="5"/>
        <w:spacing w:line="360" w:lineRule="auto"/>
        <w:rPr>
          <w:rFonts w:ascii="Times New Roman"/>
          <w:color w:val="000000" w:themeColor="text1"/>
          <w:sz w:val="28"/>
          <w:szCs w:val="28"/>
          <w14:textFill>
            <w14:solidFill>
              <w14:schemeClr w14:val="tx1"/>
            </w14:solidFill>
          </w14:textFill>
        </w:rPr>
      </w:pPr>
      <w:bookmarkStart w:id="668" w:name="_Toc14710"/>
      <w:bookmarkStart w:id="669" w:name="_Toc211237913"/>
      <w:bookmarkStart w:id="670" w:name="_Toc278282327"/>
      <w:r>
        <w:rPr>
          <w:rFonts w:ascii="Times New Roman" w:hAnsi="Times New Roman" w:cs="Times New Roman"/>
          <w:color w:val="000000" w:themeColor="text1"/>
          <w14:textFill>
            <w14:solidFill>
              <w14:schemeClr w14:val="tx1"/>
            </w14:solidFill>
          </w14:textFill>
        </w:rPr>
        <w:t>5.</w:t>
      </w:r>
      <w:r>
        <w:rPr>
          <w:rFonts w:hint="eastAsia" w:ascii="Times New Roman" w:hAnsi="Times New Roman" w:cs="Times New Roman"/>
          <w:color w:val="000000" w:themeColor="text1"/>
          <w:lang w:val="en-US" w:eastAsia="zh-CN"/>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.1供配电系统</w:t>
      </w:r>
      <w:r>
        <w:rPr>
          <w:rFonts w:hint="eastAsia" w:ascii="Times New Roman" w:hAnsi="Times New Roman" w:cs="Times New Roman"/>
          <w:color w:val="000000" w:themeColor="text1"/>
          <w:lang w:val="en-US" w:eastAsia="zh-CN"/>
          <w14:textFill>
            <w14:solidFill>
              <w14:schemeClr w14:val="tx1"/>
            </w14:solidFill>
          </w14:textFill>
        </w:rPr>
        <w:t>资单元安全检查表</w:t>
      </w:r>
      <w:bookmarkEnd w:id="668"/>
    </w:p>
    <w:p w14:paraId="6F54A2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依据《用电安全导则》（GB/T 13869-2017）、《低压配电设计规范》（GB 50054-2011）等标准规范的规定，对本项目的供配电采用安全检查表法进行分析评价。检查结果见下表。</w:t>
      </w:r>
    </w:p>
    <w:p w14:paraId="76841EB5">
      <w:pPr>
        <w:numPr>
          <w:ilvl w:val="0"/>
          <w:numId w:val="0"/>
        </w:numPr>
        <w:adjustRightInd w:val="0"/>
        <w:snapToGrid w:val="0"/>
        <w:ind w:leftChars="0"/>
        <w:jc w:val="center"/>
        <w:rPr>
          <w:rFonts w:ascii="宋体" w:hAnsi="宋体"/>
          <w:b/>
          <w:bCs w:val="0"/>
          <w:color w:val="000000" w:themeColor="text1"/>
          <w:sz w:val="24"/>
          <w14:textFill>
            <w14:solidFill>
              <w14:schemeClr w14:val="tx1"/>
            </w14:solidFill>
          </w14:textFill>
        </w:rPr>
      </w:pPr>
      <w:r>
        <w:rPr>
          <w:rFonts w:hint="eastAsia" w:hAnsi="宋体"/>
          <w:b/>
          <w:bCs w:val="0"/>
          <w:color w:val="000000" w:themeColor="text1"/>
          <w:sz w:val="24"/>
          <w:lang w:val="en-US" w:eastAsia="zh-CN"/>
          <w14:textFill>
            <w14:solidFill>
              <w14:schemeClr w14:val="tx1"/>
            </w14:solidFill>
          </w14:textFill>
        </w:rPr>
        <w:t xml:space="preserve">表5-4 </w:t>
      </w:r>
      <w:r>
        <w:rPr>
          <w:rFonts w:ascii="宋体" w:hAnsi="宋体"/>
          <w:b/>
          <w:bCs w:val="0"/>
          <w:color w:val="000000" w:themeColor="text1"/>
          <w:sz w:val="24"/>
          <w14:textFill>
            <w14:solidFill>
              <w14:schemeClr w14:val="tx1"/>
            </w14:solidFill>
          </w14:textFill>
        </w:rPr>
        <w:t>供配电安全检查表</w:t>
      </w:r>
    </w:p>
    <w:tbl>
      <w:tblPr>
        <w:tblStyle w:val="53"/>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343"/>
        <w:gridCol w:w="2126"/>
        <w:gridCol w:w="2539"/>
        <w:gridCol w:w="700"/>
      </w:tblGrid>
      <w:tr w14:paraId="42DFC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50" w:type="dxa"/>
            <w:vAlign w:val="center"/>
          </w:tcPr>
          <w:p w14:paraId="15C0FD0D">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343" w:type="dxa"/>
            <w:vAlign w:val="center"/>
          </w:tcPr>
          <w:p w14:paraId="249C610A">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126" w:type="dxa"/>
            <w:vAlign w:val="center"/>
          </w:tcPr>
          <w:p w14:paraId="2EF9E568">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2539" w:type="dxa"/>
            <w:vAlign w:val="center"/>
          </w:tcPr>
          <w:p w14:paraId="3ADEF5BB">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700" w:type="dxa"/>
            <w:vAlign w:val="center"/>
          </w:tcPr>
          <w:p w14:paraId="3D6A2BFC">
            <w:pPr>
              <w:spacing w:line="240" w:lineRule="auto"/>
              <w:ind w:firstLine="0" w:firstLine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469D1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3D815579">
            <w:pPr>
              <w:keepNext w:val="0"/>
              <w:keepLines w:val="0"/>
              <w:pageBreakBefore w:val="0"/>
              <w:numPr>
                <w:ilvl w:val="0"/>
                <w:numId w:val="22"/>
              </w:numPr>
              <w:kinsoku/>
              <w:wordWrap/>
              <w:overflowPunct/>
              <w:topLinePunct w:val="0"/>
              <w:autoSpaceDE/>
              <w:autoSpaceDN/>
              <w:bidi w:val="0"/>
              <w:adjustRightInd/>
              <w:snapToGrid/>
              <w:spacing w:line="300" w:lineRule="exact"/>
              <w:ind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3343" w:type="dxa"/>
            <w:vAlign w:val="center"/>
          </w:tcPr>
          <w:p w14:paraId="02F46605">
            <w:pPr>
              <w:keepNext w:val="0"/>
              <w:keepLines w:val="0"/>
              <w:pageBreakBefore w:val="0"/>
              <w:kinsoku/>
              <w:wordWrap/>
              <w:overflowPunct/>
              <w:topLinePunct w:val="0"/>
              <w:autoSpaceDE/>
              <w:autoSpaceDN/>
              <w:bidi w:val="0"/>
              <w:adjustRightInd/>
              <w:snapToGrid/>
              <w:spacing w:line="300" w:lineRule="exact"/>
              <w:ind w:firstLine="0" w:firstLineChars="0"/>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配电线路应装设短路保护和过负荷保护</w:t>
            </w:r>
          </w:p>
        </w:tc>
        <w:tc>
          <w:tcPr>
            <w:tcW w:w="2126" w:type="dxa"/>
            <w:vAlign w:val="center"/>
          </w:tcPr>
          <w:p w14:paraId="57CD8887">
            <w:pPr>
              <w:keepNext w:val="0"/>
              <w:keepLines w:val="0"/>
              <w:pageBreakBefore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《低压配电设计规范》（GB 50054-2011）6.1.1</w:t>
            </w:r>
          </w:p>
        </w:tc>
        <w:tc>
          <w:tcPr>
            <w:tcW w:w="2539" w:type="dxa"/>
            <w:vAlign w:val="center"/>
          </w:tcPr>
          <w:p w14:paraId="7EFC52FA">
            <w:pPr>
              <w:keepNext w:val="0"/>
              <w:keepLines w:val="0"/>
              <w:pageBreakBefore w:val="0"/>
              <w:kinsoku/>
              <w:wordWrap/>
              <w:overflowPunct/>
              <w:topLinePunct w:val="0"/>
              <w:autoSpaceDE/>
              <w:autoSpaceDN/>
              <w:bidi w:val="0"/>
              <w:adjustRightInd/>
              <w:snapToGrid/>
              <w:spacing w:line="300" w:lineRule="exact"/>
              <w:ind w:firstLine="0" w:firstLineChars="0"/>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配电线路装设短路保护，过载保护和接地保护。</w:t>
            </w:r>
          </w:p>
        </w:tc>
        <w:tc>
          <w:tcPr>
            <w:tcW w:w="700" w:type="dxa"/>
            <w:vAlign w:val="center"/>
          </w:tcPr>
          <w:p w14:paraId="1E5B50C8">
            <w:pPr>
              <w:keepNext w:val="0"/>
              <w:keepLines w:val="0"/>
              <w:pageBreakBefore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符合</w:t>
            </w:r>
          </w:p>
        </w:tc>
      </w:tr>
      <w:tr w14:paraId="21B9B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38A298B9">
            <w:pPr>
              <w:keepNext w:val="0"/>
              <w:keepLines w:val="0"/>
              <w:pageBreakBefore w:val="0"/>
              <w:numPr>
                <w:ilvl w:val="0"/>
                <w:numId w:val="22"/>
              </w:numPr>
              <w:kinsoku/>
              <w:wordWrap/>
              <w:overflowPunct/>
              <w:topLinePunct w:val="0"/>
              <w:autoSpaceDE/>
              <w:autoSpaceDN/>
              <w:bidi w:val="0"/>
              <w:adjustRightInd/>
              <w:snapToGrid/>
              <w:spacing w:line="300" w:lineRule="exact"/>
              <w:ind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3343" w:type="dxa"/>
            <w:vAlign w:val="center"/>
          </w:tcPr>
          <w:p w14:paraId="5CB3714B">
            <w:pPr>
              <w:keepNext w:val="0"/>
              <w:keepLines w:val="0"/>
              <w:pageBreakBefore w:val="0"/>
              <w:kinsoku/>
              <w:wordWrap/>
              <w:overflowPunct/>
              <w:topLinePunct w:val="0"/>
              <w:autoSpaceDE/>
              <w:autoSpaceDN/>
              <w:bidi w:val="0"/>
              <w:adjustRightInd/>
              <w:snapToGrid/>
              <w:spacing w:line="300" w:lineRule="exact"/>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从事电气作业的特种作业人员应经专门的安全培训，在取得相应特种作业操作资格证书后，方可上岗。</w:t>
            </w:r>
          </w:p>
        </w:tc>
        <w:tc>
          <w:tcPr>
            <w:tcW w:w="2126" w:type="dxa"/>
            <w:vAlign w:val="center"/>
          </w:tcPr>
          <w:p w14:paraId="0DA00B14">
            <w:pPr>
              <w:keepNext w:val="0"/>
              <w:keepLines w:val="0"/>
              <w:pageBreakBefore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《用电安全导则》(GB/T 13869-2017)</w:t>
            </w:r>
          </w:p>
          <w:p w14:paraId="717F976C">
            <w:pPr>
              <w:keepNext w:val="0"/>
              <w:keepLines w:val="0"/>
              <w:pageBreakBefore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w:t>
            </w:r>
          </w:p>
        </w:tc>
        <w:tc>
          <w:tcPr>
            <w:tcW w:w="2539" w:type="dxa"/>
            <w:vAlign w:val="center"/>
          </w:tcPr>
          <w:p w14:paraId="4BB04ADF">
            <w:pPr>
              <w:keepNext w:val="0"/>
              <w:keepLines w:val="0"/>
              <w:pageBreakBefore w:val="0"/>
              <w:kinsoku/>
              <w:wordWrap/>
              <w:overflowPunct/>
              <w:topLinePunct w:val="0"/>
              <w:autoSpaceDE/>
              <w:autoSpaceDN/>
              <w:bidi w:val="0"/>
              <w:adjustRightInd/>
              <w:snapToGrid/>
              <w:spacing w:line="300" w:lineRule="exact"/>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本项目电气作业请外部持证人员进行。</w:t>
            </w:r>
          </w:p>
        </w:tc>
        <w:tc>
          <w:tcPr>
            <w:tcW w:w="700" w:type="dxa"/>
            <w:vAlign w:val="center"/>
          </w:tcPr>
          <w:p w14:paraId="2F9CF6F3">
            <w:pPr>
              <w:keepNext w:val="0"/>
              <w:keepLines w:val="0"/>
              <w:pageBreakBefore w:val="0"/>
              <w:kinsoku/>
              <w:wordWrap/>
              <w:overflowPunct/>
              <w:topLinePunct w:val="0"/>
              <w:autoSpaceDE/>
              <w:autoSpaceDN/>
              <w:bidi w:val="0"/>
              <w:adjustRightInd/>
              <w:snapToGrid/>
              <w:spacing w:line="300" w:lineRule="exact"/>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E826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7298E210">
            <w:pPr>
              <w:keepNext w:val="0"/>
              <w:keepLines w:val="0"/>
              <w:pageBreakBefore w:val="0"/>
              <w:numPr>
                <w:ilvl w:val="0"/>
                <w:numId w:val="22"/>
              </w:numPr>
              <w:kinsoku/>
              <w:wordWrap/>
              <w:overflowPunct/>
              <w:topLinePunct w:val="0"/>
              <w:autoSpaceDE/>
              <w:autoSpaceDN/>
              <w:bidi w:val="0"/>
              <w:adjustRightInd/>
              <w:snapToGrid/>
              <w:spacing w:line="300" w:lineRule="exact"/>
              <w:ind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192B005E">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电气线路应具有足够的绝缘强度、机械强度和导电能力，其安装应符合相应产品标准的规定。</w:t>
            </w:r>
          </w:p>
        </w:tc>
        <w:tc>
          <w:tcPr>
            <w:tcW w:w="2126" w:type="dxa"/>
            <w:shd w:val="clear" w:color="auto" w:fill="auto"/>
            <w:vAlign w:val="center"/>
          </w:tcPr>
          <w:p w14:paraId="05A85F3B">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GB/T13869-2017第5.1.2条</w:t>
            </w:r>
          </w:p>
        </w:tc>
        <w:tc>
          <w:tcPr>
            <w:tcW w:w="2539" w:type="dxa"/>
            <w:shd w:val="clear" w:color="auto" w:fill="auto"/>
            <w:vAlign w:val="center"/>
          </w:tcPr>
          <w:p w14:paraId="175C2A98">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电气线路由专业电气操作人员安装、维护。</w:t>
            </w:r>
          </w:p>
        </w:tc>
        <w:tc>
          <w:tcPr>
            <w:tcW w:w="700" w:type="dxa"/>
            <w:shd w:val="clear" w:color="auto" w:fill="auto"/>
            <w:vAlign w:val="center"/>
          </w:tcPr>
          <w:p w14:paraId="28403DDA">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BF75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14:paraId="60EDB983">
            <w:pPr>
              <w:keepNext w:val="0"/>
              <w:keepLines w:val="0"/>
              <w:pageBreakBefore w:val="0"/>
              <w:numPr>
                <w:ilvl w:val="0"/>
                <w:numId w:val="22"/>
              </w:numPr>
              <w:kinsoku/>
              <w:wordWrap/>
              <w:overflowPunct/>
              <w:topLinePunct w:val="0"/>
              <w:autoSpaceDE/>
              <w:autoSpaceDN/>
              <w:bidi w:val="0"/>
              <w:adjustRightInd/>
              <w:snapToGrid/>
              <w:spacing w:line="300" w:lineRule="exact"/>
              <w:ind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3343" w:type="dxa"/>
            <w:shd w:val="clear" w:color="auto" w:fill="auto"/>
            <w:vAlign w:val="center"/>
          </w:tcPr>
          <w:p w14:paraId="1A265807">
            <w:pPr>
              <w:keepNext w:val="0"/>
              <w:keepLines w:val="0"/>
              <w:pageBreakBefore w:val="0"/>
              <w:kinsoku/>
              <w:wordWrap/>
              <w:overflowPunct/>
              <w:topLinePunct w:val="0"/>
              <w:autoSpaceDE/>
              <w:autoSpaceDN/>
              <w:bidi w:val="0"/>
              <w:adjustRightInd/>
              <w:snapToGrid/>
              <w:spacing w:line="300" w:lineRule="exac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在控制室、屋内配电装置室及屋内主要通道等处，应装设事故照明。</w:t>
            </w:r>
          </w:p>
        </w:tc>
        <w:tc>
          <w:tcPr>
            <w:tcW w:w="2126" w:type="dxa"/>
            <w:shd w:val="clear" w:color="auto" w:fill="auto"/>
            <w:vAlign w:val="top"/>
          </w:tcPr>
          <w:p w14:paraId="4DAD9429">
            <w:pPr>
              <w:keepNext w:val="0"/>
              <w:keepLines w:val="0"/>
              <w:pageBreakBefore w:val="0"/>
              <w:kinsoku/>
              <w:wordWrap/>
              <w:overflowPunct/>
              <w:topLinePunct w:val="0"/>
              <w:autoSpaceDE/>
              <w:autoSpaceDN/>
              <w:bidi w:val="0"/>
              <w:adjustRightInd/>
              <w:snapToGrid/>
              <w:spacing w:line="300" w:lineRule="exac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《用电安全导则》GB/T13869-2017</w:t>
            </w:r>
          </w:p>
        </w:tc>
        <w:tc>
          <w:tcPr>
            <w:tcW w:w="2539" w:type="dxa"/>
            <w:shd w:val="clear" w:color="auto" w:fill="auto"/>
            <w:vAlign w:val="center"/>
          </w:tcPr>
          <w:p w14:paraId="12822930">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根据生产需求，未设置配电室。</w:t>
            </w:r>
          </w:p>
        </w:tc>
        <w:tc>
          <w:tcPr>
            <w:tcW w:w="700" w:type="dxa"/>
            <w:shd w:val="clear" w:color="auto" w:fill="auto"/>
            <w:vAlign w:val="center"/>
          </w:tcPr>
          <w:p w14:paraId="58AB9969">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13BAA1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由上述安全检查表的结果可知，</w:t>
      </w:r>
      <w:bookmarkStart w:id="671" w:name="_Hlk51319922"/>
      <w:r>
        <w:rPr>
          <w:rFonts w:hint="eastAsia" w:ascii="宋体" w:hAnsi="宋体" w:eastAsia="宋体" w:cs="宋体"/>
          <w:color w:val="000000" w:themeColor="text1"/>
          <w:sz w:val="28"/>
          <w:szCs w:val="28"/>
          <w14:textFill>
            <w14:solidFill>
              <w14:schemeClr w14:val="tx1"/>
            </w14:solidFill>
          </w14:textFill>
        </w:rPr>
        <w:t>本项目的供配电系统</w:t>
      </w:r>
      <w:bookmarkEnd w:id="671"/>
      <w:r>
        <w:rPr>
          <w:rFonts w:hint="eastAsia" w:ascii="宋体" w:hAnsi="宋体" w:eastAsia="宋体" w:cs="宋体"/>
          <w:color w:val="000000" w:themeColor="text1"/>
          <w:sz w:val="28"/>
          <w:szCs w:val="28"/>
          <w14:textFill>
            <w14:solidFill>
              <w14:schemeClr w14:val="tx1"/>
            </w14:solidFill>
          </w14:textFill>
        </w:rPr>
        <w:t>符合《用电安全导则》（GB/T 13869-2017）、《低压配电设计规范》（GB 50054-2011）等标准规范的要求。</w:t>
      </w:r>
    </w:p>
    <w:p w14:paraId="29C93EC2">
      <w:pPr>
        <w:pStyle w:val="5"/>
        <w:spacing w:line="360" w:lineRule="auto"/>
        <w:rPr>
          <w:rFonts w:hint="default" w:ascii="Times New Roman" w:hAnsi="Times New Roman" w:eastAsia="黑体" w:cs="Times New Roman"/>
          <w:color w:val="000000" w:themeColor="text1"/>
          <w:lang w:val="en-US" w:eastAsia="zh-CN"/>
          <w14:textFill>
            <w14:solidFill>
              <w14:schemeClr w14:val="tx1"/>
            </w14:solidFill>
          </w14:textFill>
        </w:rPr>
      </w:pPr>
      <w:bookmarkStart w:id="672" w:name="_Toc29363"/>
      <w:bookmarkStart w:id="673" w:name="_Toc433009882"/>
      <w:r>
        <w:rPr>
          <w:rFonts w:ascii="Times New Roman" w:hAnsi="Times New Roman" w:cs="Times New Roman"/>
          <w:color w:val="000000" w:themeColor="text1"/>
          <w14:textFill>
            <w14:solidFill>
              <w14:schemeClr w14:val="tx1"/>
            </w14:solidFill>
          </w14:textFill>
        </w:rPr>
        <w:t>5.</w:t>
      </w:r>
      <w:r>
        <w:rPr>
          <w:rFonts w:hint="eastAsia" w:ascii="Times New Roman" w:hAnsi="Times New Roman" w:cs="Times New Roman"/>
          <w:color w:val="000000" w:themeColor="text1"/>
          <w:lang w:val="en-US" w:eastAsia="zh-CN"/>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.2给排水系统子单元</w:t>
      </w:r>
      <w:r>
        <w:rPr>
          <w:rFonts w:hint="eastAsia" w:ascii="Times New Roman" w:hAnsi="Times New Roman" w:cs="Times New Roman"/>
          <w:color w:val="000000" w:themeColor="text1"/>
          <w:lang w:val="en-US" w:eastAsia="zh-CN"/>
          <w14:textFill>
            <w14:solidFill>
              <w14:schemeClr w14:val="tx1"/>
            </w14:solidFill>
          </w14:textFill>
        </w:rPr>
        <w:t>安全检查表</w:t>
      </w:r>
      <w:bookmarkEnd w:id="672"/>
    </w:p>
    <w:bookmarkEnd w:id="669"/>
    <w:bookmarkEnd w:id="670"/>
    <w:bookmarkEnd w:id="673"/>
    <w:p w14:paraId="651EA1F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b/>
          <w:bCs/>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依据《工业企业总平面设计规范》（GB50187-2012）的要求，对该厂的给排水进行安全检查。检查结果见下表5-</w:t>
      </w:r>
      <w:r>
        <w:rPr>
          <w:rFonts w:hint="eastAsia" w:hAnsi="宋体" w:cs="宋体"/>
          <w:color w:val="000000" w:themeColor="text1"/>
          <w:sz w:val="28"/>
          <w:szCs w:val="28"/>
          <w:lang w:val="en-US" w:eastAsia="zh-CN"/>
          <w14:textFill>
            <w14:solidFill>
              <w14:schemeClr w14:val="tx1"/>
            </w14:solidFill>
          </w14:textFill>
        </w:rPr>
        <w:t>5</w:t>
      </w:r>
      <w:r>
        <w:rPr>
          <w:rFonts w:hint="eastAsia" w:hAnsi="宋体" w:cs="宋体"/>
          <w:color w:val="000000" w:themeColor="text1"/>
          <w:sz w:val="28"/>
          <w:szCs w:val="28"/>
          <w14:textFill>
            <w14:solidFill>
              <w14:schemeClr w14:val="tx1"/>
            </w14:solidFill>
          </w14:textFill>
        </w:rPr>
        <w:t>。</w:t>
      </w:r>
    </w:p>
    <w:p w14:paraId="0EAE2C8E">
      <w:pPr>
        <w:spacing w:line="360" w:lineRule="auto"/>
        <w:jc w:val="center"/>
        <w:rPr>
          <w:rFonts w:ascii="Times New Roman"/>
          <w:b/>
          <w:bCs/>
          <w:color w:val="000000" w:themeColor="text1"/>
          <w14:textFill>
            <w14:solidFill>
              <w14:schemeClr w14:val="tx1"/>
            </w14:solidFill>
          </w14:textFill>
        </w:rPr>
      </w:pPr>
      <w:r>
        <w:rPr>
          <w:rFonts w:ascii="Times New Roman"/>
          <w:b/>
          <w:bCs/>
          <w:color w:val="000000" w:themeColor="text1"/>
          <w14:textFill>
            <w14:solidFill>
              <w14:schemeClr w14:val="tx1"/>
            </w14:solidFill>
          </w14:textFill>
        </w:rPr>
        <w:t>表5-</w:t>
      </w:r>
      <w:r>
        <w:rPr>
          <w:rFonts w:hint="eastAsia" w:ascii="Times New Roman"/>
          <w:b/>
          <w:bCs/>
          <w:color w:val="000000" w:themeColor="text1"/>
          <w:lang w:val="en-US" w:eastAsia="zh-CN"/>
          <w14:textFill>
            <w14:solidFill>
              <w14:schemeClr w14:val="tx1"/>
            </w14:solidFill>
          </w14:textFill>
        </w:rPr>
        <w:t>5</w:t>
      </w:r>
      <w:r>
        <w:rPr>
          <w:rFonts w:ascii="Times New Roman"/>
          <w:b/>
          <w:bCs/>
          <w:color w:val="000000" w:themeColor="text1"/>
          <w14:textFill>
            <w14:solidFill>
              <w14:schemeClr w14:val="tx1"/>
            </w14:solidFill>
          </w14:textFill>
        </w:rPr>
        <w:t xml:space="preserve">  给排水安全检查表</w:t>
      </w:r>
    </w:p>
    <w:tbl>
      <w:tblPr>
        <w:tblStyle w:val="53"/>
        <w:tblW w:w="90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3330"/>
        <w:gridCol w:w="2280"/>
        <w:gridCol w:w="1680"/>
        <w:gridCol w:w="952"/>
      </w:tblGrid>
      <w:tr w14:paraId="36EE7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81" w:type="dxa"/>
            <w:vAlign w:val="center"/>
          </w:tcPr>
          <w:p w14:paraId="0B195730">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序号</w:t>
            </w:r>
          </w:p>
        </w:tc>
        <w:tc>
          <w:tcPr>
            <w:tcW w:w="3330" w:type="dxa"/>
            <w:vAlign w:val="center"/>
          </w:tcPr>
          <w:p w14:paraId="5627304D">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检查内容</w:t>
            </w:r>
          </w:p>
        </w:tc>
        <w:tc>
          <w:tcPr>
            <w:tcW w:w="2280" w:type="dxa"/>
            <w:vAlign w:val="center"/>
          </w:tcPr>
          <w:p w14:paraId="1C0CAA9D">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依据标准</w:t>
            </w:r>
          </w:p>
        </w:tc>
        <w:tc>
          <w:tcPr>
            <w:tcW w:w="1680" w:type="dxa"/>
            <w:vAlign w:val="center"/>
          </w:tcPr>
          <w:p w14:paraId="1CCB2C40">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检查情况</w:t>
            </w:r>
          </w:p>
        </w:tc>
        <w:tc>
          <w:tcPr>
            <w:tcW w:w="952" w:type="dxa"/>
            <w:vAlign w:val="center"/>
          </w:tcPr>
          <w:p w14:paraId="2670229D">
            <w:pPr>
              <w:adjustRightInd w:val="0"/>
              <w:snapToGrid w:val="0"/>
              <w:spacing w:line="300" w:lineRule="exact"/>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结论</w:t>
            </w:r>
          </w:p>
        </w:tc>
      </w:tr>
      <w:tr w14:paraId="474D9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1" w:type="dxa"/>
            <w:vAlign w:val="center"/>
          </w:tcPr>
          <w:p w14:paraId="55B62F3B">
            <w:pPr>
              <w:numPr>
                <w:ilvl w:val="0"/>
                <w:numId w:val="23"/>
              </w:num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3330" w:type="dxa"/>
            <w:vAlign w:val="center"/>
          </w:tcPr>
          <w:p w14:paraId="58FD7098">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场地应有完整、有效的雨水排水系统。场地雨水的排除方式，应结合工业企业所在地区的雨水排除方式、建筑密度、环境卫生要求、地质和气候条件等因素，合理选择暗管、明沟或地面自然排渗等方式，并应符合下列要求：（1）厂区雨水排水管、沟应与厂外排雨水系统相衔接，场地雨水不得任意排至厂外：（2) 有条件的工业企业应建立雨水收集系统，应对收集的雨水充分利用；（3）厂区雨水宜采用暗管排水。</w:t>
            </w:r>
          </w:p>
        </w:tc>
        <w:tc>
          <w:tcPr>
            <w:tcW w:w="2280" w:type="dxa"/>
            <w:vAlign w:val="center"/>
          </w:tcPr>
          <w:p w14:paraId="0D2C7C65">
            <w:pPr>
              <w:pStyle w:val="181"/>
              <w:snapToGrid w:val="0"/>
              <w:spacing w:before="0" w:after="0" w:line="300" w:lineRule="exact"/>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w:t>
            </w:r>
          </w:p>
          <w:p w14:paraId="23693633">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50187-2012）</w:t>
            </w:r>
          </w:p>
          <w:p w14:paraId="3585918B">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第7.4.1条</w:t>
            </w:r>
          </w:p>
        </w:tc>
        <w:tc>
          <w:tcPr>
            <w:tcW w:w="1680" w:type="dxa"/>
            <w:vAlign w:val="center"/>
          </w:tcPr>
          <w:p w14:paraId="29D80EF3">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该厂有较为完整、有效的排水系统。</w:t>
            </w:r>
          </w:p>
        </w:tc>
        <w:tc>
          <w:tcPr>
            <w:tcW w:w="952" w:type="dxa"/>
            <w:vAlign w:val="center"/>
          </w:tcPr>
          <w:p w14:paraId="1124360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C479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1" w:type="dxa"/>
            <w:vAlign w:val="center"/>
          </w:tcPr>
          <w:p w14:paraId="6B54A395">
            <w:pPr>
              <w:numPr>
                <w:ilvl w:val="0"/>
                <w:numId w:val="23"/>
              </w:num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3330" w:type="dxa"/>
            <w:vAlign w:val="center"/>
          </w:tcPr>
          <w:p w14:paraId="50CBF251">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场地雨水排水设计流量计算，应符合现行国家标准《室外排水设计规》GB 50014的有关规定。</w:t>
            </w:r>
          </w:p>
        </w:tc>
        <w:tc>
          <w:tcPr>
            <w:tcW w:w="2280" w:type="dxa"/>
            <w:vAlign w:val="center"/>
          </w:tcPr>
          <w:p w14:paraId="248EC5B3">
            <w:pPr>
              <w:pStyle w:val="181"/>
              <w:snapToGrid w:val="0"/>
              <w:spacing w:before="0" w:after="0" w:line="300" w:lineRule="exact"/>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w:t>
            </w:r>
          </w:p>
          <w:p w14:paraId="710A69EB">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50187-2012）</w:t>
            </w:r>
          </w:p>
          <w:p w14:paraId="3A881540">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第7.4.2条</w:t>
            </w:r>
          </w:p>
        </w:tc>
        <w:tc>
          <w:tcPr>
            <w:tcW w:w="1680" w:type="dxa"/>
            <w:vAlign w:val="center"/>
          </w:tcPr>
          <w:p w14:paraId="40687A71">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该厂场地未见积水点，雨水排量符合相关要求。</w:t>
            </w:r>
          </w:p>
        </w:tc>
        <w:tc>
          <w:tcPr>
            <w:tcW w:w="952" w:type="dxa"/>
            <w:vAlign w:val="center"/>
          </w:tcPr>
          <w:p w14:paraId="3AC5C866">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168F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1" w:type="dxa"/>
            <w:vAlign w:val="center"/>
          </w:tcPr>
          <w:p w14:paraId="715F3BEE">
            <w:pPr>
              <w:numPr>
                <w:ilvl w:val="0"/>
                <w:numId w:val="23"/>
              </w:num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3330" w:type="dxa"/>
            <w:vAlign w:val="center"/>
          </w:tcPr>
          <w:p w14:paraId="4493281A">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当采用明沟排水时，排水沟宜沿铁路、道路布置，并宜避免与其交叉。排出厂外的雨水，不得对其它工程设施或农田造成危害。</w:t>
            </w:r>
          </w:p>
        </w:tc>
        <w:tc>
          <w:tcPr>
            <w:tcW w:w="2280" w:type="dxa"/>
            <w:vAlign w:val="center"/>
          </w:tcPr>
          <w:p w14:paraId="301B8204">
            <w:pPr>
              <w:pStyle w:val="181"/>
              <w:snapToGrid w:val="0"/>
              <w:spacing w:before="0" w:after="0" w:line="300" w:lineRule="exact"/>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w:t>
            </w:r>
          </w:p>
          <w:p w14:paraId="516BAFF4">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50187-2012）</w:t>
            </w:r>
          </w:p>
          <w:p w14:paraId="53E2396F">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第7.4.3条</w:t>
            </w:r>
          </w:p>
        </w:tc>
        <w:tc>
          <w:tcPr>
            <w:tcW w:w="1680" w:type="dxa"/>
            <w:vAlign w:val="center"/>
          </w:tcPr>
          <w:p w14:paraId="4681584C">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该厂的排水不会对其他设施造成危害。</w:t>
            </w:r>
          </w:p>
        </w:tc>
        <w:tc>
          <w:tcPr>
            <w:tcW w:w="952" w:type="dxa"/>
            <w:vAlign w:val="center"/>
          </w:tcPr>
          <w:p w14:paraId="0F44AEBD">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C838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1" w:type="dxa"/>
            <w:vAlign w:val="center"/>
          </w:tcPr>
          <w:p w14:paraId="301A261A">
            <w:pPr>
              <w:numPr>
                <w:ilvl w:val="0"/>
                <w:numId w:val="23"/>
              </w:num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3330" w:type="dxa"/>
            <w:vAlign w:val="center"/>
          </w:tcPr>
          <w:p w14:paraId="01B5F97C">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排水明沟的铺砌方式，应根据所处地段的土质和流速等情况确定，应符合下列规定：（1）厂区明沟宜加铺砌：（2）对厂容、工生和安全要求较高的地段，尚应铺设盖板；（3）矿山及厂区的边缘地段，可采用土明公。</w:t>
            </w:r>
          </w:p>
        </w:tc>
        <w:tc>
          <w:tcPr>
            <w:tcW w:w="2280" w:type="dxa"/>
            <w:vAlign w:val="center"/>
          </w:tcPr>
          <w:p w14:paraId="5FADC03D">
            <w:pPr>
              <w:pStyle w:val="181"/>
              <w:snapToGrid w:val="0"/>
              <w:spacing w:before="0" w:after="0" w:line="300" w:lineRule="exact"/>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w:t>
            </w:r>
          </w:p>
          <w:p w14:paraId="64B7D494">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50187-2012）</w:t>
            </w:r>
          </w:p>
          <w:p w14:paraId="601E02F7">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第7.4.4条</w:t>
            </w:r>
          </w:p>
        </w:tc>
        <w:tc>
          <w:tcPr>
            <w:tcW w:w="1680" w:type="dxa"/>
            <w:vAlign w:val="center"/>
          </w:tcPr>
          <w:p w14:paraId="7D507F0A">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该厂的排水设施均按要求进行了布置。</w:t>
            </w:r>
          </w:p>
        </w:tc>
        <w:tc>
          <w:tcPr>
            <w:tcW w:w="952" w:type="dxa"/>
            <w:vAlign w:val="center"/>
          </w:tcPr>
          <w:p w14:paraId="1A50F671">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89B8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1" w:type="dxa"/>
            <w:vAlign w:val="center"/>
          </w:tcPr>
          <w:p w14:paraId="1FC6D976">
            <w:pPr>
              <w:numPr>
                <w:ilvl w:val="0"/>
                <w:numId w:val="23"/>
              </w:num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p>
        </w:tc>
        <w:tc>
          <w:tcPr>
            <w:tcW w:w="3330" w:type="dxa"/>
            <w:vAlign w:val="center"/>
          </w:tcPr>
          <w:p w14:paraId="5239103A">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场地的排水明沟，宜采用矩型或梯形断面并应符合下列规定：（1）明沟起点的深度，不宜小于 0.2m，矩形明沟的沟底宽度，不宜小于0.4m，梯形明沟的沟底宽度，不宜小于 0.3m；（2）明沟的纵坡，不宜小于0.3%；在地形平坦的困难地段，不宜小于0.2%；（3) 按流量计算的明沟，沟顶应高于计算水位 0.2m 以上。</w:t>
            </w:r>
          </w:p>
        </w:tc>
        <w:tc>
          <w:tcPr>
            <w:tcW w:w="2280" w:type="dxa"/>
            <w:vAlign w:val="center"/>
          </w:tcPr>
          <w:p w14:paraId="1053F11E">
            <w:pPr>
              <w:pStyle w:val="181"/>
              <w:snapToGrid w:val="0"/>
              <w:spacing w:before="0" w:after="0" w:line="300" w:lineRule="exact"/>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《工业企业总平面设计规范》</w:t>
            </w:r>
          </w:p>
          <w:p w14:paraId="7393A828">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 50187-2012）</w:t>
            </w:r>
          </w:p>
          <w:p w14:paraId="1104D510">
            <w:pPr>
              <w:pStyle w:val="181"/>
              <w:snapToGrid w:val="0"/>
              <w:spacing w:before="0" w:after="0"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第7.4.5条</w:t>
            </w:r>
          </w:p>
        </w:tc>
        <w:tc>
          <w:tcPr>
            <w:tcW w:w="1680" w:type="dxa"/>
            <w:vAlign w:val="center"/>
          </w:tcPr>
          <w:p w14:paraId="632EC912">
            <w:pPr>
              <w:pStyle w:val="181"/>
              <w:snapToGrid w:val="0"/>
              <w:spacing w:before="0" w:after="0" w:line="3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该厂的排水沟符合相关要求。</w:t>
            </w:r>
          </w:p>
        </w:tc>
        <w:tc>
          <w:tcPr>
            <w:tcW w:w="952" w:type="dxa"/>
            <w:vAlign w:val="center"/>
          </w:tcPr>
          <w:p w14:paraId="4FA68E33">
            <w:pPr>
              <w:adjustRightInd w:val="0"/>
              <w:snapToGrid w:val="0"/>
              <w:spacing w:line="3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35A6FB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b/>
          <w:bCs/>
          <w:color w:val="000000" w:themeColor="text1"/>
          <w14:textFill>
            <w14:solidFill>
              <w14:schemeClr w14:val="tx1"/>
            </w14:solidFill>
          </w14:textFill>
        </w:rPr>
      </w:pPr>
      <w:r>
        <w:rPr>
          <w:rFonts w:hint="eastAsia"/>
          <w:color w:val="000000" w:themeColor="text1"/>
          <w:sz w:val="28"/>
          <w:szCs w:val="28"/>
          <w14:textFill>
            <w14:solidFill>
              <w14:schemeClr w14:val="tx1"/>
            </w14:solidFill>
          </w14:textFill>
        </w:rPr>
        <w:t>由上表的检查结果可知，本项目的给排水符合</w:t>
      </w:r>
      <w:r>
        <w:rPr>
          <w:color w:val="000000" w:themeColor="text1"/>
          <w:sz w:val="28"/>
          <w:szCs w:val="28"/>
          <w14:textFill>
            <w14:solidFill>
              <w14:schemeClr w14:val="tx1"/>
            </w14:solidFill>
          </w14:textFill>
        </w:rPr>
        <w:t>《工业企业总平面设计规范》（GB50187-2012的要求</w:t>
      </w:r>
      <w:r>
        <w:rPr>
          <w:rFonts w:hint="eastAsia"/>
          <w:color w:val="000000" w:themeColor="text1"/>
          <w:sz w:val="28"/>
          <w:szCs w:val="28"/>
          <w14:textFill>
            <w14:solidFill>
              <w14:schemeClr w14:val="tx1"/>
            </w14:solidFill>
          </w14:textFill>
        </w:rPr>
        <w:t>。</w:t>
      </w:r>
    </w:p>
    <w:p w14:paraId="168EA467">
      <w:pPr>
        <w:pStyle w:val="5"/>
        <w:spacing w:line="360" w:lineRule="auto"/>
        <w:rPr>
          <w:rFonts w:ascii="Times New Roman" w:hAnsi="Times New Roman" w:cs="Times New Roman"/>
          <w:color w:val="000000" w:themeColor="text1"/>
          <w14:textFill>
            <w14:solidFill>
              <w14:schemeClr w14:val="tx1"/>
            </w14:solidFill>
          </w14:textFill>
        </w:rPr>
      </w:pPr>
      <w:bookmarkStart w:id="674" w:name="_Toc18019"/>
      <w:bookmarkStart w:id="675" w:name="_Toc7538"/>
      <w:bookmarkStart w:id="676" w:name="_Toc335926303"/>
      <w:bookmarkStart w:id="677" w:name="_Toc335838637"/>
      <w:bookmarkStart w:id="678" w:name="_Toc267853224"/>
      <w:bookmarkStart w:id="679" w:name="_Toc18522"/>
      <w:bookmarkStart w:id="680" w:name="_Toc278282328"/>
      <w:bookmarkStart w:id="681" w:name="_Toc313493995"/>
      <w:bookmarkStart w:id="682" w:name="_Toc211237914"/>
      <w:bookmarkStart w:id="683" w:name="_Toc433009883"/>
      <w:bookmarkStart w:id="684" w:name="_Toc278282330"/>
      <w:r>
        <w:rPr>
          <w:rFonts w:ascii="Times New Roman" w:hAnsi="Times New Roman" w:cs="Times New Roman"/>
          <w:color w:val="000000" w:themeColor="text1"/>
          <w14:textFill>
            <w14:solidFill>
              <w14:schemeClr w14:val="tx1"/>
            </w14:solidFill>
          </w14:textFill>
        </w:rPr>
        <w:t>5.</w:t>
      </w:r>
      <w:r>
        <w:rPr>
          <w:rFonts w:hint="eastAsia" w:ascii="Times New Roman" w:hAnsi="Times New Roman" w:cs="Times New Roman"/>
          <w:color w:val="000000" w:themeColor="text1"/>
          <w:lang w:val="en-US" w:eastAsia="zh-CN"/>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.3消防</w:t>
      </w:r>
      <w:r>
        <w:rPr>
          <w:rFonts w:hint="eastAsia" w:ascii="Times New Roman" w:hAnsi="Times New Roman" w:cs="Times New Roman"/>
          <w:color w:val="000000" w:themeColor="text1"/>
          <w14:textFill>
            <w14:solidFill>
              <w14:schemeClr w14:val="tx1"/>
            </w14:solidFill>
          </w14:textFill>
        </w:rPr>
        <w:t>系统</w:t>
      </w:r>
      <w:r>
        <w:rPr>
          <w:rFonts w:ascii="Times New Roman" w:hAnsi="Times New Roman" w:cs="Times New Roman"/>
          <w:color w:val="000000" w:themeColor="text1"/>
          <w14:textFill>
            <w14:solidFill>
              <w14:schemeClr w14:val="tx1"/>
            </w14:solidFill>
          </w14:textFill>
        </w:rPr>
        <w:t>子单元</w:t>
      </w:r>
      <w:bookmarkEnd w:id="674"/>
    </w:p>
    <w:bookmarkEnd w:id="675"/>
    <w:bookmarkEnd w:id="676"/>
    <w:bookmarkEnd w:id="677"/>
    <w:bookmarkEnd w:id="678"/>
    <w:bookmarkEnd w:id="679"/>
    <w:bookmarkEnd w:id="680"/>
    <w:p w14:paraId="3F58A7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依据《中华人民共和国消防法》、《建筑灭火器配置设计规范》（GB50140-2005）、</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《建筑设计防火规范（2018年版）》（GB 50016-2014）</w:t>
      </w:r>
      <w:r>
        <w:rPr>
          <w:rFonts w:hint="eastAsia" w:asciiTheme="minorEastAsia" w:hAnsiTheme="minorEastAsia" w:eastAsiaTheme="minorEastAsia" w:cstheme="minorEastAsia"/>
          <w:color w:val="000000" w:themeColor="text1"/>
          <w:sz w:val="28"/>
          <w:szCs w:val="28"/>
          <w14:textFill>
            <w14:solidFill>
              <w14:schemeClr w14:val="tx1"/>
            </w14:solidFill>
          </w14:textFill>
        </w:rPr>
        <w:t>等相关法律法规、标准规范的要求，对该厂的消防进行安全检查。检查结果见下表。</w:t>
      </w:r>
    </w:p>
    <w:p w14:paraId="6E9119C3">
      <w:pPr>
        <w:snapToGrid w:val="0"/>
        <w:spacing w:line="360" w:lineRule="auto"/>
        <w:jc w:val="center"/>
        <w:rPr>
          <w:rFonts w:ascii="Times New Roman"/>
          <w:b/>
          <w:bCs/>
          <w:color w:val="000000" w:themeColor="text1"/>
          <w14:textFill>
            <w14:solidFill>
              <w14:schemeClr w14:val="tx1"/>
            </w14:solidFill>
          </w14:textFill>
        </w:rPr>
      </w:pPr>
      <w:r>
        <w:rPr>
          <w:rFonts w:ascii="Times New Roman"/>
          <w:b/>
          <w:bCs/>
          <w:color w:val="000000" w:themeColor="text1"/>
          <w14:textFill>
            <w14:solidFill>
              <w14:schemeClr w14:val="tx1"/>
            </w14:solidFill>
          </w14:textFill>
        </w:rPr>
        <w:t>表5-</w:t>
      </w:r>
      <w:r>
        <w:rPr>
          <w:rFonts w:hint="eastAsia" w:ascii="Times New Roman"/>
          <w:b/>
          <w:bCs/>
          <w:color w:val="000000" w:themeColor="text1"/>
          <w:lang w:val="en-US" w:eastAsia="zh-CN"/>
          <w14:textFill>
            <w14:solidFill>
              <w14:schemeClr w14:val="tx1"/>
            </w14:solidFill>
          </w14:textFill>
        </w:rPr>
        <w:t>6</w:t>
      </w:r>
      <w:r>
        <w:rPr>
          <w:rFonts w:ascii="Times New Roman"/>
          <w:b/>
          <w:bCs/>
          <w:color w:val="000000" w:themeColor="text1"/>
          <w14:textFill>
            <w14:solidFill>
              <w14:schemeClr w14:val="tx1"/>
            </w14:solidFill>
          </w14:textFill>
        </w:rPr>
        <w:t xml:space="preserve">  消防</w:t>
      </w:r>
      <w:r>
        <w:rPr>
          <w:rFonts w:hint="eastAsia" w:ascii="Times New Roman"/>
          <w:b/>
          <w:bCs/>
          <w:color w:val="000000" w:themeColor="text1"/>
          <w14:textFill>
            <w14:solidFill>
              <w14:schemeClr w14:val="tx1"/>
            </w14:solidFill>
          </w14:textFill>
        </w:rPr>
        <w:t>系统</w:t>
      </w:r>
      <w:r>
        <w:rPr>
          <w:rFonts w:ascii="Times New Roman"/>
          <w:b/>
          <w:bCs/>
          <w:color w:val="000000" w:themeColor="text1"/>
          <w14:textFill>
            <w14:solidFill>
              <w14:schemeClr w14:val="tx1"/>
            </w14:solidFill>
          </w14:textFill>
        </w:rPr>
        <w:t>安全检查表</w:t>
      </w:r>
    </w:p>
    <w:tbl>
      <w:tblPr>
        <w:tblStyle w:val="53"/>
        <w:tblW w:w="53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3507"/>
        <w:gridCol w:w="2176"/>
        <w:gridCol w:w="2382"/>
        <w:gridCol w:w="761"/>
      </w:tblGrid>
      <w:tr w14:paraId="559A5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 w:type="pct"/>
            <w:tcBorders>
              <w:top w:val="single" w:color="auto" w:sz="4" w:space="0"/>
              <w:left w:val="single" w:color="auto" w:sz="4" w:space="0"/>
              <w:bottom w:val="single" w:color="auto" w:sz="4" w:space="0"/>
              <w:right w:val="single" w:color="auto" w:sz="4" w:space="0"/>
            </w:tcBorders>
            <w:vAlign w:val="center"/>
          </w:tcPr>
          <w:p w14:paraId="4DEF2E82">
            <w:pPr>
              <w:snapToGrid w:val="0"/>
              <w:spacing w:line="360" w:lineRule="auto"/>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序号</w:t>
            </w:r>
          </w:p>
        </w:tc>
        <w:tc>
          <w:tcPr>
            <w:tcW w:w="1881" w:type="pct"/>
            <w:tcBorders>
              <w:top w:val="single" w:color="auto" w:sz="4" w:space="0"/>
              <w:left w:val="single" w:color="auto" w:sz="4" w:space="0"/>
              <w:bottom w:val="single" w:color="auto" w:sz="4" w:space="0"/>
              <w:right w:val="single" w:color="auto" w:sz="4" w:space="0"/>
            </w:tcBorders>
            <w:vAlign w:val="center"/>
          </w:tcPr>
          <w:p w14:paraId="7C792E4A">
            <w:pPr>
              <w:snapToGrid w:val="0"/>
              <w:spacing w:line="360" w:lineRule="auto"/>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检查内容</w:t>
            </w:r>
          </w:p>
        </w:tc>
        <w:tc>
          <w:tcPr>
            <w:tcW w:w="1167" w:type="pct"/>
            <w:tcBorders>
              <w:top w:val="single" w:color="auto" w:sz="4" w:space="0"/>
              <w:left w:val="single" w:color="auto" w:sz="4" w:space="0"/>
              <w:bottom w:val="single" w:color="auto" w:sz="4" w:space="0"/>
              <w:right w:val="single" w:color="auto" w:sz="4" w:space="0"/>
            </w:tcBorders>
            <w:vAlign w:val="center"/>
          </w:tcPr>
          <w:p w14:paraId="0E502B2C">
            <w:pPr>
              <w:snapToGrid w:val="0"/>
              <w:spacing w:line="360" w:lineRule="auto"/>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依据标准</w:t>
            </w:r>
          </w:p>
        </w:tc>
        <w:tc>
          <w:tcPr>
            <w:tcW w:w="1278" w:type="pct"/>
            <w:tcBorders>
              <w:top w:val="single" w:color="auto" w:sz="4" w:space="0"/>
              <w:left w:val="single" w:color="auto" w:sz="4" w:space="0"/>
              <w:bottom w:val="single" w:color="auto" w:sz="4" w:space="0"/>
              <w:right w:val="single" w:color="auto" w:sz="4" w:space="0"/>
            </w:tcBorders>
            <w:vAlign w:val="center"/>
          </w:tcPr>
          <w:p w14:paraId="3C7C17A4">
            <w:pPr>
              <w:snapToGrid w:val="0"/>
              <w:spacing w:line="360" w:lineRule="auto"/>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检查情况</w:t>
            </w:r>
          </w:p>
        </w:tc>
        <w:tc>
          <w:tcPr>
            <w:tcW w:w="408" w:type="pct"/>
            <w:tcBorders>
              <w:top w:val="single" w:color="auto" w:sz="4" w:space="0"/>
              <w:left w:val="single" w:color="auto" w:sz="4" w:space="0"/>
              <w:bottom w:val="single" w:color="auto" w:sz="4" w:space="0"/>
              <w:right w:val="single" w:color="auto" w:sz="4" w:space="0"/>
            </w:tcBorders>
            <w:vAlign w:val="center"/>
          </w:tcPr>
          <w:p w14:paraId="4F16204E">
            <w:pPr>
              <w:snapToGrid w:val="0"/>
              <w:spacing w:line="360" w:lineRule="auto"/>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结论</w:t>
            </w:r>
          </w:p>
        </w:tc>
      </w:tr>
      <w:tr w14:paraId="4AED3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op w:val="single" w:color="auto" w:sz="4" w:space="0"/>
              <w:left w:val="single" w:color="auto" w:sz="4" w:space="0"/>
              <w:bottom w:val="single" w:color="auto" w:sz="4" w:space="0"/>
              <w:right w:val="single" w:color="auto" w:sz="4" w:space="0"/>
            </w:tcBorders>
            <w:vAlign w:val="center"/>
          </w:tcPr>
          <w:p w14:paraId="22A3096A">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hint="eastAsia" w:ascii="宋体" w:hAnsi="Times New Roman" w:eastAsia="宋体" w:cs="Times New Roman"/>
                <w:color w:val="000000" w:themeColor="text1"/>
                <w:sz w:val="21"/>
                <w:szCs w:val="21"/>
                <w14:textFill>
                  <w14:solidFill>
                    <w14:schemeClr w14:val="tx1"/>
                  </w14:solidFill>
                </w14:textFill>
              </w:rPr>
              <w:t>1</w:t>
            </w:r>
          </w:p>
        </w:tc>
        <w:tc>
          <w:tcPr>
            <w:tcW w:w="1881" w:type="pct"/>
            <w:tcBorders>
              <w:top w:val="single" w:color="auto" w:sz="4" w:space="0"/>
              <w:left w:val="single" w:color="auto" w:sz="4" w:space="0"/>
              <w:bottom w:val="single" w:color="auto" w:sz="4" w:space="0"/>
              <w:right w:val="single" w:color="auto" w:sz="4" w:space="0"/>
            </w:tcBorders>
            <w:vAlign w:val="center"/>
          </w:tcPr>
          <w:p w14:paraId="4C0D79F0">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ascii="宋体" w:hAnsi="Times New Roman" w:eastAsia="宋体" w:cs="Times New Roman"/>
                <w:color w:val="000000" w:themeColor="text1"/>
                <w:sz w:val="21"/>
                <w:szCs w:val="21"/>
                <w14:textFill>
                  <w14:solidFill>
                    <w14:schemeClr w14:val="tx1"/>
                  </w14:solidFill>
                </w14:textFill>
              </w:rPr>
              <w:t>按照国家标准、行业标准配置消防设施、器材，设置消防安全标志，并定期组织检验、维修，确保完好有效。</w:t>
            </w:r>
          </w:p>
        </w:tc>
        <w:tc>
          <w:tcPr>
            <w:tcW w:w="1167" w:type="pct"/>
            <w:tcBorders>
              <w:top w:val="single" w:color="auto" w:sz="4" w:space="0"/>
              <w:left w:val="single" w:color="auto" w:sz="4" w:space="0"/>
              <w:bottom w:val="single" w:color="auto" w:sz="4" w:space="0"/>
              <w:right w:val="single" w:color="auto" w:sz="4" w:space="0"/>
            </w:tcBorders>
            <w:vAlign w:val="center"/>
          </w:tcPr>
          <w:p w14:paraId="4670E70A">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ascii="宋体" w:hAnsi="Times New Roman" w:eastAsia="宋体" w:cs="Times New Roman"/>
                <w:color w:val="000000" w:themeColor="text1"/>
                <w:sz w:val="21"/>
                <w:szCs w:val="21"/>
                <w14:textFill>
                  <w14:solidFill>
                    <w14:schemeClr w14:val="tx1"/>
                  </w14:solidFill>
                </w14:textFill>
              </w:rPr>
              <w:t>《中华人民共和国消防法》第十六条</w:t>
            </w:r>
            <w:r>
              <w:rPr>
                <w:rFonts w:hint="eastAsia" w:ascii="宋体" w:hAnsi="Times New Roman" w:eastAsia="宋体" w:cs="Times New Roman"/>
                <w:color w:val="000000" w:themeColor="text1"/>
                <w:sz w:val="21"/>
                <w:szCs w:val="21"/>
                <w14:textFill>
                  <w14:solidFill>
                    <w14:schemeClr w14:val="tx1"/>
                  </w14:solidFill>
                </w14:textFill>
              </w:rPr>
              <w:t>（二）</w:t>
            </w:r>
          </w:p>
        </w:tc>
        <w:tc>
          <w:tcPr>
            <w:tcW w:w="1278" w:type="pct"/>
            <w:tcBorders>
              <w:top w:val="single" w:color="auto" w:sz="4" w:space="0"/>
              <w:left w:val="single" w:color="auto" w:sz="4" w:space="0"/>
              <w:bottom w:val="single" w:color="auto" w:sz="4" w:space="0"/>
              <w:right w:val="single" w:color="auto" w:sz="4" w:space="0"/>
            </w:tcBorders>
            <w:vAlign w:val="center"/>
          </w:tcPr>
          <w:p w14:paraId="449CE808">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hint="eastAsia" w:ascii="宋体" w:hAnsi="Times New Roman" w:eastAsia="宋体" w:cs="Times New Roman"/>
                <w:color w:val="000000" w:themeColor="text1"/>
                <w:sz w:val="21"/>
                <w:szCs w:val="21"/>
                <w14:textFill>
                  <w14:solidFill>
                    <w14:schemeClr w14:val="tx1"/>
                  </w14:solidFill>
                </w14:textFill>
              </w:rPr>
              <w:t>企业已在</w:t>
            </w:r>
            <w:r>
              <w:rPr>
                <w:rFonts w:ascii="宋体" w:hAnsi="Times New Roman" w:eastAsia="宋体" w:cs="Times New Roman"/>
                <w:color w:val="000000" w:themeColor="text1"/>
                <w:sz w:val="21"/>
                <w:szCs w:val="21"/>
                <w14:textFill>
                  <w14:solidFill>
                    <w14:schemeClr w14:val="tx1"/>
                  </w14:solidFill>
                </w14:textFill>
              </w:rPr>
              <w:t>办公区</w:t>
            </w:r>
            <w:r>
              <w:rPr>
                <w:rFonts w:hint="eastAsia" w:ascii="宋体" w:hAnsi="Times New Roman" w:eastAsia="宋体" w:cs="Times New Roman"/>
                <w:color w:val="000000" w:themeColor="text1"/>
                <w:sz w:val="21"/>
                <w:szCs w:val="21"/>
                <w14:textFill>
                  <w14:solidFill>
                    <w14:schemeClr w14:val="tx1"/>
                  </w14:solidFill>
                </w14:textFill>
              </w:rPr>
              <w:t>生产区配备了手提式干粉灭火器。</w:t>
            </w:r>
          </w:p>
        </w:tc>
        <w:tc>
          <w:tcPr>
            <w:tcW w:w="408" w:type="pct"/>
            <w:tcBorders>
              <w:top w:val="single" w:color="auto" w:sz="4" w:space="0"/>
              <w:left w:val="single" w:color="auto" w:sz="4" w:space="0"/>
              <w:bottom w:val="single" w:color="auto" w:sz="4" w:space="0"/>
              <w:right w:val="single" w:color="auto" w:sz="4" w:space="0"/>
            </w:tcBorders>
            <w:vAlign w:val="center"/>
          </w:tcPr>
          <w:p w14:paraId="35722D82">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ascii="宋体" w:hAnsi="Times New Roman" w:eastAsia="宋体" w:cs="Times New Roman"/>
                <w:color w:val="000000" w:themeColor="text1"/>
                <w:sz w:val="21"/>
                <w:szCs w:val="21"/>
                <w14:textFill>
                  <w14:solidFill>
                    <w14:schemeClr w14:val="tx1"/>
                  </w14:solidFill>
                </w14:textFill>
              </w:rPr>
              <w:t>符合</w:t>
            </w:r>
          </w:p>
        </w:tc>
      </w:tr>
      <w:tr w14:paraId="3A7A1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op w:val="single" w:color="auto" w:sz="4" w:space="0"/>
              <w:left w:val="single" w:color="auto" w:sz="4" w:space="0"/>
              <w:bottom w:val="single" w:color="auto" w:sz="4" w:space="0"/>
              <w:right w:val="single" w:color="auto" w:sz="4" w:space="0"/>
            </w:tcBorders>
            <w:vAlign w:val="center"/>
          </w:tcPr>
          <w:p w14:paraId="5F5BA1AD">
            <w:pPr>
              <w:snapToGrid w:val="0"/>
              <w:spacing w:line="360" w:lineRule="auto"/>
              <w:jc w:val="center"/>
              <w:rPr>
                <w:rFonts w:hint="eastAsia" w:asciiTheme="minorEastAsia" w:hAnsiTheme="minorEastAsia" w:eastAsia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olor w:val="000000" w:themeColor="text1"/>
                <w:sz w:val="21"/>
                <w:szCs w:val="21"/>
                <w:lang w:val="en-US" w:eastAsia="zh-CN"/>
                <w14:textFill>
                  <w14:solidFill>
                    <w14:schemeClr w14:val="tx1"/>
                  </w14:solidFill>
                </w14:textFill>
              </w:rPr>
              <w:t>2</w:t>
            </w:r>
          </w:p>
        </w:tc>
        <w:tc>
          <w:tcPr>
            <w:tcW w:w="1881" w:type="pct"/>
            <w:tcBorders>
              <w:top w:val="single" w:color="auto" w:sz="4" w:space="0"/>
              <w:left w:val="single" w:color="auto" w:sz="4" w:space="0"/>
              <w:bottom w:val="single" w:color="auto" w:sz="4" w:space="0"/>
              <w:right w:val="single" w:color="auto" w:sz="4" w:space="0"/>
            </w:tcBorders>
            <w:shd w:val="clear" w:color="auto" w:fill="auto"/>
            <w:vAlign w:val="center"/>
          </w:tcPr>
          <w:p w14:paraId="101C37A4">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禁止在具有火灾、爆炸危险的场所吸烟、使用明火。因施工等特殊情况需要使用明火作业的，应当按照规定事先办理审批手续，采取相应的消防安全措施；作业人员应当遵守消防安全规定。</w:t>
            </w:r>
          </w:p>
          <w:p w14:paraId="608FA7A7">
            <w:pPr>
              <w:spacing w:line="240" w:lineRule="auto"/>
              <w:ind w:firstLine="0" w:firstLineChars="0"/>
              <w:rPr>
                <w:rFonts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进行电焊、气焊等具有火灾危险作业的人员和自动消防系统的操作人员，必须持证上岗，并遵守消防安全操作规程。</w:t>
            </w:r>
          </w:p>
        </w:tc>
        <w:tc>
          <w:tcPr>
            <w:tcW w:w="1167" w:type="pct"/>
            <w:tcBorders>
              <w:top w:val="single" w:color="auto" w:sz="4" w:space="0"/>
              <w:left w:val="single" w:color="auto" w:sz="4" w:space="0"/>
              <w:bottom w:val="single" w:color="auto" w:sz="4" w:space="0"/>
              <w:right w:val="single" w:color="auto" w:sz="4" w:space="0"/>
            </w:tcBorders>
            <w:shd w:val="clear" w:color="auto" w:fill="auto"/>
            <w:vAlign w:val="center"/>
          </w:tcPr>
          <w:p w14:paraId="618EA22F">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p>
          <w:p w14:paraId="2AA82EB6">
            <w:pPr>
              <w:spacing w:line="240" w:lineRule="auto"/>
              <w:ind w:firstLine="0" w:firstLineChars="0"/>
              <w:jc w:val="center"/>
              <w:rPr>
                <w:rFonts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第二十一条</w:t>
            </w:r>
          </w:p>
        </w:tc>
        <w:tc>
          <w:tcPr>
            <w:tcW w:w="1278" w:type="pct"/>
            <w:tcBorders>
              <w:top w:val="single" w:color="auto" w:sz="4" w:space="0"/>
              <w:left w:val="single" w:color="auto" w:sz="4" w:space="0"/>
              <w:bottom w:val="single" w:color="auto" w:sz="4" w:space="0"/>
              <w:right w:val="single" w:color="auto" w:sz="4" w:space="0"/>
            </w:tcBorders>
            <w:shd w:val="clear" w:color="auto" w:fill="auto"/>
            <w:vAlign w:val="center"/>
          </w:tcPr>
          <w:p w14:paraId="129B1132">
            <w:pPr>
              <w:spacing w:line="240" w:lineRule="auto"/>
              <w:ind w:firstLine="0" w:firstLineChars="0"/>
              <w:rPr>
                <w:rFonts w:hint="eastAsia"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本项目火灾危险的场所禁止吸烟、使用明火，制定有动火作业管理制度，电焊等具有火灾危险作业的人员持证上岗。</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 xml:space="preserve">电焊工外委 </w:t>
            </w:r>
            <w:r>
              <w:rPr>
                <w:rFonts w:hint="eastAsia"/>
                <w:color w:val="000000" w:themeColor="text1"/>
                <w:sz w:val="21"/>
                <w:szCs w:val="21"/>
                <w:lang w:eastAsia="zh-CN"/>
                <w14:textFill>
                  <w14:solidFill>
                    <w14:schemeClr w14:val="tx1"/>
                  </w14:solidFill>
                </w14:textFill>
              </w:rPr>
              <w:t>）</w:t>
            </w:r>
          </w:p>
        </w:tc>
        <w:tc>
          <w:tcPr>
            <w:tcW w:w="408" w:type="pct"/>
            <w:tcBorders>
              <w:top w:val="single" w:color="auto" w:sz="4" w:space="0"/>
              <w:left w:val="single" w:color="auto" w:sz="4" w:space="0"/>
              <w:bottom w:val="single" w:color="auto" w:sz="4" w:space="0"/>
              <w:right w:val="single" w:color="auto" w:sz="4" w:space="0"/>
            </w:tcBorders>
            <w:shd w:val="clear" w:color="auto" w:fill="auto"/>
            <w:vAlign w:val="center"/>
          </w:tcPr>
          <w:p w14:paraId="6D54EACE">
            <w:pPr>
              <w:spacing w:line="240" w:lineRule="auto"/>
              <w:ind w:firstLine="0" w:firstLineChars="0"/>
              <w:jc w:val="center"/>
              <w:rPr>
                <w:rFonts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符合</w:t>
            </w:r>
          </w:p>
        </w:tc>
      </w:tr>
      <w:tr w14:paraId="28AE6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14:paraId="52049799">
            <w:pPr>
              <w:widowControl/>
              <w:numPr>
                <w:ilvl w:val="0"/>
                <w:numId w:val="0"/>
              </w:numPr>
              <w:spacing w:line="240" w:lineRule="auto"/>
              <w:ind w:leftChars="0"/>
              <w:jc w:val="both"/>
              <w:rPr>
                <w:rFonts w:hint="eastAsia" w:ascii="宋体" w:hAnsi="Times New Roman" w:eastAsia="宋体" w:cs="Times New Roman"/>
                <w:color w:val="000000" w:themeColor="text1"/>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bidi="ar-SA"/>
                <w14:textFill>
                  <w14:solidFill>
                    <w14:schemeClr w14:val="tx1"/>
                  </w14:solidFill>
                </w14:textFill>
              </w:rPr>
              <w:t>3</w:t>
            </w:r>
          </w:p>
        </w:tc>
        <w:tc>
          <w:tcPr>
            <w:tcW w:w="1881" w:type="pct"/>
            <w:tcBorders>
              <w:top w:val="single" w:color="auto" w:sz="4" w:space="0"/>
              <w:left w:val="single" w:color="auto" w:sz="4" w:space="0"/>
              <w:bottom w:val="single" w:color="auto" w:sz="4" w:space="0"/>
              <w:right w:val="single" w:color="auto" w:sz="4" w:space="0"/>
            </w:tcBorders>
            <w:shd w:val="clear" w:color="auto" w:fill="auto"/>
            <w:vAlign w:val="center"/>
          </w:tcPr>
          <w:p w14:paraId="594AA6E8">
            <w:pPr>
              <w:spacing w:line="240" w:lineRule="auto"/>
              <w:ind w:firstLine="0" w:firstLineChars="0"/>
              <w:rPr>
                <w:rFonts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1167" w:type="pct"/>
            <w:tcBorders>
              <w:top w:val="single" w:color="auto" w:sz="4" w:space="0"/>
              <w:left w:val="single" w:color="auto" w:sz="4" w:space="0"/>
              <w:bottom w:val="single" w:color="auto" w:sz="4" w:space="0"/>
              <w:right w:val="single" w:color="auto" w:sz="4" w:space="0"/>
            </w:tcBorders>
            <w:shd w:val="clear" w:color="auto" w:fill="auto"/>
            <w:vAlign w:val="center"/>
          </w:tcPr>
          <w:p w14:paraId="6C6C5EDE">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p>
          <w:p w14:paraId="5E4A0747">
            <w:pPr>
              <w:spacing w:line="240" w:lineRule="auto"/>
              <w:ind w:firstLine="0" w:firstLineChars="0"/>
              <w:jc w:val="center"/>
              <w:rPr>
                <w:rFonts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第二十八条</w:t>
            </w:r>
          </w:p>
        </w:tc>
        <w:tc>
          <w:tcPr>
            <w:tcW w:w="1278" w:type="pct"/>
            <w:tcBorders>
              <w:top w:val="single" w:color="auto" w:sz="4" w:space="0"/>
              <w:left w:val="single" w:color="auto" w:sz="4" w:space="0"/>
              <w:bottom w:val="single" w:color="auto" w:sz="4" w:space="0"/>
              <w:right w:val="single" w:color="auto" w:sz="4" w:space="0"/>
            </w:tcBorders>
            <w:shd w:val="clear" w:color="auto" w:fill="auto"/>
            <w:vAlign w:val="center"/>
          </w:tcPr>
          <w:p w14:paraId="54359C8E">
            <w:pPr>
              <w:spacing w:line="240" w:lineRule="auto"/>
              <w:ind w:firstLine="0" w:firstLineChars="0"/>
              <w:rPr>
                <w:rFonts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企业消防设施、器材完好，疏散通道、安全出口、消防车通道畅通。</w:t>
            </w:r>
          </w:p>
        </w:tc>
        <w:tc>
          <w:tcPr>
            <w:tcW w:w="408" w:type="pct"/>
            <w:tcBorders>
              <w:top w:val="single" w:color="auto" w:sz="4" w:space="0"/>
              <w:left w:val="single" w:color="auto" w:sz="4" w:space="0"/>
              <w:bottom w:val="single" w:color="auto" w:sz="4" w:space="0"/>
              <w:right w:val="single" w:color="auto" w:sz="4" w:space="0"/>
            </w:tcBorders>
            <w:shd w:val="clear" w:color="auto" w:fill="auto"/>
            <w:vAlign w:val="center"/>
          </w:tcPr>
          <w:p w14:paraId="347B390A">
            <w:pPr>
              <w:spacing w:line="240" w:lineRule="auto"/>
              <w:ind w:firstLine="0" w:firstLineChars="0"/>
              <w:jc w:val="center"/>
              <w:rPr>
                <w:rFonts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符合</w:t>
            </w:r>
          </w:p>
        </w:tc>
      </w:tr>
      <w:tr w14:paraId="22F64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op w:val="single" w:color="auto" w:sz="4" w:space="0"/>
              <w:left w:val="single" w:color="auto" w:sz="4" w:space="0"/>
              <w:bottom w:val="single" w:color="auto" w:sz="4" w:space="0"/>
              <w:right w:val="single" w:color="auto" w:sz="4" w:space="0"/>
            </w:tcBorders>
            <w:vAlign w:val="center"/>
          </w:tcPr>
          <w:p w14:paraId="04A910BC">
            <w:pPr>
              <w:spacing w:line="240" w:lineRule="auto"/>
              <w:ind w:firstLine="0" w:firstLineChars="0"/>
              <w:rPr>
                <w:rFonts w:hint="eastAsia" w:ascii="宋体" w:hAnsi="Times New Roman" w:eastAsia="宋体" w:cs="Times New Roman"/>
                <w:color w:val="000000" w:themeColor="text1"/>
                <w:sz w:val="21"/>
                <w:szCs w:val="21"/>
                <w:lang w:eastAsia="zh-CN"/>
                <w14:textFill>
                  <w14:solidFill>
                    <w14:schemeClr w14:val="tx1"/>
                  </w14:solidFill>
                </w14:textFill>
              </w:rPr>
            </w:pPr>
            <w:r>
              <w:rPr>
                <w:rFonts w:hint="eastAsia" w:ascii="宋体" w:hAnsi="Times New Roman" w:eastAsia="宋体" w:cs="Times New Roman"/>
                <w:color w:val="000000" w:themeColor="text1"/>
                <w:sz w:val="21"/>
                <w:szCs w:val="21"/>
                <w:lang w:val="en-US" w:eastAsia="zh-CN"/>
                <w14:textFill>
                  <w14:solidFill>
                    <w14:schemeClr w14:val="tx1"/>
                  </w14:solidFill>
                </w14:textFill>
              </w:rPr>
              <w:t>4</w:t>
            </w:r>
          </w:p>
        </w:tc>
        <w:tc>
          <w:tcPr>
            <w:tcW w:w="1881" w:type="pct"/>
            <w:tcBorders>
              <w:top w:val="single" w:color="auto" w:sz="4" w:space="0"/>
              <w:left w:val="single" w:color="auto" w:sz="4" w:space="0"/>
              <w:bottom w:val="single" w:color="auto" w:sz="4" w:space="0"/>
              <w:right w:val="single" w:color="auto" w:sz="4" w:space="0"/>
            </w:tcBorders>
            <w:vAlign w:val="center"/>
          </w:tcPr>
          <w:p w14:paraId="0027BDA7">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ascii="宋体" w:hAnsi="Times New Roman" w:eastAsia="宋体" w:cs="Times New Roman"/>
                <w:color w:val="000000" w:themeColor="text1"/>
                <w:sz w:val="21"/>
                <w:szCs w:val="21"/>
                <w14:textFill>
                  <w14:solidFill>
                    <w14:schemeClr w14:val="tx1"/>
                  </w14:solidFill>
                </w14:textFill>
              </w:rPr>
              <w:t>灭火器应设置在位置明显和便于取用的地点，且不得影响安全疏散。</w:t>
            </w:r>
          </w:p>
        </w:tc>
        <w:tc>
          <w:tcPr>
            <w:tcW w:w="1167" w:type="pct"/>
            <w:tcBorders>
              <w:top w:val="single" w:color="auto" w:sz="4" w:space="0"/>
              <w:left w:val="single" w:color="auto" w:sz="4" w:space="0"/>
              <w:bottom w:val="single" w:color="auto" w:sz="4" w:space="0"/>
              <w:right w:val="single" w:color="auto" w:sz="4" w:space="0"/>
            </w:tcBorders>
            <w:vAlign w:val="center"/>
          </w:tcPr>
          <w:p w14:paraId="7CC25EAC">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ascii="宋体" w:hAnsi="Times New Roman" w:eastAsia="宋体" w:cs="Times New Roman"/>
                <w:color w:val="000000" w:themeColor="text1"/>
                <w:sz w:val="21"/>
                <w:szCs w:val="21"/>
                <w14:textFill>
                  <w14:solidFill>
                    <w14:schemeClr w14:val="tx1"/>
                  </w14:solidFill>
                </w14:textFill>
              </w:rPr>
              <w:t>《建筑灭火器配置设计规范》（GB50140-2005）</w:t>
            </w:r>
          </w:p>
          <w:p w14:paraId="6CE55DA0">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ascii="宋体" w:hAnsi="Times New Roman" w:eastAsia="宋体" w:cs="Times New Roman"/>
                <w:color w:val="000000" w:themeColor="text1"/>
                <w:sz w:val="21"/>
                <w:szCs w:val="21"/>
                <w14:textFill>
                  <w14:solidFill>
                    <w14:schemeClr w14:val="tx1"/>
                  </w14:solidFill>
                </w14:textFill>
              </w:rPr>
              <w:t>5.1.1</w:t>
            </w:r>
          </w:p>
        </w:tc>
        <w:tc>
          <w:tcPr>
            <w:tcW w:w="1278" w:type="pct"/>
            <w:tcBorders>
              <w:top w:val="single" w:color="auto" w:sz="4" w:space="0"/>
              <w:left w:val="single" w:color="auto" w:sz="4" w:space="0"/>
              <w:bottom w:val="single" w:color="auto" w:sz="4" w:space="0"/>
              <w:right w:val="single" w:color="auto" w:sz="4" w:space="0"/>
            </w:tcBorders>
            <w:vAlign w:val="center"/>
          </w:tcPr>
          <w:p w14:paraId="20D3D449">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ascii="宋体" w:hAnsi="Times New Roman" w:eastAsia="宋体" w:cs="Times New Roman"/>
                <w:color w:val="000000" w:themeColor="text1"/>
                <w:sz w:val="21"/>
                <w:szCs w:val="21"/>
                <w14:textFill>
                  <w14:solidFill>
                    <w14:schemeClr w14:val="tx1"/>
                  </w14:solidFill>
                </w14:textFill>
              </w:rPr>
              <w:t>该项目灭火器设置在明显和便于取用的地点，且不影响安全疏散。</w:t>
            </w:r>
          </w:p>
        </w:tc>
        <w:tc>
          <w:tcPr>
            <w:tcW w:w="408" w:type="pct"/>
            <w:tcBorders>
              <w:top w:val="single" w:color="auto" w:sz="4" w:space="0"/>
              <w:left w:val="single" w:color="auto" w:sz="4" w:space="0"/>
              <w:bottom w:val="single" w:color="auto" w:sz="4" w:space="0"/>
              <w:right w:val="single" w:color="auto" w:sz="4" w:space="0"/>
            </w:tcBorders>
            <w:vAlign w:val="center"/>
          </w:tcPr>
          <w:p w14:paraId="287308C7">
            <w:pPr>
              <w:spacing w:line="240" w:lineRule="auto"/>
              <w:ind w:firstLine="0" w:firstLineChars="0"/>
              <w:rPr>
                <w:rFonts w:ascii="宋体" w:hAnsi="Times New Roman" w:eastAsia="宋体" w:cs="Times New Roman"/>
                <w:color w:val="000000" w:themeColor="text1"/>
                <w:sz w:val="21"/>
                <w:szCs w:val="21"/>
                <w14:textFill>
                  <w14:solidFill>
                    <w14:schemeClr w14:val="tx1"/>
                  </w14:solidFill>
                </w14:textFill>
              </w:rPr>
            </w:pPr>
            <w:r>
              <w:rPr>
                <w:rFonts w:ascii="宋体" w:hAnsi="Times New Roman" w:eastAsia="宋体" w:cs="Times New Roman"/>
                <w:color w:val="000000" w:themeColor="text1"/>
                <w:sz w:val="21"/>
                <w:szCs w:val="21"/>
                <w14:textFill>
                  <w14:solidFill>
                    <w14:schemeClr w14:val="tx1"/>
                  </w14:solidFill>
                </w14:textFill>
              </w:rPr>
              <w:t>符合</w:t>
            </w:r>
          </w:p>
        </w:tc>
      </w:tr>
      <w:tr w14:paraId="27533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op w:val="single" w:color="auto" w:sz="4" w:space="0"/>
              <w:left w:val="single" w:color="auto" w:sz="4" w:space="0"/>
              <w:bottom w:val="single" w:color="auto" w:sz="4" w:space="0"/>
              <w:right w:val="single" w:color="auto" w:sz="4" w:space="0"/>
            </w:tcBorders>
            <w:vAlign w:val="center"/>
          </w:tcPr>
          <w:p w14:paraId="7B614E2C">
            <w:pPr>
              <w:snapToGrid w:val="0"/>
              <w:spacing w:line="360" w:lineRule="auto"/>
              <w:jc w:val="center"/>
              <w:rPr>
                <w:rFonts w:hint="eastAsia" w:ascii="宋体" w:hAnsi="宋体" w:eastAsia="宋体" w:cs="宋体"/>
                <w:color w:val="000000" w:themeColor="text1"/>
                <w:sz w:val="21"/>
                <w:szCs w:val="21"/>
                <w14:textFill>
                  <w14:solidFill>
                    <w14:schemeClr w14:val="tx1"/>
                  </w14:solidFill>
                </w14:textFill>
              </w:rPr>
            </w:pPr>
          </w:p>
          <w:p w14:paraId="1A7BEE75">
            <w:pPr>
              <w:snapToGrid w:val="0"/>
              <w:spacing w:line="360"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1881" w:type="pct"/>
            <w:tcBorders>
              <w:top w:val="single" w:color="auto" w:sz="4" w:space="0"/>
              <w:left w:val="single" w:color="auto" w:sz="4" w:space="0"/>
              <w:bottom w:val="single" w:color="auto" w:sz="4" w:space="0"/>
              <w:right w:val="single" w:color="auto" w:sz="4" w:space="0"/>
            </w:tcBorders>
            <w:shd w:val="clear" w:color="auto" w:fill="auto"/>
            <w:vAlign w:val="center"/>
          </w:tcPr>
          <w:p w14:paraId="652BAC8B">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灭火器的摆放应稳固，其铭牌应朝外。手提式灭火器宜设置在灭火器箱内或挂钩、托架上，其顶部离地面高度不应大于1.50m；底部离地面高度不宜小于0.08m。灭火器箱不得上锁。</w:t>
            </w:r>
          </w:p>
        </w:tc>
        <w:tc>
          <w:tcPr>
            <w:tcW w:w="1167" w:type="pct"/>
            <w:tcBorders>
              <w:top w:val="single" w:color="auto" w:sz="4" w:space="0"/>
              <w:left w:val="single" w:color="auto" w:sz="4" w:space="0"/>
              <w:bottom w:val="single" w:color="auto" w:sz="4" w:space="0"/>
              <w:right w:val="single" w:color="auto" w:sz="4" w:space="0"/>
            </w:tcBorders>
            <w:shd w:val="clear" w:color="auto" w:fill="auto"/>
            <w:vAlign w:val="center"/>
          </w:tcPr>
          <w:p w14:paraId="359B7D06">
            <w:pPr>
              <w:pStyle w:val="162"/>
              <w:widowControl w:val="0"/>
              <w:snapToGrid w:val="0"/>
              <w:spacing w:line="240" w:lineRule="auto"/>
              <w:jc w:val="left"/>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kern w:val="2"/>
                <w:sz w:val="21"/>
                <w:szCs w:val="21"/>
                <w14:textFill>
                  <w14:solidFill>
                    <w14:schemeClr w14:val="tx1"/>
                  </w14:solidFill>
                </w14:textFill>
              </w:rPr>
              <w:t>建筑灭火器配置设计规范</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kern w:val="2"/>
                <w:sz w:val="21"/>
                <w:szCs w:val="21"/>
                <w14:textFill>
                  <w14:solidFill>
                    <w14:schemeClr w14:val="tx1"/>
                  </w14:solidFill>
                </w14:textFill>
              </w:rPr>
              <w:t>GB50140-2005</w:t>
            </w:r>
            <w:r>
              <w:rPr>
                <w:rFonts w:hint="eastAsia" w:ascii="宋体" w:hAnsi="宋体" w:eastAsia="宋体" w:cs="宋体"/>
                <w:color w:val="000000" w:themeColor="text1"/>
                <w:sz w:val="21"/>
                <w:szCs w:val="21"/>
                <w14:textFill>
                  <w14:solidFill>
                    <w14:schemeClr w14:val="tx1"/>
                  </w14:solidFill>
                </w14:textFill>
              </w:rPr>
              <w:t>）</w:t>
            </w:r>
          </w:p>
          <w:p w14:paraId="2C896FA2">
            <w:pPr>
              <w:pStyle w:val="162"/>
              <w:widowControl w:val="0"/>
              <w:snapToGrid w:val="0"/>
              <w:spacing w:line="240" w:lineRule="auto"/>
              <w:jc w:val="lef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第5.1.3条</w:t>
            </w:r>
          </w:p>
        </w:tc>
        <w:tc>
          <w:tcPr>
            <w:tcW w:w="1278" w:type="pct"/>
            <w:tcBorders>
              <w:top w:val="single" w:color="auto" w:sz="4" w:space="0"/>
              <w:left w:val="single" w:color="auto" w:sz="4" w:space="0"/>
              <w:bottom w:val="single" w:color="auto" w:sz="4" w:space="0"/>
              <w:right w:val="single" w:color="auto" w:sz="4" w:space="0"/>
            </w:tcBorders>
            <w:shd w:val="clear" w:color="auto" w:fill="auto"/>
            <w:vAlign w:val="center"/>
          </w:tcPr>
          <w:p w14:paraId="73119E8E">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手提式灭火器宜设置在灭火器箱内</w:t>
            </w:r>
          </w:p>
        </w:tc>
        <w:tc>
          <w:tcPr>
            <w:tcW w:w="408" w:type="pct"/>
            <w:tcBorders>
              <w:top w:val="single" w:color="auto" w:sz="4" w:space="0"/>
              <w:left w:val="single" w:color="auto" w:sz="4" w:space="0"/>
              <w:bottom w:val="single" w:color="auto" w:sz="4" w:space="0"/>
              <w:right w:val="single" w:color="auto" w:sz="4" w:space="0"/>
            </w:tcBorders>
            <w:shd w:val="clear" w:color="auto" w:fill="auto"/>
            <w:vAlign w:val="center"/>
          </w:tcPr>
          <w:p w14:paraId="6156B13D">
            <w:pPr>
              <w:pStyle w:val="162"/>
              <w:widowControl w:val="0"/>
              <w:snapToGrid w:val="0"/>
              <w:spacing w:line="240" w:lineRule="auto"/>
              <w:jc w:val="lef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71F11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op w:val="single" w:color="auto" w:sz="4" w:space="0"/>
              <w:left w:val="single" w:color="auto" w:sz="4" w:space="0"/>
              <w:bottom w:val="single" w:color="auto" w:sz="4" w:space="0"/>
              <w:right w:val="single" w:color="auto" w:sz="4" w:space="0"/>
            </w:tcBorders>
            <w:vAlign w:val="center"/>
          </w:tcPr>
          <w:p w14:paraId="21128793">
            <w:pPr>
              <w:snapToGrid w:val="0"/>
              <w:spacing w:line="360"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881" w:type="pct"/>
            <w:tcBorders>
              <w:top w:val="single" w:color="auto" w:sz="4" w:space="0"/>
              <w:left w:val="single" w:color="auto" w:sz="4" w:space="0"/>
              <w:bottom w:val="single" w:color="auto" w:sz="4" w:space="0"/>
              <w:right w:val="single" w:color="auto" w:sz="4" w:space="0"/>
            </w:tcBorders>
            <w:shd w:val="clear" w:color="auto" w:fill="auto"/>
            <w:vAlign w:val="center"/>
          </w:tcPr>
          <w:p w14:paraId="61644A32">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灭火器不得设置在超出其使用温度范围的地点。</w:t>
            </w:r>
          </w:p>
        </w:tc>
        <w:tc>
          <w:tcPr>
            <w:tcW w:w="1167" w:type="pct"/>
            <w:tcBorders>
              <w:top w:val="single" w:color="auto" w:sz="4" w:space="0"/>
              <w:left w:val="single" w:color="auto" w:sz="4" w:space="0"/>
              <w:bottom w:val="single" w:color="auto" w:sz="4" w:space="0"/>
              <w:right w:val="single" w:color="auto" w:sz="4" w:space="0"/>
            </w:tcBorders>
            <w:shd w:val="clear" w:color="auto" w:fill="auto"/>
            <w:vAlign w:val="center"/>
          </w:tcPr>
          <w:p w14:paraId="006DCE37">
            <w:pPr>
              <w:pStyle w:val="162"/>
              <w:widowControl w:val="0"/>
              <w:snapToGrid w:val="0"/>
              <w:spacing w:line="240" w:lineRule="auto"/>
              <w:jc w:val="left"/>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kern w:val="2"/>
                <w:sz w:val="21"/>
                <w:szCs w:val="21"/>
                <w14:textFill>
                  <w14:solidFill>
                    <w14:schemeClr w14:val="tx1"/>
                  </w14:solidFill>
                </w14:textFill>
              </w:rPr>
              <w:t>建筑灭火器配置设计规范</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kern w:val="2"/>
                <w:sz w:val="21"/>
                <w:szCs w:val="21"/>
                <w14:textFill>
                  <w14:solidFill>
                    <w14:schemeClr w14:val="tx1"/>
                  </w14:solidFill>
                </w14:textFill>
              </w:rPr>
              <w:t>GB50140-2005</w:t>
            </w:r>
            <w:r>
              <w:rPr>
                <w:rFonts w:hint="eastAsia" w:ascii="宋体" w:hAnsi="宋体" w:eastAsia="宋体" w:cs="宋体"/>
                <w:color w:val="000000" w:themeColor="text1"/>
                <w:sz w:val="21"/>
                <w:szCs w:val="21"/>
                <w14:textFill>
                  <w14:solidFill>
                    <w14:schemeClr w14:val="tx1"/>
                  </w14:solidFill>
                </w14:textFill>
              </w:rPr>
              <w:t>）</w:t>
            </w:r>
          </w:p>
          <w:p w14:paraId="44C03D3A">
            <w:pPr>
              <w:pStyle w:val="162"/>
              <w:widowControl w:val="0"/>
              <w:snapToGrid w:val="0"/>
              <w:spacing w:line="240" w:lineRule="auto"/>
              <w:jc w:val="lef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5.1.5</w:t>
            </w:r>
            <w:r>
              <w:rPr>
                <w:rFonts w:hint="eastAsia" w:ascii="宋体" w:hAnsi="宋体" w:eastAsia="宋体" w:cs="宋体"/>
                <w:color w:val="000000" w:themeColor="text1"/>
                <w:kern w:val="2"/>
                <w:sz w:val="21"/>
                <w:szCs w:val="21"/>
                <w14:textFill>
                  <w14:solidFill>
                    <w14:schemeClr w14:val="tx1"/>
                  </w14:solidFill>
                </w14:textFill>
              </w:rPr>
              <w:t>条</w:t>
            </w:r>
          </w:p>
        </w:tc>
        <w:tc>
          <w:tcPr>
            <w:tcW w:w="1278" w:type="pct"/>
            <w:tcBorders>
              <w:top w:val="single" w:color="auto" w:sz="4" w:space="0"/>
              <w:left w:val="single" w:color="auto" w:sz="4" w:space="0"/>
              <w:bottom w:val="single" w:color="auto" w:sz="4" w:space="0"/>
              <w:right w:val="single" w:color="auto" w:sz="4" w:space="0"/>
            </w:tcBorders>
            <w:shd w:val="clear" w:color="auto" w:fill="auto"/>
            <w:vAlign w:val="center"/>
          </w:tcPr>
          <w:p w14:paraId="1FB12EFB">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灭火器没有设置在超出使用温度范围的地点。</w:t>
            </w:r>
          </w:p>
        </w:tc>
        <w:tc>
          <w:tcPr>
            <w:tcW w:w="408" w:type="pct"/>
            <w:tcBorders>
              <w:top w:val="single" w:color="auto" w:sz="4" w:space="0"/>
              <w:left w:val="single" w:color="auto" w:sz="4" w:space="0"/>
              <w:bottom w:val="single" w:color="auto" w:sz="4" w:space="0"/>
              <w:right w:val="single" w:color="auto" w:sz="4" w:space="0"/>
            </w:tcBorders>
            <w:shd w:val="clear" w:color="auto" w:fill="auto"/>
            <w:vAlign w:val="center"/>
          </w:tcPr>
          <w:p w14:paraId="7A9AD261">
            <w:pPr>
              <w:pStyle w:val="162"/>
              <w:widowControl w:val="0"/>
              <w:snapToGrid w:val="0"/>
              <w:spacing w:line="240" w:lineRule="auto"/>
              <w:jc w:val="lef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5D5BD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op w:val="single" w:color="auto" w:sz="4" w:space="0"/>
              <w:left w:val="single" w:color="auto" w:sz="4" w:space="0"/>
              <w:bottom w:val="single" w:color="auto" w:sz="4" w:space="0"/>
              <w:right w:val="single" w:color="auto" w:sz="4" w:space="0"/>
            </w:tcBorders>
            <w:vAlign w:val="center"/>
          </w:tcPr>
          <w:p w14:paraId="70271D80">
            <w:pPr>
              <w:snapToGrid w:val="0"/>
              <w:spacing w:line="360"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1881" w:type="pct"/>
            <w:tcBorders>
              <w:top w:val="single" w:color="auto" w:sz="4" w:space="0"/>
              <w:left w:val="single" w:color="auto" w:sz="4" w:space="0"/>
              <w:bottom w:val="single" w:color="auto" w:sz="4" w:space="0"/>
              <w:right w:val="single" w:color="auto" w:sz="4" w:space="0"/>
            </w:tcBorders>
            <w:shd w:val="clear" w:color="auto" w:fill="auto"/>
            <w:vAlign w:val="center"/>
          </w:tcPr>
          <w:p w14:paraId="0118B011">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一个计算单元内的灭火器数量不应少于2具。</w:t>
            </w:r>
          </w:p>
        </w:tc>
        <w:tc>
          <w:tcPr>
            <w:tcW w:w="1167" w:type="pct"/>
            <w:tcBorders>
              <w:top w:val="single" w:color="auto" w:sz="4" w:space="0"/>
              <w:left w:val="single" w:color="auto" w:sz="4" w:space="0"/>
              <w:bottom w:val="single" w:color="auto" w:sz="4" w:space="0"/>
              <w:right w:val="single" w:color="auto" w:sz="4" w:space="0"/>
            </w:tcBorders>
            <w:shd w:val="clear" w:color="auto" w:fill="auto"/>
            <w:vAlign w:val="center"/>
          </w:tcPr>
          <w:p w14:paraId="5E26072A">
            <w:pPr>
              <w:pStyle w:val="162"/>
              <w:widowControl w:val="0"/>
              <w:snapToGrid w:val="0"/>
              <w:spacing w:line="240" w:lineRule="auto"/>
              <w:jc w:val="left"/>
              <w:textAlignment w:val="auto"/>
              <w:rPr>
                <w:rFonts w:hint="eastAsia" w:ascii="宋体" w:hAnsi="宋体" w:eastAsia="宋体" w:cs="宋体"/>
                <w:color w:val="000000" w:themeColor="text1"/>
                <w:kern w:val="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kern w:val="2"/>
                <w:sz w:val="21"/>
                <w:szCs w:val="21"/>
                <w14:textFill>
                  <w14:solidFill>
                    <w14:schemeClr w14:val="tx1"/>
                  </w14:solidFill>
                </w14:textFill>
              </w:rPr>
              <w:t>建筑灭火器配置设计规范</w:t>
            </w:r>
            <w:r>
              <w:rPr>
                <w:rFonts w:hint="eastAsia" w:ascii="宋体" w:hAnsi="宋体" w:eastAsia="宋体" w:cs="宋体"/>
                <w:color w:val="000000" w:themeColor="text1"/>
                <w:sz w:val="21"/>
                <w:szCs w:val="21"/>
                <w14:textFill>
                  <w14:solidFill>
                    <w14:schemeClr w14:val="tx1"/>
                  </w14:solidFill>
                </w14:textFill>
              </w:rPr>
              <w:t>》（</w:t>
            </w:r>
            <w:r>
              <w:rPr>
                <w:rFonts w:hint="eastAsia" w:ascii="宋体" w:hAnsi="宋体" w:eastAsia="宋体" w:cs="宋体"/>
                <w:color w:val="000000" w:themeColor="text1"/>
                <w:kern w:val="2"/>
                <w:sz w:val="21"/>
                <w:szCs w:val="21"/>
                <w14:textFill>
                  <w14:solidFill>
                    <w14:schemeClr w14:val="tx1"/>
                  </w14:solidFill>
                </w14:textFill>
              </w:rPr>
              <w:t>GB50140-2005</w:t>
            </w:r>
            <w:r>
              <w:rPr>
                <w:rFonts w:hint="eastAsia" w:ascii="宋体" w:hAnsi="宋体" w:eastAsia="宋体" w:cs="宋体"/>
                <w:color w:val="000000" w:themeColor="text1"/>
                <w:sz w:val="21"/>
                <w:szCs w:val="21"/>
                <w14:textFill>
                  <w14:solidFill>
                    <w14:schemeClr w14:val="tx1"/>
                  </w14:solidFill>
                </w14:textFill>
              </w:rPr>
              <w:t>）</w:t>
            </w:r>
          </w:p>
          <w:p w14:paraId="6FDBBA46">
            <w:pPr>
              <w:pStyle w:val="162"/>
              <w:widowControl w:val="0"/>
              <w:snapToGrid w:val="0"/>
              <w:spacing w:line="240" w:lineRule="auto"/>
              <w:jc w:val="lef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第</w:t>
            </w:r>
            <w:r>
              <w:rPr>
                <w:rFonts w:hint="eastAsia" w:ascii="宋体" w:hAnsi="宋体" w:eastAsia="宋体" w:cs="宋体"/>
                <w:color w:val="000000" w:themeColor="text1"/>
                <w:sz w:val="21"/>
                <w:szCs w:val="21"/>
                <w14:textFill>
                  <w14:solidFill>
                    <w14:schemeClr w14:val="tx1"/>
                  </w14:solidFill>
                </w14:textFill>
              </w:rPr>
              <w:t>6.1.1</w:t>
            </w:r>
            <w:r>
              <w:rPr>
                <w:rFonts w:hint="eastAsia" w:ascii="宋体" w:hAnsi="宋体" w:eastAsia="宋体" w:cs="宋体"/>
                <w:color w:val="000000" w:themeColor="text1"/>
                <w:kern w:val="2"/>
                <w:sz w:val="21"/>
                <w:szCs w:val="21"/>
                <w14:textFill>
                  <w14:solidFill>
                    <w14:schemeClr w14:val="tx1"/>
                  </w14:solidFill>
                </w14:textFill>
              </w:rPr>
              <w:t>条</w:t>
            </w:r>
          </w:p>
        </w:tc>
        <w:tc>
          <w:tcPr>
            <w:tcW w:w="1278" w:type="pct"/>
            <w:tcBorders>
              <w:top w:val="single" w:color="auto" w:sz="4" w:space="0"/>
              <w:left w:val="single" w:color="auto" w:sz="4" w:space="0"/>
              <w:bottom w:val="single" w:color="auto" w:sz="4" w:space="0"/>
              <w:right w:val="single" w:color="auto" w:sz="4" w:space="0"/>
            </w:tcBorders>
            <w:shd w:val="clear" w:color="auto" w:fill="auto"/>
            <w:vAlign w:val="center"/>
          </w:tcPr>
          <w:p w14:paraId="44D23F85">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手提式干粉灭火器，厂区内摆放灭火器符合要求。</w:t>
            </w:r>
          </w:p>
        </w:tc>
        <w:tc>
          <w:tcPr>
            <w:tcW w:w="408" w:type="pct"/>
            <w:tcBorders>
              <w:top w:val="single" w:color="auto" w:sz="4" w:space="0"/>
              <w:left w:val="single" w:color="auto" w:sz="4" w:space="0"/>
              <w:bottom w:val="single" w:color="auto" w:sz="4" w:space="0"/>
              <w:right w:val="single" w:color="auto" w:sz="4" w:space="0"/>
            </w:tcBorders>
            <w:shd w:val="clear" w:color="auto" w:fill="auto"/>
            <w:vAlign w:val="center"/>
          </w:tcPr>
          <w:p w14:paraId="5D8E3FA7">
            <w:pPr>
              <w:pStyle w:val="162"/>
              <w:widowControl w:val="0"/>
              <w:snapToGrid w:val="0"/>
              <w:spacing w:line="240" w:lineRule="auto"/>
              <w:jc w:val="left"/>
              <w:textAlignment w:val="auto"/>
              <w:rPr>
                <w:rFonts w:hint="eastAsia" w:ascii="宋体" w:hAnsi="宋体" w:eastAsia="宋体" w:cs="宋体"/>
                <w:color w:val="000000" w:themeColor="text1"/>
                <w:kern w:val="2"/>
                <w:sz w:val="21"/>
                <w:szCs w:val="21"/>
                <w:highlight w:val="red"/>
                <w:lang w:val="en-US" w:eastAsia="zh-CN" w:bidi="ar-SA"/>
                <w14:textFill>
                  <w14:solidFill>
                    <w14:schemeClr w14:val="tx1"/>
                  </w14:solidFill>
                </w14:textFill>
              </w:rPr>
            </w:pPr>
            <w:r>
              <w:rPr>
                <w:rFonts w:hint="eastAsia" w:ascii="宋体" w:hAnsi="宋体" w:eastAsia="宋体" w:cs="宋体"/>
                <w:color w:val="000000" w:themeColor="text1"/>
                <w:kern w:val="2"/>
                <w:sz w:val="21"/>
                <w:szCs w:val="21"/>
                <w14:textFill>
                  <w14:solidFill>
                    <w14:schemeClr w14:val="tx1"/>
                  </w14:solidFill>
                </w14:textFill>
              </w:rPr>
              <w:t>符合</w:t>
            </w:r>
          </w:p>
        </w:tc>
      </w:tr>
      <w:tr w14:paraId="4E392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op w:val="single" w:color="auto" w:sz="4" w:space="0"/>
              <w:left w:val="single" w:color="auto" w:sz="4" w:space="0"/>
              <w:bottom w:val="single" w:color="auto" w:sz="4" w:space="0"/>
              <w:right w:val="single" w:color="auto" w:sz="4" w:space="0"/>
            </w:tcBorders>
            <w:vAlign w:val="center"/>
          </w:tcPr>
          <w:p w14:paraId="3837A6D7">
            <w:pPr>
              <w:snapToGrid w:val="0"/>
              <w:spacing w:line="360"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1881" w:type="pct"/>
            <w:tcBorders>
              <w:top w:val="single" w:color="auto" w:sz="4" w:space="0"/>
              <w:left w:val="single" w:color="auto" w:sz="4" w:space="0"/>
              <w:bottom w:val="single" w:color="auto" w:sz="4" w:space="0"/>
              <w:right w:val="single" w:color="auto" w:sz="4" w:space="0"/>
            </w:tcBorders>
            <w:shd w:val="clear" w:color="auto" w:fill="auto"/>
            <w:vAlign w:val="center"/>
          </w:tcPr>
          <w:p w14:paraId="4467183C">
            <w:pPr>
              <w:spacing w:line="240" w:lineRule="auto"/>
              <w:ind w:firstLine="0" w:firstLineChars="0"/>
              <w:rPr>
                <w:rFonts w:hint="eastAsia"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厂房、仓库、储罐（区）和堆场应设置灭火器。</w:t>
            </w:r>
          </w:p>
        </w:tc>
        <w:tc>
          <w:tcPr>
            <w:tcW w:w="1167" w:type="pct"/>
            <w:tcBorders>
              <w:top w:val="single" w:color="auto" w:sz="4" w:space="0"/>
              <w:left w:val="single" w:color="auto" w:sz="4" w:space="0"/>
              <w:bottom w:val="single" w:color="auto" w:sz="4" w:space="0"/>
              <w:right w:val="single" w:color="auto" w:sz="4" w:space="0"/>
            </w:tcBorders>
            <w:shd w:val="clear" w:color="auto" w:fill="auto"/>
            <w:vAlign w:val="center"/>
          </w:tcPr>
          <w:p w14:paraId="6093E33F">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《建筑设计防火规范（2018年版）》（GB50016-2014）</w:t>
            </w:r>
          </w:p>
          <w:p w14:paraId="1600E22F">
            <w:pPr>
              <w:tabs>
                <w:tab w:val="left" w:pos="2898"/>
              </w:tabs>
              <w:spacing w:line="240" w:lineRule="auto"/>
              <w:ind w:firstLine="0" w:firstLineChars="0"/>
              <w:jc w:val="center"/>
              <w:rPr>
                <w:rFonts w:hint="eastAsia"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8.1.9</w:t>
            </w:r>
          </w:p>
        </w:tc>
        <w:tc>
          <w:tcPr>
            <w:tcW w:w="1278" w:type="pct"/>
            <w:tcBorders>
              <w:top w:val="single" w:color="auto" w:sz="4" w:space="0"/>
              <w:left w:val="single" w:color="auto" w:sz="4" w:space="0"/>
              <w:bottom w:val="single" w:color="auto" w:sz="4" w:space="0"/>
              <w:right w:val="single" w:color="auto" w:sz="4" w:space="0"/>
            </w:tcBorders>
            <w:shd w:val="clear" w:color="auto" w:fill="auto"/>
            <w:vAlign w:val="center"/>
          </w:tcPr>
          <w:p w14:paraId="38CC44B4">
            <w:pPr>
              <w:spacing w:line="240" w:lineRule="auto"/>
              <w:ind w:firstLine="0" w:firstLineChars="0"/>
              <w:rPr>
                <w:rFonts w:hint="eastAsia"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本项目</w:t>
            </w:r>
            <w:r>
              <w:rPr>
                <w:rFonts w:hint="eastAsia"/>
                <w:color w:val="000000" w:themeColor="text1"/>
                <w:sz w:val="21"/>
                <w:szCs w:val="21"/>
                <w:lang w:val="en-US" w:eastAsia="zh-CN"/>
                <w14:textFill>
                  <w14:solidFill>
                    <w14:schemeClr w14:val="tx1"/>
                  </w14:solidFill>
                </w14:textFill>
              </w:rPr>
              <w:t>厂房</w:t>
            </w:r>
            <w:r>
              <w:rPr>
                <w:color w:val="000000" w:themeColor="text1"/>
                <w:sz w:val="21"/>
                <w:szCs w:val="21"/>
                <w14:textFill>
                  <w14:solidFill>
                    <w14:schemeClr w14:val="tx1"/>
                  </w14:solidFill>
                </w14:textFill>
              </w:rPr>
              <w:t>设置了灭火器。</w:t>
            </w:r>
          </w:p>
        </w:tc>
        <w:tc>
          <w:tcPr>
            <w:tcW w:w="408" w:type="pct"/>
            <w:tcBorders>
              <w:top w:val="single" w:color="auto" w:sz="4" w:space="0"/>
              <w:left w:val="single" w:color="auto" w:sz="4" w:space="0"/>
              <w:bottom w:val="single" w:color="auto" w:sz="4" w:space="0"/>
              <w:right w:val="single" w:color="auto" w:sz="4" w:space="0"/>
            </w:tcBorders>
            <w:shd w:val="clear" w:color="auto" w:fill="auto"/>
            <w:vAlign w:val="center"/>
          </w:tcPr>
          <w:p w14:paraId="24237B5C">
            <w:pPr>
              <w:spacing w:line="240" w:lineRule="auto"/>
              <w:ind w:firstLine="0" w:firstLineChars="0"/>
              <w:jc w:val="center"/>
              <w:rPr>
                <w:rFonts w:hint="eastAsia" w:ascii="宋体" w:hAnsi="Times New Roman" w:eastAsia="宋体" w:cs="Times New Roman"/>
                <w:color w:val="000000" w:themeColor="text1"/>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符合</w:t>
            </w:r>
          </w:p>
        </w:tc>
      </w:tr>
      <w:tr w14:paraId="0F9E1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op w:val="single" w:color="auto" w:sz="4" w:space="0"/>
              <w:left w:val="single" w:color="auto" w:sz="4" w:space="0"/>
              <w:bottom w:val="single" w:color="auto" w:sz="4" w:space="0"/>
              <w:right w:val="single" w:color="auto" w:sz="4" w:space="0"/>
            </w:tcBorders>
            <w:shd w:val="clear" w:color="auto" w:fill="auto"/>
            <w:vAlign w:val="center"/>
          </w:tcPr>
          <w:p w14:paraId="4FDB464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FF"/>
                <w:sz w:val="21"/>
                <w:szCs w:val="21"/>
                <w:lang w:val="en-US" w:eastAsia="zh-CN"/>
              </w:rPr>
              <w:t>9</w:t>
            </w:r>
          </w:p>
        </w:tc>
        <w:tc>
          <w:tcPr>
            <w:tcW w:w="1881" w:type="pct"/>
            <w:tcBorders>
              <w:top w:val="single" w:color="auto" w:sz="4" w:space="0"/>
              <w:left w:val="single" w:color="auto" w:sz="4" w:space="0"/>
              <w:bottom w:val="single" w:color="auto" w:sz="4" w:space="0"/>
              <w:right w:val="single" w:color="auto" w:sz="4" w:space="0"/>
            </w:tcBorders>
            <w:shd w:val="clear" w:color="auto" w:fill="auto"/>
            <w:vAlign w:val="center"/>
          </w:tcPr>
          <w:p w14:paraId="449EA2FC">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themeColor="text1"/>
                <w:sz w:val="21"/>
                <w:szCs w:val="21"/>
                <w14:textFill>
                  <w14:solidFill>
                    <w14:schemeClr w14:val="tx1"/>
                  </w14:solidFill>
                </w14:textFill>
              </w:rPr>
              <w:t>在主要生产区域设有室内消火栓、室外消火栓及消防管网。</w:t>
            </w:r>
          </w:p>
        </w:tc>
        <w:tc>
          <w:tcPr>
            <w:tcW w:w="1167" w:type="pct"/>
            <w:tcBorders>
              <w:top w:val="single" w:color="auto" w:sz="4" w:space="0"/>
              <w:left w:val="single" w:color="auto" w:sz="4" w:space="0"/>
              <w:bottom w:val="single" w:color="auto" w:sz="4" w:space="0"/>
              <w:right w:val="single" w:color="auto" w:sz="4" w:space="0"/>
            </w:tcBorders>
            <w:shd w:val="clear" w:color="auto" w:fill="auto"/>
            <w:vAlign w:val="center"/>
          </w:tcPr>
          <w:p w14:paraId="798BD636">
            <w:pPr>
              <w:pStyle w:val="18"/>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《建筑设计防火规范（2018年版）》（GB 50016-2014）</w:t>
            </w:r>
            <w:r>
              <w:rPr>
                <w:rFonts w:hint="eastAsia" w:hAnsi="宋体" w:cs="宋体"/>
                <w:color w:val="000000" w:themeColor="text1"/>
                <w:sz w:val="21"/>
                <w:szCs w:val="21"/>
                <w14:textFill>
                  <w14:solidFill>
                    <w14:schemeClr w14:val="tx1"/>
                  </w14:solidFill>
                </w14:textFill>
              </w:rPr>
              <w:t>8.1.6</w:t>
            </w:r>
          </w:p>
        </w:tc>
        <w:tc>
          <w:tcPr>
            <w:tcW w:w="1278" w:type="pct"/>
            <w:tcBorders>
              <w:top w:val="single" w:color="auto" w:sz="4" w:space="0"/>
              <w:left w:val="single" w:color="auto" w:sz="4" w:space="0"/>
              <w:bottom w:val="single" w:color="auto" w:sz="4" w:space="0"/>
              <w:right w:val="single" w:color="auto" w:sz="4" w:space="0"/>
            </w:tcBorders>
            <w:shd w:val="clear" w:color="auto" w:fill="auto"/>
            <w:vAlign w:val="center"/>
          </w:tcPr>
          <w:p w14:paraId="1C857350">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themeColor="text1"/>
                <w:sz w:val="21"/>
                <w:szCs w:val="21"/>
                <w14:textFill>
                  <w14:solidFill>
                    <w14:schemeClr w14:val="tx1"/>
                  </w14:solidFill>
                </w14:textFill>
              </w:rPr>
              <w:t>该厂消防用水</w:t>
            </w:r>
            <w:r>
              <w:rPr>
                <w:rFonts w:hint="eastAsia" w:hAnsi="宋体" w:cs="宋体"/>
                <w:color w:val="000000" w:themeColor="text1"/>
                <w:sz w:val="21"/>
                <w:szCs w:val="21"/>
                <w:lang w:val="en-US" w:eastAsia="zh-CN"/>
                <w14:textFill>
                  <w14:solidFill>
                    <w14:schemeClr w14:val="tx1"/>
                  </w14:solidFill>
                </w14:textFill>
              </w:rPr>
              <w:t>来自消防管网。</w:t>
            </w:r>
          </w:p>
        </w:tc>
        <w:tc>
          <w:tcPr>
            <w:tcW w:w="408" w:type="pct"/>
            <w:tcBorders>
              <w:top w:val="single" w:color="auto" w:sz="4" w:space="0"/>
              <w:left w:val="single" w:color="auto" w:sz="4" w:space="0"/>
              <w:bottom w:val="single" w:color="auto" w:sz="4" w:space="0"/>
              <w:right w:val="single" w:color="auto" w:sz="4" w:space="0"/>
            </w:tcBorders>
            <w:shd w:val="clear" w:color="auto" w:fill="auto"/>
            <w:vAlign w:val="center"/>
          </w:tcPr>
          <w:p w14:paraId="4B980CD5">
            <w:pPr>
              <w:keepNext w:val="0"/>
              <w:keepLines w:val="0"/>
              <w:pageBreakBefore w:val="0"/>
              <w:widowControl w:val="0"/>
              <w:kinsoku/>
              <w:wordWrap/>
              <w:overflowPunct/>
              <w:topLinePunct w:val="0"/>
              <w:autoSpaceDE/>
              <w:autoSpaceDN/>
              <w:bidi w:val="0"/>
              <w:adjustRightInd/>
              <w:snapToGrid/>
              <w:spacing w:line="300" w:lineRule="exact"/>
              <w:ind w:left="-89" w:leftChars="-37" w:right="-108" w:rightChars="-45"/>
              <w:jc w:val="center"/>
              <w:textAlignment w:val="auto"/>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hAnsi="宋体" w:cs="宋体"/>
                <w:color w:val="000000" w:themeColor="text1"/>
                <w:sz w:val="21"/>
                <w:szCs w:val="21"/>
                <w14:textFill>
                  <w14:solidFill>
                    <w14:schemeClr w14:val="tx1"/>
                  </w14:solidFill>
                </w14:textFill>
              </w:rPr>
              <w:t>符合</w:t>
            </w:r>
          </w:p>
        </w:tc>
      </w:tr>
      <w:bookmarkEnd w:id="681"/>
    </w:tbl>
    <w:p w14:paraId="1C01B5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由上述安全检查表的结果可知，本项目的供</w:t>
      </w:r>
      <w:r>
        <w:rPr>
          <w:rFonts w:hint="eastAsia" w:ascii="宋体" w:hAnsi="宋体" w:eastAsia="宋体" w:cs="宋体"/>
          <w:color w:val="000000" w:themeColor="text1"/>
          <w:sz w:val="28"/>
          <w:szCs w:val="28"/>
          <w:lang w:val="en-US" w:eastAsia="zh-CN"/>
          <w14:textFill>
            <w14:solidFill>
              <w14:schemeClr w14:val="tx1"/>
            </w14:solidFill>
          </w14:textFill>
        </w:rPr>
        <w:t>消防</w:t>
      </w:r>
      <w:r>
        <w:rPr>
          <w:rFonts w:hint="eastAsia" w:ascii="宋体" w:hAnsi="宋体" w:eastAsia="宋体" w:cs="宋体"/>
          <w:color w:val="000000" w:themeColor="text1"/>
          <w:sz w:val="28"/>
          <w:szCs w:val="28"/>
          <w14:textFill>
            <w14:solidFill>
              <w14:schemeClr w14:val="tx1"/>
            </w14:solidFill>
          </w14:textFill>
        </w:rPr>
        <w:t>系统符合《中华人民共和国消防法》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《建筑防火通用规范》（GB55037-2022）</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建筑设计防火规范（2018年版）》（GB50016-2014）</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建筑灭火器配置设计规范》（GB50140-2005）等标准规范的要求。</w:t>
      </w:r>
    </w:p>
    <w:p w14:paraId="43E21F97">
      <w:pPr>
        <w:pStyle w:val="5"/>
        <w:spacing w:line="360" w:lineRule="auto"/>
        <w:rPr>
          <w:rFonts w:ascii="Times New Roman" w:hAnsi="Times New Roman"/>
          <w:color w:val="000000" w:themeColor="text1"/>
          <w14:textFill>
            <w14:solidFill>
              <w14:schemeClr w14:val="tx1"/>
            </w14:solidFill>
          </w14:textFill>
        </w:rPr>
      </w:pPr>
      <w:bookmarkStart w:id="685" w:name="_Toc32504"/>
      <w:bookmarkStart w:id="686" w:name="_Toc1166"/>
      <w:r>
        <w:rPr>
          <w:rFonts w:ascii="Times New Roman" w:hAnsi="Times New Roman"/>
          <w:color w:val="000000" w:themeColor="text1"/>
          <w14:textFill>
            <w14:solidFill>
              <w14:schemeClr w14:val="tx1"/>
            </w14:solidFill>
          </w14:textFill>
        </w:rPr>
        <w:t>5.</w:t>
      </w:r>
      <w:r>
        <w:rPr>
          <w:rFonts w:hint="eastAsia" w:ascii="Times New Roman" w:hAnsi="Times New Roman"/>
          <w:color w:val="000000" w:themeColor="text1"/>
          <w:lang w:val="en-US" w:eastAsia="zh-CN"/>
          <w14:textFill>
            <w14:solidFill>
              <w14:schemeClr w14:val="tx1"/>
            </w14:solidFill>
          </w14:textFill>
        </w:rPr>
        <w:t>4</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4</w:t>
      </w:r>
      <w:r>
        <w:rPr>
          <w:rFonts w:hint="eastAsia" w:ascii="Times New Roman" w:hAnsi="Times New Roman"/>
          <w:color w:val="000000" w:themeColor="text1"/>
          <w14:textFill>
            <w14:solidFill>
              <w14:schemeClr w14:val="tx1"/>
            </w14:solidFill>
          </w14:textFill>
        </w:rPr>
        <w:t>单元</w:t>
      </w:r>
      <w:r>
        <w:rPr>
          <w:rFonts w:ascii="Times New Roman" w:hAnsi="Times New Roman"/>
          <w:color w:val="000000" w:themeColor="text1"/>
          <w14:textFill>
            <w14:solidFill>
              <w14:schemeClr w14:val="tx1"/>
            </w14:solidFill>
          </w14:textFill>
        </w:rPr>
        <w:t>小结</w:t>
      </w:r>
      <w:bookmarkEnd w:id="682"/>
      <w:bookmarkEnd w:id="683"/>
      <w:bookmarkEnd w:id="684"/>
      <w:bookmarkEnd w:id="685"/>
      <w:bookmarkEnd w:id="686"/>
    </w:p>
    <w:p w14:paraId="171A90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14:textFill>
            <w14:solidFill>
              <w14:schemeClr w14:val="tx1"/>
            </w14:solidFill>
          </w14:textFill>
        </w:rPr>
        <w:t>本项目</w:t>
      </w:r>
      <w:r>
        <w:rPr>
          <w:rFonts w:hint="eastAsia"/>
          <w:color w:val="000000" w:themeColor="text1"/>
          <w:sz w:val="28"/>
          <w:szCs w:val="28"/>
          <w:lang w:val="en-US" w:eastAsia="zh-CN"/>
          <w14:textFill>
            <w14:solidFill>
              <w14:schemeClr w14:val="tx1"/>
            </w14:solidFill>
          </w14:textFill>
        </w:rPr>
        <w:t>供配电、给排水、消防设施公用工程和辅助</w:t>
      </w:r>
      <w:r>
        <w:rPr>
          <w:color w:val="000000" w:themeColor="text1"/>
          <w:sz w:val="28"/>
          <w:szCs w:val="28"/>
          <w14:textFill>
            <w14:solidFill>
              <w14:schemeClr w14:val="tx1"/>
            </w14:solidFill>
          </w14:textFill>
        </w:rPr>
        <w:t>设施</w:t>
      </w:r>
      <w:r>
        <w:rPr>
          <w:rFonts w:hint="eastAsia"/>
          <w:color w:val="000000" w:themeColor="text1"/>
          <w:sz w:val="28"/>
          <w:szCs w:val="28"/>
          <w14:textFill>
            <w14:solidFill>
              <w14:schemeClr w14:val="tx1"/>
            </w14:solidFill>
          </w14:textFill>
        </w:rPr>
        <w:t>符合</w:t>
      </w:r>
      <w:r>
        <w:rPr>
          <w:rFonts w:hint="eastAsia"/>
          <w:color w:val="000000" w:themeColor="text1"/>
          <w:sz w:val="28"/>
          <w:szCs w:val="28"/>
          <w:lang w:val="en-US" w:eastAsia="zh-CN"/>
          <w14:textFill>
            <w14:solidFill>
              <w14:schemeClr w14:val="tx1"/>
            </w14:solidFill>
          </w14:textFill>
        </w:rPr>
        <w:t>相关法律规范的</w:t>
      </w:r>
      <w:r>
        <w:rPr>
          <w:rFonts w:hint="eastAsia"/>
          <w:color w:val="000000" w:themeColor="text1"/>
          <w:sz w:val="28"/>
          <w:szCs w:val="28"/>
          <w14:textFill>
            <w14:solidFill>
              <w14:schemeClr w14:val="tx1"/>
            </w14:solidFill>
          </w14:textFill>
        </w:rPr>
        <w:t>要求。</w:t>
      </w:r>
    </w:p>
    <w:bookmarkEnd w:id="663"/>
    <w:bookmarkEnd w:id="664"/>
    <w:bookmarkEnd w:id="665"/>
    <w:bookmarkEnd w:id="666"/>
    <w:bookmarkEnd w:id="667"/>
    <w:p w14:paraId="31A4DFC1">
      <w:pPr>
        <w:pStyle w:val="4"/>
        <w:spacing w:line="360" w:lineRule="auto"/>
        <w:rPr>
          <w:rFonts w:ascii="Times New Roman" w:hAnsi="Times New Roman"/>
          <w:color w:val="000000" w:themeColor="text1"/>
          <w14:textFill>
            <w14:solidFill>
              <w14:schemeClr w14:val="tx1"/>
            </w14:solidFill>
          </w14:textFill>
        </w:rPr>
      </w:pPr>
      <w:bookmarkStart w:id="687" w:name="_Hlt145775763"/>
      <w:bookmarkEnd w:id="687"/>
      <w:bookmarkStart w:id="688" w:name="_Toc133428988"/>
      <w:bookmarkStart w:id="689" w:name="_Toc145775755"/>
      <w:bookmarkStart w:id="690" w:name="_Toc28491"/>
      <w:bookmarkStart w:id="691" w:name="_Toc335926312"/>
      <w:bookmarkStart w:id="692" w:name="_Toc313453623"/>
      <w:bookmarkStart w:id="693" w:name="_Toc25067"/>
      <w:bookmarkStart w:id="694" w:name="_Toc27135"/>
      <w:bookmarkStart w:id="695" w:name="_Toc14348"/>
      <w:r>
        <w:rPr>
          <w:rFonts w:ascii="Times New Roman" w:hAnsi="Times New Roman"/>
          <w:color w:val="000000" w:themeColor="text1"/>
          <w14:textFill>
            <w14:solidFill>
              <w14:schemeClr w14:val="tx1"/>
            </w14:solidFill>
          </w14:textFill>
        </w:rPr>
        <w:t>5.5安全生产管理评价</w:t>
      </w:r>
      <w:bookmarkEnd w:id="688"/>
      <w:bookmarkEnd w:id="689"/>
      <w:r>
        <w:rPr>
          <w:rFonts w:ascii="Times New Roman" w:hAnsi="Times New Roman"/>
          <w:color w:val="000000" w:themeColor="text1"/>
          <w14:textFill>
            <w14:solidFill>
              <w14:schemeClr w14:val="tx1"/>
            </w14:solidFill>
          </w14:textFill>
        </w:rPr>
        <w:t>单元</w:t>
      </w:r>
      <w:bookmarkEnd w:id="690"/>
      <w:bookmarkEnd w:id="691"/>
      <w:bookmarkEnd w:id="692"/>
      <w:bookmarkEnd w:id="693"/>
      <w:bookmarkEnd w:id="694"/>
      <w:bookmarkEnd w:id="695"/>
    </w:p>
    <w:p w14:paraId="5262B599">
      <w:pPr>
        <w:pStyle w:val="5"/>
        <w:rPr>
          <w:rFonts w:ascii="Times New Roman" w:hAnsi="Times New Roman"/>
          <w:color w:val="000000" w:themeColor="text1"/>
          <w14:textFill>
            <w14:solidFill>
              <w14:schemeClr w14:val="tx1"/>
            </w14:solidFill>
          </w14:textFill>
        </w:rPr>
      </w:pPr>
      <w:bookmarkStart w:id="696" w:name="_Toc95030443"/>
      <w:bookmarkStart w:id="697" w:name="_Toc251250839"/>
      <w:bookmarkStart w:id="698" w:name="_Toc95029026"/>
      <w:bookmarkStart w:id="699" w:name="_Toc95028912"/>
      <w:bookmarkStart w:id="700" w:name="_Toc95029508"/>
      <w:bookmarkStart w:id="701" w:name="_Toc95050661"/>
      <w:bookmarkStart w:id="702" w:name="_Toc95030522"/>
      <w:bookmarkStart w:id="703" w:name="_Toc95030632"/>
      <w:bookmarkStart w:id="704" w:name="_Toc95029111"/>
      <w:bookmarkStart w:id="705" w:name="_Toc95030577"/>
      <w:bookmarkStart w:id="706" w:name="_Toc95029633"/>
      <w:bookmarkStart w:id="707" w:name="_Toc95030058"/>
      <w:bookmarkStart w:id="708" w:name="_Toc95028563"/>
      <w:bookmarkStart w:id="709" w:name="_Toc110072142"/>
      <w:bookmarkStart w:id="710" w:name="_Toc113682757"/>
      <w:bookmarkStart w:id="711" w:name="_Toc95028749"/>
      <w:bookmarkStart w:id="712" w:name="_Toc95029408"/>
      <w:bookmarkStart w:id="713" w:name="_Toc95029275"/>
      <w:bookmarkStart w:id="714" w:name="_Toc95029781"/>
      <w:bookmarkStart w:id="715" w:name="_Toc110071956"/>
      <w:bookmarkStart w:id="716" w:name="_Toc251247629"/>
      <w:bookmarkStart w:id="717" w:name="_Toc208675031"/>
      <w:bookmarkStart w:id="718" w:name="_Toc335926313"/>
      <w:bookmarkStart w:id="719" w:name="_Toc313453624"/>
      <w:bookmarkStart w:id="720" w:name="_Toc120332373"/>
      <w:bookmarkStart w:id="721" w:name="_Toc19605"/>
      <w:bookmarkStart w:id="722" w:name="_Toc20523"/>
      <w:bookmarkStart w:id="723" w:name="_Toc208674443"/>
      <w:bookmarkStart w:id="724" w:name="_Toc6363"/>
      <w:bookmarkStart w:id="725" w:name="_Toc18049"/>
      <w:r>
        <w:rPr>
          <w:rFonts w:ascii="Times New Roman" w:hAnsi="Times New Roman"/>
          <w:color w:val="000000" w:themeColor="text1"/>
          <w14:textFill>
            <w14:solidFill>
              <w14:schemeClr w14:val="tx1"/>
            </w14:solidFill>
          </w14:textFill>
        </w:rPr>
        <w:t>5.5.1安全</w:t>
      </w:r>
      <w:r>
        <w:rPr>
          <w:rFonts w:hint="eastAsia" w:ascii="Times New Roman" w:hAnsi="Times New Roman"/>
          <w:color w:val="000000" w:themeColor="text1"/>
          <w:lang w:val="en-US" w:eastAsia="zh-CN"/>
          <w14:textFill>
            <w14:solidFill>
              <w14:schemeClr w14:val="tx1"/>
            </w14:solidFill>
          </w14:textFill>
        </w:rPr>
        <w:t>生产</w:t>
      </w:r>
      <w:r>
        <w:rPr>
          <w:rFonts w:ascii="Times New Roman" w:hAnsi="Times New Roman"/>
          <w:color w:val="000000" w:themeColor="text1"/>
          <w14:textFill>
            <w14:solidFill>
              <w14:schemeClr w14:val="tx1"/>
            </w14:solidFill>
          </w14:textFill>
        </w:rPr>
        <w:t>管理</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r>
        <w:rPr>
          <w:rFonts w:hint="eastAsia" w:ascii="Times New Roman" w:hAnsi="Times New Roman"/>
          <w:color w:val="000000" w:themeColor="text1"/>
          <w:lang w:val="en-US" w:eastAsia="zh-CN"/>
          <w14:textFill>
            <w14:solidFill>
              <w14:schemeClr w14:val="tx1"/>
            </w14:solidFill>
          </w14:textFill>
        </w:rPr>
        <w:t>分析</w:t>
      </w:r>
      <w:r>
        <w:rPr>
          <w:rFonts w:ascii="Times New Roman" w:hAnsi="Times New Roman"/>
          <w:color w:val="000000" w:themeColor="text1"/>
          <w14:textFill>
            <w14:solidFill>
              <w14:schemeClr w14:val="tx1"/>
            </w14:solidFill>
          </w14:textFill>
        </w:rPr>
        <w:t>评价</w:t>
      </w:r>
      <w:bookmarkEnd w:id="717"/>
      <w:bookmarkEnd w:id="718"/>
      <w:bookmarkEnd w:id="719"/>
      <w:bookmarkEnd w:id="720"/>
      <w:bookmarkEnd w:id="721"/>
      <w:bookmarkEnd w:id="722"/>
      <w:bookmarkEnd w:id="723"/>
      <w:bookmarkEnd w:id="724"/>
      <w:bookmarkEnd w:id="725"/>
    </w:p>
    <w:p w14:paraId="68061DA5">
      <w:pPr>
        <w:pStyle w:val="217"/>
        <w:keepNext w:val="0"/>
        <w:keepLines w:val="0"/>
        <w:pageBreakBefore w:val="0"/>
        <w:widowControl w:val="0"/>
        <w:kinsoku/>
        <w:wordWrap/>
        <w:overflowPunct/>
        <w:topLinePunct w:val="0"/>
        <w:autoSpaceDE/>
        <w:autoSpaceDN/>
        <w:bidi w:val="0"/>
        <w:adjustRightInd/>
        <w:snapToGrid/>
        <w:textAlignment w:val="auto"/>
        <w:rPr>
          <w:rFonts w:hint="eastAsia" w:ascii="宋体" w:hAnsi="宋体" w:cs="宋体"/>
          <w:b/>
          <w:bCs/>
          <w:color w:val="000000" w:themeColor="text1"/>
          <w:szCs w:val="21"/>
          <w14:textFill>
            <w14:solidFill>
              <w14:schemeClr w14:val="tx1"/>
            </w14:solidFill>
          </w14:textFill>
        </w:rPr>
      </w:pPr>
      <w:r>
        <w:rPr>
          <w:rFonts w:hint="eastAsia" w:asciiTheme="minorEastAsia" w:hAnsiTheme="minorEastAsia" w:eastAsiaTheme="minorEastAsia"/>
          <w:snapToGrid w:val="0"/>
          <w:color w:val="000000" w:themeColor="text1"/>
          <w14:textFill>
            <w14:solidFill>
              <w14:schemeClr w14:val="tx1"/>
            </w14:solidFill>
          </w14:textFill>
        </w:rPr>
        <w:t>本节依据《中华人民共和国安全生产法》的相关要求，编制安全检查表对企业安全生产管理状况进行检查，检查结果见下表。</w:t>
      </w:r>
    </w:p>
    <w:p w14:paraId="1E60B3DF">
      <w:pPr>
        <w:tabs>
          <w:tab w:val="left" w:pos="851"/>
        </w:tabs>
        <w:adjustRightInd w:val="0"/>
        <w:snapToGrid w:val="0"/>
        <w:spacing w:line="240" w:lineRule="exact"/>
        <w:jc w:val="center"/>
        <w:rPr>
          <w:rFonts w:hint="eastAsia" w:ascii="宋体" w:hAnsi="宋体" w:cs="宋体"/>
          <w:b/>
          <w:bCs/>
          <w:color w:val="000000" w:themeColor="text1"/>
          <w:szCs w:val="21"/>
          <w14:textFill>
            <w14:solidFill>
              <w14:schemeClr w14:val="tx1"/>
            </w14:solidFill>
          </w14:textFill>
        </w:rPr>
      </w:pPr>
    </w:p>
    <w:p w14:paraId="75D90595">
      <w:pPr>
        <w:tabs>
          <w:tab w:val="left" w:pos="851"/>
        </w:tabs>
        <w:adjustRightInd w:val="0"/>
        <w:snapToGrid w:val="0"/>
        <w:spacing w:line="240" w:lineRule="exact"/>
        <w:jc w:val="center"/>
        <w:rPr>
          <w:rFonts w:hint="eastAsia" w:ascii="宋体" w:hAnsi="宋体" w:cs="宋体"/>
          <w:b/>
          <w:bCs/>
          <w:color w:val="000000" w:themeColor="text1"/>
          <w:szCs w:val="21"/>
          <w14:textFill>
            <w14:solidFill>
              <w14:schemeClr w14:val="tx1"/>
            </w14:solidFill>
          </w14:textFill>
        </w:rPr>
      </w:pPr>
    </w:p>
    <w:p w14:paraId="1E4112A2">
      <w:pPr>
        <w:tabs>
          <w:tab w:val="left" w:pos="851"/>
        </w:tabs>
        <w:adjustRightInd w:val="0"/>
        <w:snapToGrid w:val="0"/>
        <w:spacing w:line="240" w:lineRule="exact"/>
        <w:jc w:val="center"/>
        <w:rPr>
          <w:rFonts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表5-</w:t>
      </w:r>
      <w:r>
        <w:rPr>
          <w:rFonts w:hint="eastAsia" w:hAnsi="宋体" w:cs="宋体"/>
          <w:b/>
          <w:bCs/>
          <w:color w:val="000000" w:themeColor="text1"/>
          <w:szCs w:val="21"/>
          <w:lang w:val="en-US" w:eastAsia="zh-CN"/>
          <w14:textFill>
            <w14:solidFill>
              <w14:schemeClr w14:val="tx1"/>
            </w14:solidFill>
          </w14:textFill>
        </w:rPr>
        <w:t>7</w:t>
      </w:r>
      <w:r>
        <w:rPr>
          <w:rFonts w:hint="eastAsia" w:ascii="宋体" w:hAnsi="宋体" w:cs="宋体"/>
          <w:b/>
          <w:bCs/>
          <w:color w:val="000000" w:themeColor="text1"/>
          <w:szCs w:val="21"/>
          <w14:textFill>
            <w14:solidFill>
              <w14:schemeClr w14:val="tx1"/>
            </w14:solidFill>
          </w14:textFill>
        </w:rPr>
        <w:t>安全生产管理检查表</w:t>
      </w:r>
    </w:p>
    <w:tbl>
      <w:tblPr>
        <w:tblStyle w:val="53"/>
        <w:tblW w:w="86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2"/>
        <w:gridCol w:w="3998"/>
        <w:gridCol w:w="1185"/>
        <w:gridCol w:w="1935"/>
        <w:gridCol w:w="701"/>
      </w:tblGrid>
      <w:tr w14:paraId="3E8CF1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1" w:hRule="atLeast"/>
          <w:tblHeader/>
          <w:jc w:val="center"/>
        </w:trPr>
        <w:tc>
          <w:tcPr>
            <w:tcW w:w="782" w:type="dxa"/>
            <w:tcBorders>
              <w:top w:val="single" w:color="auto" w:sz="4" w:space="0"/>
              <w:left w:val="single" w:color="auto" w:sz="4" w:space="0"/>
              <w:bottom w:val="single" w:color="auto" w:sz="4" w:space="0"/>
              <w:right w:val="single" w:color="auto" w:sz="4" w:space="0"/>
            </w:tcBorders>
            <w:vAlign w:val="center"/>
          </w:tcPr>
          <w:p w14:paraId="679C64BB">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3998" w:type="dxa"/>
            <w:tcBorders>
              <w:top w:val="single" w:color="auto" w:sz="4" w:space="0"/>
              <w:left w:val="single" w:color="auto" w:sz="4" w:space="0"/>
              <w:bottom w:val="single" w:color="auto" w:sz="4" w:space="0"/>
              <w:right w:val="single" w:color="auto" w:sz="4" w:space="0"/>
            </w:tcBorders>
            <w:vAlign w:val="center"/>
          </w:tcPr>
          <w:p w14:paraId="1AAB5AD9">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  查  内  容</w:t>
            </w:r>
          </w:p>
        </w:tc>
        <w:tc>
          <w:tcPr>
            <w:tcW w:w="1185" w:type="dxa"/>
            <w:tcBorders>
              <w:top w:val="single" w:color="auto" w:sz="4" w:space="0"/>
              <w:left w:val="single" w:color="auto" w:sz="4" w:space="0"/>
              <w:bottom w:val="single" w:color="auto" w:sz="4" w:space="0"/>
              <w:right w:val="single" w:color="auto" w:sz="4" w:space="0"/>
            </w:tcBorders>
            <w:vAlign w:val="center"/>
          </w:tcPr>
          <w:p w14:paraId="0393CF71">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依据标准</w:t>
            </w:r>
          </w:p>
        </w:tc>
        <w:tc>
          <w:tcPr>
            <w:tcW w:w="1935" w:type="dxa"/>
            <w:tcBorders>
              <w:top w:val="single" w:color="auto" w:sz="4" w:space="0"/>
              <w:left w:val="single" w:color="auto" w:sz="4" w:space="0"/>
              <w:bottom w:val="single" w:color="auto" w:sz="4" w:space="0"/>
              <w:right w:val="single" w:color="auto" w:sz="4" w:space="0"/>
            </w:tcBorders>
            <w:vAlign w:val="center"/>
          </w:tcPr>
          <w:p w14:paraId="2E6D5002">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检查情况</w:t>
            </w:r>
          </w:p>
        </w:tc>
        <w:tc>
          <w:tcPr>
            <w:tcW w:w="701" w:type="dxa"/>
            <w:tcBorders>
              <w:top w:val="single" w:color="auto" w:sz="4" w:space="0"/>
              <w:left w:val="single" w:color="auto" w:sz="4" w:space="0"/>
              <w:bottom w:val="single" w:color="auto" w:sz="4" w:space="0"/>
              <w:right w:val="single" w:color="auto" w:sz="4" w:space="0"/>
            </w:tcBorders>
            <w:vAlign w:val="center"/>
          </w:tcPr>
          <w:p w14:paraId="1C3665BA">
            <w:pPr>
              <w:tabs>
                <w:tab w:val="left" w:pos="851"/>
              </w:tabs>
              <w:adjustRightInd w:val="0"/>
              <w:snapToGrid w:val="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结论</w:t>
            </w:r>
          </w:p>
        </w:tc>
      </w:tr>
      <w:tr w14:paraId="74C6DE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0BD4BA0E">
            <w:pPr>
              <w:numPr>
                <w:ilvl w:val="0"/>
                <w:numId w:val="24"/>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0F8C93D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生产经营单位的主要负责人是本单位安全生产 第一责任人，对本单位的安全生产工作全面负责。其他负责人对职责范围内的安全生产工作负责。</w:t>
            </w:r>
          </w:p>
        </w:tc>
        <w:tc>
          <w:tcPr>
            <w:tcW w:w="1185" w:type="dxa"/>
            <w:tcBorders>
              <w:top w:val="single" w:color="auto" w:sz="4" w:space="0"/>
              <w:left w:val="single" w:color="auto" w:sz="4" w:space="0"/>
              <w:bottom w:val="single" w:color="auto" w:sz="4" w:space="0"/>
              <w:right w:val="single" w:color="auto" w:sz="4" w:space="0"/>
            </w:tcBorders>
            <w:vAlign w:val="center"/>
          </w:tcPr>
          <w:p w14:paraId="1B57F9A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532C7B0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第五条</w:t>
            </w:r>
          </w:p>
        </w:tc>
        <w:tc>
          <w:tcPr>
            <w:tcW w:w="1935" w:type="dxa"/>
            <w:tcBorders>
              <w:top w:val="single" w:color="auto" w:sz="4" w:space="0"/>
              <w:left w:val="single" w:color="auto" w:sz="4" w:space="0"/>
              <w:bottom w:val="single" w:color="auto" w:sz="4" w:space="0"/>
              <w:right w:val="single" w:color="auto" w:sz="4" w:space="0"/>
            </w:tcBorders>
            <w:vAlign w:val="center"/>
          </w:tcPr>
          <w:p w14:paraId="53BFA4F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公司主要负责人对本单位的安全生产工作全面负责。</w:t>
            </w:r>
          </w:p>
        </w:tc>
        <w:tc>
          <w:tcPr>
            <w:tcW w:w="701" w:type="dxa"/>
            <w:tcBorders>
              <w:top w:val="single" w:color="auto" w:sz="4" w:space="0"/>
              <w:left w:val="single" w:color="auto" w:sz="4" w:space="0"/>
              <w:bottom w:val="single" w:color="auto" w:sz="4" w:space="0"/>
              <w:right w:val="single" w:color="auto" w:sz="4" w:space="0"/>
            </w:tcBorders>
            <w:vAlign w:val="center"/>
          </w:tcPr>
          <w:p w14:paraId="6C804CA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BECC9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44F0A684">
            <w:pPr>
              <w:numPr>
                <w:ilvl w:val="0"/>
                <w:numId w:val="24"/>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69FC2C3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生产经营单位的主要负责人对本单位安全生产工作负有下列职责：</w:t>
            </w:r>
          </w:p>
          <w:p w14:paraId="0AB7EB54">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（一）建立健全并落实本单位全员安全生产责任制，加强安全生产标准化建设；</w:t>
            </w:r>
          </w:p>
          <w:p w14:paraId="378ED09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（二）组织制定并实施本单位安全生产规章制度和操作规程；</w:t>
            </w:r>
          </w:p>
          <w:p w14:paraId="0656FF0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（三）组织制定并实施本单位安全生产教育和培训计划；</w:t>
            </w:r>
          </w:p>
          <w:p w14:paraId="7C2761B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（四）保证本单位安全生产投入的有效实施；</w:t>
            </w:r>
          </w:p>
          <w:p w14:paraId="1C0B02A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（五）组织建立并落实安全风险分级管控和隐患排查治理双重预防工作机制，督促、检查本单位的安全生产工作，及时消除生产安全事故隐患；</w:t>
            </w:r>
          </w:p>
          <w:p w14:paraId="3D8E592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（六）组织制定并实施本单位的生产安全事故应急救援预案；</w:t>
            </w:r>
          </w:p>
          <w:p w14:paraId="693EFC2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（七）及时、如实报告生产安全事故。</w:t>
            </w:r>
          </w:p>
        </w:tc>
        <w:tc>
          <w:tcPr>
            <w:tcW w:w="1185" w:type="dxa"/>
            <w:tcBorders>
              <w:top w:val="single" w:color="auto" w:sz="4" w:space="0"/>
              <w:left w:val="single" w:color="auto" w:sz="4" w:space="0"/>
              <w:bottom w:val="single" w:color="auto" w:sz="4" w:space="0"/>
              <w:right w:val="single" w:color="auto" w:sz="4" w:space="0"/>
            </w:tcBorders>
            <w:vAlign w:val="center"/>
          </w:tcPr>
          <w:p w14:paraId="4DCE37A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797E136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第二十一条</w:t>
            </w:r>
          </w:p>
        </w:tc>
        <w:tc>
          <w:tcPr>
            <w:tcW w:w="1935" w:type="dxa"/>
            <w:tcBorders>
              <w:top w:val="single" w:color="auto" w:sz="4" w:space="0"/>
              <w:left w:val="single" w:color="auto" w:sz="4" w:space="0"/>
              <w:bottom w:val="single" w:color="auto" w:sz="4" w:space="0"/>
              <w:right w:val="single" w:color="auto" w:sz="4" w:space="0"/>
            </w:tcBorders>
            <w:vAlign w:val="center"/>
          </w:tcPr>
          <w:p w14:paraId="6DE944A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公司制定了安全生产规章制度和安全操作规程，成立了</w:t>
            </w:r>
            <w:r>
              <w:rPr>
                <w:rFonts w:hint="eastAsia" w:ascii="宋体" w:hAnsi="宋体" w:eastAsia="宋体" w:cs="宋体"/>
                <w:color w:val="000000" w:themeColor="text1"/>
                <w:kern w:val="0"/>
                <w:sz w:val="21"/>
                <w:szCs w:val="21"/>
                <w14:textFill>
                  <w14:solidFill>
                    <w14:schemeClr w14:val="tx1"/>
                  </w14:solidFill>
                </w14:textFill>
              </w:rPr>
              <w:t>安全生产领导小组</w:t>
            </w:r>
            <w:r>
              <w:rPr>
                <w:rFonts w:hint="eastAsia" w:ascii="宋体" w:hAnsi="宋体" w:eastAsia="宋体" w:cs="宋体"/>
                <w:color w:val="000000" w:themeColor="text1"/>
                <w:sz w:val="21"/>
                <w:szCs w:val="21"/>
                <w14:textFill>
                  <w14:solidFill>
                    <w14:schemeClr w14:val="tx1"/>
                  </w14:solidFill>
                </w14:textFill>
              </w:rPr>
              <w:t>。</w:t>
            </w:r>
          </w:p>
        </w:tc>
        <w:tc>
          <w:tcPr>
            <w:tcW w:w="701" w:type="dxa"/>
            <w:tcBorders>
              <w:top w:val="single" w:color="auto" w:sz="4" w:space="0"/>
              <w:left w:val="single" w:color="auto" w:sz="4" w:space="0"/>
              <w:bottom w:val="single" w:color="auto" w:sz="4" w:space="0"/>
              <w:right w:val="single" w:color="auto" w:sz="4" w:space="0"/>
            </w:tcBorders>
            <w:vAlign w:val="center"/>
          </w:tcPr>
          <w:p w14:paraId="0EDFE24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A3BC7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6F43FA60">
            <w:pPr>
              <w:numPr>
                <w:ilvl w:val="0"/>
                <w:numId w:val="24"/>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0A7E071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生产经营单位的全员安全生产责任制应当明确各岗位的责任人员、责任范围和考核标准等内容。生产经营单位应当建立相应的机制，加强对安全生产责任制落实情况的监督考核，保证安全生产责任制的落实。</w:t>
            </w:r>
          </w:p>
        </w:tc>
        <w:tc>
          <w:tcPr>
            <w:tcW w:w="1185" w:type="dxa"/>
            <w:tcBorders>
              <w:top w:val="single" w:color="auto" w:sz="4" w:space="0"/>
              <w:left w:val="single" w:color="auto" w:sz="4" w:space="0"/>
              <w:bottom w:val="single" w:color="auto" w:sz="4" w:space="0"/>
              <w:right w:val="single" w:color="auto" w:sz="4" w:space="0"/>
            </w:tcBorders>
            <w:vAlign w:val="center"/>
          </w:tcPr>
          <w:p w14:paraId="2CF5B8D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0AAA257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第二十二条</w:t>
            </w:r>
          </w:p>
        </w:tc>
        <w:tc>
          <w:tcPr>
            <w:tcW w:w="1935" w:type="dxa"/>
            <w:tcBorders>
              <w:top w:val="single" w:color="auto" w:sz="4" w:space="0"/>
              <w:left w:val="single" w:color="auto" w:sz="4" w:space="0"/>
              <w:bottom w:val="single" w:color="auto" w:sz="4" w:space="0"/>
              <w:right w:val="single" w:color="auto" w:sz="4" w:space="0"/>
            </w:tcBorders>
            <w:vAlign w:val="center"/>
          </w:tcPr>
          <w:p w14:paraId="055664C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有相关管理制度。</w:t>
            </w:r>
          </w:p>
        </w:tc>
        <w:tc>
          <w:tcPr>
            <w:tcW w:w="701" w:type="dxa"/>
            <w:tcBorders>
              <w:top w:val="single" w:color="auto" w:sz="4" w:space="0"/>
              <w:left w:val="single" w:color="auto" w:sz="4" w:space="0"/>
              <w:bottom w:val="single" w:color="auto" w:sz="4" w:space="0"/>
              <w:right w:val="single" w:color="auto" w:sz="4" w:space="0"/>
            </w:tcBorders>
            <w:vAlign w:val="center"/>
          </w:tcPr>
          <w:p w14:paraId="73168E8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9336D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40823ED9">
            <w:pPr>
              <w:numPr>
                <w:ilvl w:val="0"/>
                <w:numId w:val="24"/>
              </w:numPr>
              <w:tabs>
                <w:tab w:val="left" w:pos="630"/>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2602C556">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具备的安全生产条件所必需的资金投入，由生产经营单位的决策机构、主要负责人或者个人经营的投资人予以保证，并对由于安全生产所必需的资金投入不足导致的后果承担责任。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1185" w:type="dxa"/>
            <w:tcBorders>
              <w:top w:val="single" w:color="auto" w:sz="4" w:space="0"/>
              <w:left w:val="single" w:color="auto" w:sz="4" w:space="0"/>
              <w:bottom w:val="single" w:color="auto" w:sz="4" w:space="0"/>
              <w:right w:val="single" w:color="auto" w:sz="4" w:space="0"/>
            </w:tcBorders>
            <w:vAlign w:val="center"/>
          </w:tcPr>
          <w:p w14:paraId="12854E80">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w:t>
            </w:r>
          </w:p>
          <w:p w14:paraId="7FD5C4B5">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第二十三条</w:t>
            </w:r>
          </w:p>
        </w:tc>
        <w:tc>
          <w:tcPr>
            <w:tcW w:w="1935" w:type="dxa"/>
            <w:tcBorders>
              <w:top w:val="single" w:color="auto" w:sz="4" w:space="0"/>
              <w:left w:val="single" w:color="auto" w:sz="4" w:space="0"/>
              <w:bottom w:val="single" w:color="auto" w:sz="4" w:space="0"/>
              <w:right w:val="single" w:color="auto" w:sz="4" w:space="0"/>
            </w:tcBorders>
            <w:vAlign w:val="center"/>
          </w:tcPr>
          <w:p w14:paraId="48964BC4">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按规定提取安全费用并用于改善安全生产条件。</w:t>
            </w:r>
          </w:p>
        </w:tc>
        <w:tc>
          <w:tcPr>
            <w:tcW w:w="701" w:type="dxa"/>
            <w:tcBorders>
              <w:top w:val="single" w:color="auto" w:sz="4" w:space="0"/>
              <w:left w:val="single" w:color="auto" w:sz="4" w:space="0"/>
              <w:bottom w:val="single" w:color="auto" w:sz="4" w:space="0"/>
              <w:right w:val="single" w:color="auto" w:sz="4" w:space="0"/>
            </w:tcBorders>
            <w:vAlign w:val="center"/>
          </w:tcPr>
          <w:p w14:paraId="29870DE9">
            <w:pPr>
              <w:tabs>
                <w:tab w:val="left" w:pos="851"/>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9A9F7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752E8423">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763880E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矿山、金属冶炼、建筑施工、运输单位和危险物品的生产、经营、储存、装卸单位，应当设置安全生产管理机构或者配备专职安全生产管理人员。</w:t>
            </w:r>
          </w:p>
          <w:p w14:paraId="795502D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185" w:type="dxa"/>
            <w:tcBorders>
              <w:top w:val="single" w:color="auto" w:sz="4" w:space="0"/>
              <w:left w:val="single" w:color="auto" w:sz="4" w:space="0"/>
              <w:bottom w:val="single" w:color="auto" w:sz="4" w:space="0"/>
              <w:right w:val="single" w:color="auto" w:sz="4" w:space="0"/>
            </w:tcBorders>
            <w:vAlign w:val="center"/>
          </w:tcPr>
          <w:p w14:paraId="7F610C5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4D00C1D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二十四条</w:t>
            </w:r>
          </w:p>
        </w:tc>
        <w:tc>
          <w:tcPr>
            <w:tcW w:w="1935" w:type="dxa"/>
            <w:tcBorders>
              <w:top w:val="single" w:color="auto" w:sz="4" w:space="0"/>
              <w:left w:val="single" w:color="auto" w:sz="4" w:space="0"/>
              <w:bottom w:val="single" w:color="auto" w:sz="4" w:space="0"/>
              <w:right w:val="single" w:color="auto" w:sz="4" w:space="0"/>
            </w:tcBorders>
            <w:vAlign w:val="center"/>
          </w:tcPr>
          <w:p w14:paraId="6201508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公司成立了安全生产领导小组，任命了专职安全员。</w:t>
            </w:r>
          </w:p>
        </w:tc>
        <w:tc>
          <w:tcPr>
            <w:tcW w:w="701" w:type="dxa"/>
            <w:tcBorders>
              <w:top w:val="single" w:color="auto" w:sz="4" w:space="0"/>
              <w:left w:val="single" w:color="auto" w:sz="4" w:space="0"/>
              <w:bottom w:val="single" w:color="auto" w:sz="4" w:space="0"/>
              <w:right w:val="single" w:color="auto" w:sz="4" w:space="0"/>
            </w:tcBorders>
            <w:vAlign w:val="center"/>
          </w:tcPr>
          <w:p w14:paraId="632AAE3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0669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4EB5692C">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5CFF8A3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生产经营单位的主要负责人和安全生产管理人员必须具备与本单位所从事的生产经营活动相应的安全生产知识和管理能力。</w:t>
            </w:r>
          </w:p>
          <w:p w14:paraId="48A16B5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tc>
        <w:tc>
          <w:tcPr>
            <w:tcW w:w="1185" w:type="dxa"/>
            <w:tcBorders>
              <w:top w:val="single" w:color="auto" w:sz="4" w:space="0"/>
              <w:left w:val="single" w:color="auto" w:sz="4" w:space="0"/>
              <w:bottom w:val="single" w:color="auto" w:sz="4" w:space="0"/>
              <w:right w:val="single" w:color="auto" w:sz="4" w:space="0"/>
            </w:tcBorders>
            <w:vAlign w:val="center"/>
          </w:tcPr>
          <w:p w14:paraId="2FEA79F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364AF10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二十七条</w:t>
            </w:r>
          </w:p>
        </w:tc>
        <w:tc>
          <w:tcPr>
            <w:tcW w:w="1935" w:type="dxa"/>
            <w:tcBorders>
              <w:top w:val="single" w:color="auto" w:sz="4" w:space="0"/>
              <w:left w:val="single" w:color="auto" w:sz="4" w:space="0"/>
              <w:bottom w:val="single" w:color="auto" w:sz="4" w:space="0"/>
              <w:right w:val="single" w:color="auto" w:sz="4" w:space="0"/>
            </w:tcBorders>
            <w:vAlign w:val="center"/>
          </w:tcPr>
          <w:p w14:paraId="57385CB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主要负责人和安全员取得了安全管理资格证书。</w:t>
            </w:r>
          </w:p>
        </w:tc>
        <w:tc>
          <w:tcPr>
            <w:tcW w:w="701" w:type="dxa"/>
            <w:tcBorders>
              <w:top w:val="single" w:color="auto" w:sz="4" w:space="0"/>
              <w:left w:val="single" w:color="auto" w:sz="4" w:space="0"/>
              <w:bottom w:val="single" w:color="auto" w:sz="4" w:space="0"/>
              <w:right w:val="single" w:color="auto" w:sz="4" w:space="0"/>
            </w:tcBorders>
            <w:vAlign w:val="center"/>
          </w:tcPr>
          <w:p w14:paraId="06C2968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D3432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1878290F">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542E9618">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 生产经营单位应当建立健全下列制度：</w:t>
            </w:r>
          </w:p>
          <w:p w14:paraId="445D9A7A">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1）安全生产责任制度；</w:t>
            </w:r>
          </w:p>
          <w:p w14:paraId="139E0E86">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2）安全生产例会制度；</w:t>
            </w:r>
          </w:p>
          <w:p w14:paraId="72E2E4E1">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3）安全生产奖惩制度；</w:t>
            </w:r>
          </w:p>
          <w:p w14:paraId="47593C2D">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4）安全生产教育培训制度；</w:t>
            </w:r>
          </w:p>
          <w:p w14:paraId="31710106">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5）生产经营场所、设备和设施的安全管理制度；</w:t>
            </w:r>
          </w:p>
          <w:p w14:paraId="7DFBD029">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6）安全生产检查制度；</w:t>
            </w:r>
          </w:p>
          <w:p w14:paraId="5DAF8D6B">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7）重大危险源监控和事故隐患报告、整改制度；</w:t>
            </w:r>
          </w:p>
          <w:p w14:paraId="7B11A89E">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8）伤亡事故报告和处理制度；</w:t>
            </w:r>
          </w:p>
          <w:p w14:paraId="7395EC4D">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9）劳动防护用品管理制度；</w:t>
            </w:r>
          </w:p>
          <w:p w14:paraId="4FAC6838">
            <w:pPr>
              <w:adjustRightInd w:val="0"/>
              <w:snapToGrid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10）法律、法规规定应当制定的其他安全生产制度。</w:t>
            </w:r>
          </w:p>
        </w:tc>
        <w:tc>
          <w:tcPr>
            <w:tcW w:w="1185" w:type="dxa"/>
            <w:tcBorders>
              <w:top w:val="single" w:color="auto" w:sz="4" w:space="0"/>
              <w:left w:val="single" w:color="auto" w:sz="4" w:space="0"/>
              <w:bottom w:val="single" w:color="auto" w:sz="4" w:space="0"/>
              <w:right w:val="single" w:color="auto" w:sz="4" w:space="0"/>
            </w:tcBorders>
            <w:vAlign w:val="center"/>
          </w:tcPr>
          <w:p w14:paraId="282F413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《云南省安全生产条例》第</w:t>
            </w:r>
          </w:p>
          <w:p w14:paraId="71ADA15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十六条</w:t>
            </w:r>
          </w:p>
        </w:tc>
        <w:tc>
          <w:tcPr>
            <w:tcW w:w="1935" w:type="dxa"/>
            <w:tcBorders>
              <w:top w:val="single" w:color="auto" w:sz="4" w:space="0"/>
              <w:left w:val="single" w:color="auto" w:sz="4" w:space="0"/>
              <w:bottom w:val="single" w:color="auto" w:sz="4" w:space="0"/>
              <w:right w:val="single" w:color="auto" w:sz="4" w:space="0"/>
            </w:tcBorders>
            <w:vAlign w:val="center"/>
          </w:tcPr>
          <w:p w14:paraId="4291AEB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建立有相关制度。</w:t>
            </w:r>
          </w:p>
        </w:tc>
        <w:tc>
          <w:tcPr>
            <w:tcW w:w="701" w:type="dxa"/>
            <w:tcBorders>
              <w:top w:val="single" w:color="auto" w:sz="4" w:space="0"/>
              <w:left w:val="single" w:color="auto" w:sz="4" w:space="0"/>
              <w:bottom w:val="single" w:color="auto" w:sz="4" w:space="0"/>
              <w:right w:val="single" w:color="auto" w:sz="4" w:space="0"/>
            </w:tcBorders>
            <w:vAlign w:val="center"/>
          </w:tcPr>
          <w:p w14:paraId="7B6EDC0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C552F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3FDB845A">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0421174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1DE7F5E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07C8123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生产经营单位接收中等职业学校、高等学校学生实习的，应当对实习学生进行相应的安全生产教育和培训，提供必要的劳动防护用品。学校应当协助生产经营单位对实习学生进行安全生产教育和培训。</w:t>
            </w:r>
          </w:p>
          <w:p w14:paraId="034587E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生产经营单位应当建立安全生产教育和培训档案，如实记录安全生产教育和培训的时间、内容、参加人员以及考核结果等情况。</w:t>
            </w:r>
          </w:p>
        </w:tc>
        <w:tc>
          <w:tcPr>
            <w:tcW w:w="1185" w:type="dxa"/>
            <w:tcBorders>
              <w:top w:val="single" w:color="auto" w:sz="4" w:space="0"/>
              <w:left w:val="single" w:color="auto" w:sz="4" w:space="0"/>
              <w:bottom w:val="single" w:color="auto" w:sz="4" w:space="0"/>
              <w:right w:val="single" w:color="auto" w:sz="4" w:space="0"/>
            </w:tcBorders>
            <w:vAlign w:val="center"/>
          </w:tcPr>
          <w:p w14:paraId="37A69A9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2F1281E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二十八条</w:t>
            </w:r>
          </w:p>
        </w:tc>
        <w:tc>
          <w:tcPr>
            <w:tcW w:w="1935" w:type="dxa"/>
            <w:tcBorders>
              <w:top w:val="single" w:color="auto" w:sz="4" w:space="0"/>
              <w:left w:val="single" w:color="auto" w:sz="4" w:space="0"/>
              <w:bottom w:val="single" w:color="auto" w:sz="4" w:space="0"/>
              <w:right w:val="single" w:color="auto" w:sz="4" w:space="0"/>
            </w:tcBorders>
            <w:vAlign w:val="center"/>
          </w:tcPr>
          <w:p w14:paraId="432E041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签署有安全管理协议，并有相关培训记录和台账。</w:t>
            </w:r>
          </w:p>
        </w:tc>
        <w:tc>
          <w:tcPr>
            <w:tcW w:w="701" w:type="dxa"/>
            <w:tcBorders>
              <w:top w:val="single" w:color="auto" w:sz="4" w:space="0"/>
              <w:left w:val="single" w:color="auto" w:sz="4" w:space="0"/>
              <w:bottom w:val="single" w:color="auto" w:sz="4" w:space="0"/>
              <w:right w:val="single" w:color="auto" w:sz="4" w:space="0"/>
            </w:tcBorders>
            <w:vAlign w:val="center"/>
          </w:tcPr>
          <w:p w14:paraId="3BEB330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059C9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200E1164">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5D9601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生产经营单位采用新工艺、新技术、新材料或者使用新设备，必须了解、掌握其安全技术特性，采取有效的安全防护措施，并对从业人员进行专门的安全生产教育和培训。</w:t>
            </w:r>
          </w:p>
        </w:tc>
        <w:tc>
          <w:tcPr>
            <w:tcW w:w="1185" w:type="dxa"/>
            <w:tcBorders>
              <w:top w:val="single" w:color="auto" w:sz="4" w:space="0"/>
              <w:left w:val="single" w:color="auto" w:sz="4" w:space="0"/>
              <w:bottom w:val="single" w:color="auto" w:sz="4" w:space="0"/>
              <w:right w:val="single" w:color="auto" w:sz="4" w:space="0"/>
            </w:tcBorders>
            <w:vAlign w:val="center"/>
          </w:tcPr>
          <w:p w14:paraId="7CB0066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196EFF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二十九条</w:t>
            </w:r>
          </w:p>
        </w:tc>
        <w:tc>
          <w:tcPr>
            <w:tcW w:w="1935" w:type="dxa"/>
            <w:tcBorders>
              <w:top w:val="single" w:color="auto" w:sz="4" w:space="0"/>
              <w:left w:val="single" w:color="auto" w:sz="4" w:space="0"/>
              <w:bottom w:val="single" w:color="auto" w:sz="4" w:space="0"/>
              <w:right w:val="single" w:color="auto" w:sz="4" w:space="0"/>
            </w:tcBorders>
            <w:vAlign w:val="center"/>
          </w:tcPr>
          <w:p w14:paraId="75BCE27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公司对职工进行了针对性安全培训。</w:t>
            </w:r>
          </w:p>
        </w:tc>
        <w:tc>
          <w:tcPr>
            <w:tcW w:w="701" w:type="dxa"/>
            <w:tcBorders>
              <w:top w:val="single" w:color="auto" w:sz="4" w:space="0"/>
              <w:left w:val="single" w:color="auto" w:sz="4" w:space="0"/>
              <w:bottom w:val="single" w:color="auto" w:sz="4" w:space="0"/>
              <w:right w:val="single" w:color="auto" w:sz="4" w:space="0"/>
            </w:tcBorders>
            <w:vAlign w:val="center"/>
          </w:tcPr>
          <w:p w14:paraId="5DB4EF3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300C4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7D580F3E">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CBDD52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生产经营单位的特种作业人员必须按照国家有关规定经专门的安全作业培训，取得相应资格，方可上岗作业。</w:t>
            </w:r>
          </w:p>
          <w:p w14:paraId="0FD3C09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特种作业人员的范围由国务院应急管理部门会同国务院有关部门确定。</w:t>
            </w:r>
          </w:p>
        </w:tc>
        <w:tc>
          <w:tcPr>
            <w:tcW w:w="1185" w:type="dxa"/>
            <w:tcBorders>
              <w:top w:val="single" w:color="auto" w:sz="4" w:space="0"/>
              <w:left w:val="single" w:color="auto" w:sz="4" w:space="0"/>
              <w:bottom w:val="single" w:color="auto" w:sz="4" w:space="0"/>
              <w:right w:val="single" w:color="auto" w:sz="4" w:space="0"/>
            </w:tcBorders>
            <w:vAlign w:val="center"/>
          </w:tcPr>
          <w:p w14:paraId="74436D2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CCB41E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三十条</w:t>
            </w:r>
          </w:p>
        </w:tc>
        <w:tc>
          <w:tcPr>
            <w:tcW w:w="1935" w:type="dxa"/>
            <w:tcBorders>
              <w:top w:val="single" w:color="auto" w:sz="4" w:space="0"/>
              <w:left w:val="single" w:color="auto" w:sz="4" w:space="0"/>
              <w:bottom w:val="single" w:color="auto" w:sz="4" w:space="0"/>
              <w:right w:val="single" w:color="auto" w:sz="4" w:space="0"/>
            </w:tcBorders>
            <w:vAlign w:val="center"/>
          </w:tcPr>
          <w:p w14:paraId="3A1FC40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特种作业操作人员持证上岗</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叉车持证上岗，电工、焊工外委</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w:t>
            </w:r>
          </w:p>
        </w:tc>
        <w:tc>
          <w:tcPr>
            <w:tcW w:w="701" w:type="dxa"/>
            <w:tcBorders>
              <w:top w:val="single" w:color="auto" w:sz="4" w:space="0"/>
              <w:left w:val="single" w:color="auto" w:sz="4" w:space="0"/>
              <w:bottom w:val="single" w:color="auto" w:sz="4" w:space="0"/>
              <w:right w:val="single" w:color="auto" w:sz="4" w:space="0"/>
            </w:tcBorders>
            <w:vAlign w:val="center"/>
          </w:tcPr>
          <w:p w14:paraId="41D66A1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66C41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4EA2DBA2">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D64BCB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生产经营单位应当在有较大危险因素的生产经营场所和有关设施、设备上，设置明显的安全警示标志。</w:t>
            </w:r>
          </w:p>
        </w:tc>
        <w:tc>
          <w:tcPr>
            <w:tcW w:w="1185" w:type="dxa"/>
            <w:tcBorders>
              <w:top w:val="single" w:color="auto" w:sz="4" w:space="0"/>
              <w:left w:val="single" w:color="auto" w:sz="4" w:space="0"/>
              <w:bottom w:val="single" w:color="auto" w:sz="4" w:space="0"/>
              <w:right w:val="single" w:color="auto" w:sz="4" w:space="0"/>
            </w:tcBorders>
            <w:vAlign w:val="center"/>
          </w:tcPr>
          <w:p w14:paraId="5BD88B3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55077E8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三十五条</w:t>
            </w:r>
          </w:p>
        </w:tc>
        <w:tc>
          <w:tcPr>
            <w:tcW w:w="1935" w:type="dxa"/>
            <w:tcBorders>
              <w:top w:val="single" w:color="auto" w:sz="4" w:space="0"/>
              <w:left w:val="single" w:color="auto" w:sz="4" w:space="0"/>
              <w:bottom w:val="single" w:color="auto" w:sz="4" w:space="0"/>
              <w:right w:val="single" w:color="auto" w:sz="4" w:space="0"/>
            </w:tcBorders>
            <w:vAlign w:val="center"/>
          </w:tcPr>
          <w:p w14:paraId="5B2BA25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现场设置明显的安全警示标志。</w:t>
            </w:r>
          </w:p>
        </w:tc>
        <w:tc>
          <w:tcPr>
            <w:tcW w:w="701" w:type="dxa"/>
            <w:tcBorders>
              <w:top w:val="single" w:color="auto" w:sz="4" w:space="0"/>
              <w:left w:val="single" w:color="auto" w:sz="4" w:space="0"/>
              <w:bottom w:val="single" w:color="auto" w:sz="4" w:space="0"/>
              <w:right w:val="single" w:color="auto" w:sz="4" w:space="0"/>
            </w:tcBorders>
            <w:vAlign w:val="center"/>
          </w:tcPr>
          <w:p w14:paraId="187A75F3">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F11F8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3D8AD344">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0B349AE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安全设备的设计、制造、安装、使用、检测、维修、改造和报废，应当符合国家标准或者行业标准。</w:t>
            </w:r>
          </w:p>
          <w:p w14:paraId="0BF190D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生产经营单位必须对安全设备进行经常性维护、保养，并定期检测，保证正常运转。维护、保养、检测应当作好记录，并由有关人员签字。</w:t>
            </w:r>
          </w:p>
          <w:p w14:paraId="19C2B4C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生产经营单位不得关闭、破坏直接关系生产安全的监控、报警、防护、救生设备、设施，或者篡改、隐瞒、销毁其相关数据、信息。</w:t>
            </w:r>
          </w:p>
          <w:p w14:paraId="2EA9281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餐饮等行业的生产经营单位使用燃气的，应当安装可燃气体报警装置，并保障其正常使用。</w:t>
            </w:r>
          </w:p>
        </w:tc>
        <w:tc>
          <w:tcPr>
            <w:tcW w:w="1185" w:type="dxa"/>
            <w:tcBorders>
              <w:top w:val="single" w:color="auto" w:sz="4" w:space="0"/>
              <w:left w:val="single" w:color="auto" w:sz="4" w:space="0"/>
              <w:bottom w:val="single" w:color="auto" w:sz="4" w:space="0"/>
              <w:right w:val="single" w:color="auto" w:sz="4" w:space="0"/>
            </w:tcBorders>
            <w:vAlign w:val="center"/>
          </w:tcPr>
          <w:p w14:paraId="3AE1259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73ABBB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三十六条</w:t>
            </w:r>
          </w:p>
        </w:tc>
        <w:tc>
          <w:tcPr>
            <w:tcW w:w="1935" w:type="dxa"/>
            <w:tcBorders>
              <w:top w:val="single" w:color="auto" w:sz="4" w:space="0"/>
              <w:left w:val="single" w:color="auto" w:sz="4" w:space="0"/>
              <w:bottom w:val="single" w:color="auto" w:sz="4" w:space="0"/>
              <w:right w:val="single" w:color="auto" w:sz="4" w:space="0"/>
            </w:tcBorders>
            <w:vAlign w:val="center"/>
          </w:tcPr>
          <w:p w14:paraId="5E34C76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能对安全设备进行经常性维护、保养。</w:t>
            </w:r>
          </w:p>
        </w:tc>
        <w:tc>
          <w:tcPr>
            <w:tcW w:w="701" w:type="dxa"/>
            <w:tcBorders>
              <w:top w:val="single" w:color="auto" w:sz="4" w:space="0"/>
              <w:left w:val="single" w:color="auto" w:sz="4" w:space="0"/>
              <w:bottom w:val="single" w:color="auto" w:sz="4" w:space="0"/>
              <w:right w:val="single" w:color="auto" w:sz="4" w:space="0"/>
            </w:tcBorders>
            <w:vAlign w:val="center"/>
          </w:tcPr>
          <w:p w14:paraId="5767409A">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6F8D9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704D6202">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3B2FC90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生产经营单位应当建立安全风险分级管控制度，按照安全风险分级采取相应的管控措施。</w:t>
            </w:r>
          </w:p>
          <w:p w14:paraId="0BA8AC2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tc>
        <w:tc>
          <w:tcPr>
            <w:tcW w:w="1185" w:type="dxa"/>
            <w:tcBorders>
              <w:top w:val="single" w:color="auto" w:sz="4" w:space="0"/>
              <w:left w:val="single" w:color="auto" w:sz="4" w:space="0"/>
              <w:bottom w:val="single" w:color="auto" w:sz="4" w:space="0"/>
              <w:right w:val="single" w:color="auto" w:sz="4" w:space="0"/>
            </w:tcBorders>
            <w:vAlign w:val="center"/>
          </w:tcPr>
          <w:p w14:paraId="129858A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4013780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四十一条</w:t>
            </w:r>
          </w:p>
        </w:tc>
        <w:tc>
          <w:tcPr>
            <w:tcW w:w="1935" w:type="dxa"/>
            <w:tcBorders>
              <w:top w:val="single" w:color="auto" w:sz="4" w:space="0"/>
              <w:left w:val="single" w:color="auto" w:sz="4" w:space="0"/>
              <w:bottom w:val="single" w:color="auto" w:sz="4" w:space="0"/>
              <w:right w:val="single" w:color="auto" w:sz="4" w:space="0"/>
            </w:tcBorders>
            <w:vAlign w:val="center"/>
          </w:tcPr>
          <w:p w14:paraId="7F4C77A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建立有隐患排查的相关管理制度并定期组织排查。</w:t>
            </w:r>
          </w:p>
        </w:tc>
        <w:tc>
          <w:tcPr>
            <w:tcW w:w="701" w:type="dxa"/>
            <w:tcBorders>
              <w:top w:val="single" w:color="auto" w:sz="4" w:space="0"/>
              <w:left w:val="single" w:color="auto" w:sz="4" w:space="0"/>
              <w:bottom w:val="single" w:color="auto" w:sz="4" w:space="0"/>
              <w:right w:val="single" w:color="auto" w:sz="4" w:space="0"/>
            </w:tcBorders>
            <w:vAlign w:val="center"/>
          </w:tcPr>
          <w:p w14:paraId="2A62DAE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60A60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11E3616D">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21934AA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生产、经营、储存、使用危险物品的车间、商店、仓库不得与员工宿舍在同一座建筑物内，并应当与员工宿舍保持安全距离。</w:t>
            </w:r>
          </w:p>
          <w:p w14:paraId="66FCF277">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生产经营场所和员工宿舍应当设有符合紧急疏散要求、标志明显、保持畅通的出口、疏散通道。禁止占用、锁闭、封堵生产经营场所或者员工宿舍的出口、疏散通道。</w:t>
            </w:r>
          </w:p>
        </w:tc>
        <w:tc>
          <w:tcPr>
            <w:tcW w:w="1185" w:type="dxa"/>
            <w:tcBorders>
              <w:top w:val="single" w:color="auto" w:sz="4" w:space="0"/>
              <w:left w:val="single" w:color="auto" w:sz="4" w:space="0"/>
              <w:bottom w:val="single" w:color="auto" w:sz="4" w:space="0"/>
              <w:right w:val="single" w:color="auto" w:sz="4" w:space="0"/>
            </w:tcBorders>
            <w:vAlign w:val="center"/>
          </w:tcPr>
          <w:p w14:paraId="4FBCD99F">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3C08E16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四十二条</w:t>
            </w:r>
          </w:p>
        </w:tc>
        <w:tc>
          <w:tcPr>
            <w:tcW w:w="1935" w:type="dxa"/>
            <w:tcBorders>
              <w:top w:val="single" w:color="auto" w:sz="4" w:space="0"/>
              <w:left w:val="single" w:color="auto" w:sz="4" w:space="0"/>
              <w:bottom w:val="single" w:color="auto" w:sz="4" w:space="0"/>
              <w:right w:val="single" w:color="auto" w:sz="4" w:space="0"/>
            </w:tcBorders>
            <w:vAlign w:val="center"/>
          </w:tcPr>
          <w:p w14:paraId="322BF999">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生产区域内未设置员工宿舍。</w:t>
            </w:r>
          </w:p>
          <w:p w14:paraId="2A08BF43">
            <w:pPr>
              <w:adjustRightInd w:val="0"/>
              <w:snapToGrid w:val="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各作业场所安全出口符合要求。</w:t>
            </w:r>
          </w:p>
        </w:tc>
        <w:tc>
          <w:tcPr>
            <w:tcW w:w="701" w:type="dxa"/>
            <w:tcBorders>
              <w:top w:val="single" w:color="auto" w:sz="4" w:space="0"/>
              <w:left w:val="single" w:color="auto" w:sz="4" w:space="0"/>
              <w:bottom w:val="single" w:color="auto" w:sz="4" w:space="0"/>
              <w:right w:val="single" w:color="auto" w:sz="4" w:space="0"/>
            </w:tcBorders>
            <w:vAlign w:val="center"/>
          </w:tcPr>
          <w:p w14:paraId="32F1DD4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CED5E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55B19E0D">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38D9951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生产经营单位必须为从业人员提供符合国家标准或者行业标准的劳动防护用品，并监督、教育从业人员按照使用规则佩戴、使用。</w:t>
            </w:r>
          </w:p>
        </w:tc>
        <w:tc>
          <w:tcPr>
            <w:tcW w:w="1185" w:type="dxa"/>
            <w:tcBorders>
              <w:top w:val="single" w:color="auto" w:sz="4" w:space="0"/>
              <w:left w:val="single" w:color="auto" w:sz="4" w:space="0"/>
              <w:bottom w:val="single" w:color="auto" w:sz="4" w:space="0"/>
              <w:right w:val="single" w:color="auto" w:sz="4" w:space="0"/>
            </w:tcBorders>
            <w:vAlign w:val="center"/>
          </w:tcPr>
          <w:p w14:paraId="31591B9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0B5818CB">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四十五条</w:t>
            </w:r>
          </w:p>
        </w:tc>
        <w:tc>
          <w:tcPr>
            <w:tcW w:w="1935" w:type="dxa"/>
            <w:tcBorders>
              <w:top w:val="single" w:color="auto" w:sz="4" w:space="0"/>
              <w:left w:val="single" w:color="auto" w:sz="4" w:space="0"/>
              <w:bottom w:val="single" w:color="auto" w:sz="4" w:space="0"/>
              <w:right w:val="single" w:color="auto" w:sz="4" w:space="0"/>
            </w:tcBorders>
            <w:vAlign w:val="center"/>
          </w:tcPr>
          <w:p w14:paraId="7C305BE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定期发放劳保用品，现场查看时工人能正确使用。</w:t>
            </w:r>
          </w:p>
        </w:tc>
        <w:tc>
          <w:tcPr>
            <w:tcW w:w="701" w:type="dxa"/>
            <w:tcBorders>
              <w:top w:val="single" w:color="auto" w:sz="4" w:space="0"/>
              <w:left w:val="single" w:color="auto" w:sz="4" w:space="0"/>
              <w:bottom w:val="single" w:color="auto" w:sz="4" w:space="0"/>
              <w:right w:val="single" w:color="auto" w:sz="4" w:space="0"/>
            </w:tcBorders>
            <w:vAlign w:val="center"/>
          </w:tcPr>
          <w:p w14:paraId="734D1E7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5677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7D32652F">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69018F5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7FC8B1D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185" w:type="dxa"/>
            <w:tcBorders>
              <w:top w:val="single" w:color="auto" w:sz="4" w:space="0"/>
              <w:left w:val="single" w:color="auto" w:sz="4" w:space="0"/>
              <w:bottom w:val="single" w:color="auto" w:sz="4" w:space="0"/>
              <w:right w:val="single" w:color="auto" w:sz="4" w:space="0"/>
            </w:tcBorders>
            <w:vAlign w:val="center"/>
          </w:tcPr>
          <w:p w14:paraId="5C611EB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186EAC7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四十六条</w:t>
            </w:r>
          </w:p>
        </w:tc>
        <w:tc>
          <w:tcPr>
            <w:tcW w:w="1935" w:type="dxa"/>
            <w:tcBorders>
              <w:top w:val="single" w:color="auto" w:sz="4" w:space="0"/>
              <w:left w:val="single" w:color="auto" w:sz="4" w:space="0"/>
              <w:bottom w:val="single" w:color="auto" w:sz="4" w:space="0"/>
              <w:right w:val="single" w:color="auto" w:sz="4" w:space="0"/>
            </w:tcBorders>
            <w:vAlign w:val="center"/>
          </w:tcPr>
          <w:p w14:paraId="6B6FA389">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按制度要求进行各类检查，对发现的问题及时进行整改。</w:t>
            </w:r>
          </w:p>
        </w:tc>
        <w:tc>
          <w:tcPr>
            <w:tcW w:w="701" w:type="dxa"/>
            <w:tcBorders>
              <w:top w:val="single" w:color="auto" w:sz="4" w:space="0"/>
              <w:left w:val="single" w:color="auto" w:sz="4" w:space="0"/>
              <w:bottom w:val="single" w:color="auto" w:sz="4" w:space="0"/>
              <w:right w:val="single" w:color="auto" w:sz="4" w:space="0"/>
            </w:tcBorders>
            <w:vAlign w:val="center"/>
          </w:tcPr>
          <w:p w14:paraId="621B981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6AC62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3F05CFC2">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3B908E88">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生产经营单位应当安排用于配备劳动防护用品、进行安全生产培训的经费。</w:t>
            </w:r>
          </w:p>
        </w:tc>
        <w:tc>
          <w:tcPr>
            <w:tcW w:w="1185" w:type="dxa"/>
            <w:tcBorders>
              <w:top w:val="single" w:color="auto" w:sz="4" w:space="0"/>
              <w:left w:val="single" w:color="auto" w:sz="4" w:space="0"/>
              <w:bottom w:val="single" w:color="auto" w:sz="4" w:space="0"/>
              <w:right w:val="single" w:color="auto" w:sz="4" w:space="0"/>
            </w:tcBorders>
            <w:vAlign w:val="center"/>
          </w:tcPr>
          <w:p w14:paraId="5EB15E7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53A1E2D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四十七条</w:t>
            </w:r>
          </w:p>
        </w:tc>
        <w:tc>
          <w:tcPr>
            <w:tcW w:w="1935" w:type="dxa"/>
            <w:tcBorders>
              <w:top w:val="single" w:color="auto" w:sz="4" w:space="0"/>
              <w:left w:val="single" w:color="auto" w:sz="4" w:space="0"/>
              <w:bottom w:val="single" w:color="auto" w:sz="4" w:space="0"/>
              <w:right w:val="single" w:color="auto" w:sz="4" w:space="0"/>
            </w:tcBorders>
            <w:vAlign w:val="center"/>
          </w:tcPr>
          <w:p w14:paraId="4E426D40">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有配备劳动防护用品和安全培训的经费。</w:t>
            </w:r>
          </w:p>
        </w:tc>
        <w:tc>
          <w:tcPr>
            <w:tcW w:w="701" w:type="dxa"/>
            <w:tcBorders>
              <w:top w:val="single" w:color="auto" w:sz="4" w:space="0"/>
              <w:left w:val="single" w:color="auto" w:sz="4" w:space="0"/>
              <w:bottom w:val="single" w:color="auto" w:sz="4" w:space="0"/>
              <w:right w:val="single" w:color="auto" w:sz="4" w:space="0"/>
            </w:tcBorders>
            <w:vAlign w:val="center"/>
          </w:tcPr>
          <w:p w14:paraId="7E9EE17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F3973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02E8E3C3">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vAlign w:val="center"/>
          </w:tcPr>
          <w:p w14:paraId="2747875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生产经营单位不得将生产经营项目、场所、设备发包或者出租给不具备安全生产条件或者相应资质的单位或者个人。</w:t>
            </w:r>
          </w:p>
          <w:p w14:paraId="4BCA0CE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tc>
        <w:tc>
          <w:tcPr>
            <w:tcW w:w="1185" w:type="dxa"/>
            <w:tcBorders>
              <w:top w:val="single" w:color="auto" w:sz="4" w:space="0"/>
              <w:left w:val="single" w:color="auto" w:sz="4" w:space="0"/>
              <w:bottom w:val="single" w:color="auto" w:sz="4" w:space="0"/>
              <w:right w:val="single" w:color="auto" w:sz="4" w:space="0"/>
            </w:tcBorders>
            <w:vAlign w:val="center"/>
          </w:tcPr>
          <w:p w14:paraId="53459D05">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7FA2369D">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四十九条</w:t>
            </w:r>
          </w:p>
        </w:tc>
        <w:tc>
          <w:tcPr>
            <w:tcW w:w="1935" w:type="dxa"/>
            <w:tcBorders>
              <w:top w:val="single" w:color="auto" w:sz="4" w:space="0"/>
              <w:left w:val="single" w:color="auto" w:sz="4" w:space="0"/>
              <w:bottom w:val="single" w:color="auto" w:sz="4" w:space="0"/>
              <w:right w:val="single" w:color="auto" w:sz="4" w:space="0"/>
            </w:tcBorders>
            <w:vAlign w:val="center"/>
          </w:tcPr>
          <w:p w14:paraId="7196ADC2">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各班组安全生产管理均为企业统一协调、管理。</w:t>
            </w:r>
          </w:p>
        </w:tc>
        <w:tc>
          <w:tcPr>
            <w:tcW w:w="701" w:type="dxa"/>
            <w:tcBorders>
              <w:top w:val="single" w:color="auto" w:sz="4" w:space="0"/>
              <w:left w:val="single" w:color="auto" w:sz="4" w:space="0"/>
              <w:bottom w:val="single" w:color="auto" w:sz="4" w:space="0"/>
              <w:right w:val="single" w:color="auto" w:sz="4" w:space="0"/>
            </w:tcBorders>
            <w:vAlign w:val="center"/>
          </w:tcPr>
          <w:p w14:paraId="57DEA7F1">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138A2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782" w:type="dxa"/>
            <w:tcBorders>
              <w:top w:val="single" w:color="auto" w:sz="4" w:space="0"/>
              <w:left w:val="single" w:color="auto" w:sz="4" w:space="0"/>
              <w:bottom w:val="single" w:color="auto" w:sz="4" w:space="0"/>
              <w:right w:val="single" w:color="auto" w:sz="4" w:space="0"/>
            </w:tcBorders>
            <w:vAlign w:val="center"/>
          </w:tcPr>
          <w:p w14:paraId="23029E81">
            <w:pPr>
              <w:numPr>
                <w:ilvl w:val="0"/>
                <w:numId w:val="24"/>
              </w:numPr>
              <w:tabs>
                <w:tab w:val="left" w:pos="630"/>
              </w:tabs>
              <w:adjustRightInd w:val="0"/>
              <w:snapToGrid w:val="0"/>
              <w:jc w:val="center"/>
              <w:rPr>
                <w:rFonts w:hint="eastAsia" w:ascii="宋体" w:hAnsi="宋体" w:eastAsia="宋体" w:cs="宋体"/>
                <w:color w:val="000000" w:themeColor="text1"/>
                <w:sz w:val="21"/>
                <w:szCs w:val="21"/>
                <w14:textFill>
                  <w14:solidFill>
                    <w14:schemeClr w14:val="tx1"/>
                  </w14:solidFill>
                </w14:textFill>
              </w:rPr>
            </w:pPr>
          </w:p>
        </w:tc>
        <w:tc>
          <w:tcPr>
            <w:tcW w:w="3998" w:type="dxa"/>
            <w:tcBorders>
              <w:top w:val="single" w:color="auto" w:sz="4" w:space="0"/>
              <w:left w:val="single" w:color="auto" w:sz="4" w:space="0"/>
              <w:bottom w:val="single" w:color="auto" w:sz="4" w:space="0"/>
              <w:right w:val="single" w:color="auto" w:sz="4" w:space="0"/>
            </w:tcBorders>
          </w:tcPr>
          <w:p w14:paraId="76C82436">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生产经营单位必须依法参加工伤保险，为</w:t>
            </w:r>
          </w:p>
          <w:p w14:paraId="30A10DC5">
            <w:pPr>
              <w:adjustRightInd w:val="0"/>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从业人员缴纳保险费。</w:t>
            </w:r>
          </w:p>
        </w:tc>
        <w:tc>
          <w:tcPr>
            <w:tcW w:w="1185" w:type="dxa"/>
            <w:tcBorders>
              <w:top w:val="single" w:color="auto" w:sz="4" w:space="0"/>
              <w:left w:val="single" w:color="auto" w:sz="4" w:space="0"/>
              <w:bottom w:val="single" w:color="auto" w:sz="4" w:space="0"/>
              <w:right w:val="single" w:color="auto" w:sz="4" w:space="0"/>
            </w:tcBorders>
          </w:tcPr>
          <w:p w14:paraId="65449FF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《安全生产法》第</w:t>
            </w:r>
          </w:p>
          <w:p w14:paraId="2AF633CC">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五十一条</w:t>
            </w:r>
          </w:p>
        </w:tc>
        <w:tc>
          <w:tcPr>
            <w:tcW w:w="1935" w:type="dxa"/>
            <w:tcBorders>
              <w:top w:val="single" w:color="auto" w:sz="4" w:space="0"/>
              <w:left w:val="single" w:color="auto" w:sz="4" w:space="0"/>
              <w:bottom w:val="single" w:color="auto" w:sz="4" w:space="0"/>
              <w:right w:val="single" w:color="auto" w:sz="4" w:space="0"/>
            </w:tcBorders>
            <w:vAlign w:val="center"/>
          </w:tcPr>
          <w:p w14:paraId="6F9F9379">
            <w:pPr>
              <w:adjustRightInd w:val="0"/>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购买安全生产责任保险</w:t>
            </w:r>
          </w:p>
        </w:tc>
        <w:tc>
          <w:tcPr>
            <w:tcW w:w="701" w:type="dxa"/>
            <w:tcBorders>
              <w:top w:val="single" w:color="auto" w:sz="4" w:space="0"/>
              <w:left w:val="single" w:color="auto" w:sz="4" w:space="0"/>
              <w:bottom w:val="single" w:color="auto" w:sz="4" w:space="0"/>
              <w:right w:val="single" w:color="auto" w:sz="4" w:space="0"/>
            </w:tcBorders>
            <w:vAlign w:val="center"/>
          </w:tcPr>
          <w:p w14:paraId="404F3F6E">
            <w:pPr>
              <w:adjustRightInd w:val="0"/>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w:t>
            </w:r>
            <w:r>
              <w:rPr>
                <w:rFonts w:hint="eastAsia" w:ascii="宋体" w:hAnsi="宋体" w:eastAsia="宋体" w:cs="宋体"/>
                <w:color w:val="000000" w:themeColor="text1"/>
                <w:sz w:val="21"/>
                <w:szCs w:val="21"/>
                <w14:textFill>
                  <w14:solidFill>
                    <w14:schemeClr w14:val="tx1"/>
                  </w14:solidFill>
                </w14:textFill>
              </w:rPr>
              <w:t>符合</w:t>
            </w:r>
          </w:p>
        </w:tc>
      </w:tr>
    </w:tbl>
    <w:p w14:paraId="0D33F39F">
      <w:pPr>
        <w:pStyle w:val="217"/>
        <w:keepNext w:val="0"/>
        <w:keepLines w:val="0"/>
        <w:pageBreakBefore w:val="0"/>
        <w:widowControl w:val="0"/>
        <w:kinsoku/>
        <w:wordWrap/>
        <w:overflowPunct/>
        <w:topLinePunct w:val="0"/>
        <w:autoSpaceDE/>
        <w:autoSpaceDN/>
        <w:bidi w:val="0"/>
        <w:adjustRightInd w:val="0"/>
        <w:snapToGrid w:val="0"/>
        <w:textAlignment w:val="auto"/>
        <w:rPr>
          <w:rFonts w:asciiTheme="minorEastAsia" w:hAnsiTheme="minorEastAsia" w:eastAsiaTheme="minorEastAsia"/>
          <w:snapToGrid w:val="0"/>
          <w:color w:val="000000" w:themeColor="text1"/>
          <w14:textFill>
            <w14:solidFill>
              <w14:schemeClr w14:val="tx1"/>
            </w14:solidFill>
          </w14:textFill>
        </w:rPr>
      </w:pPr>
      <w:r>
        <w:rPr>
          <w:rFonts w:hint="eastAsia" w:asciiTheme="minorEastAsia" w:hAnsiTheme="minorEastAsia" w:eastAsiaTheme="minorEastAsia"/>
          <w:snapToGrid w:val="0"/>
          <w:color w:val="000000" w:themeColor="text1"/>
          <w14:textFill>
            <w14:solidFill>
              <w14:schemeClr w14:val="tx1"/>
            </w14:solidFill>
          </w14:textFill>
        </w:rPr>
        <w:t>检查评价结果：</w:t>
      </w:r>
    </w:p>
    <w:p w14:paraId="5EED464F">
      <w:pPr>
        <w:pStyle w:val="217"/>
        <w:keepNext w:val="0"/>
        <w:keepLines w:val="0"/>
        <w:pageBreakBefore w:val="0"/>
        <w:widowControl w:val="0"/>
        <w:kinsoku/>
        <w:wordWrap/>
        <w:overflowPunct/>
        <w:topLinePunct w:val="0"/>
        <w:autoSpaceDE/>
        <w:autoSpaceDN/>
        <w:bidi w:val="0"/>
        <w:adjustRightInd w:val="0"/>
        <w:snapToGrid w:val="0"/>
        <w:textAlignment w:val="auto"/>
        <w:rPr>
          <w:rFonts w:asciiTheme="minorEastAsia" w:hAnsiTheme="minorEastAsia" w:eastAsiaTheme="minorEastAsia"/>
          <w:snapToGrid w:val="0"/>
          <w:color w:val="000000" w:themeColor="text1"/>
          <w14:textFill>
            <w14:solidFill>
              <w14:schemeClr w14:val="tx1"/>
            </w14:solidFill>
          </w14:textFill>
        </w:rPr>
      </w:pPr>
      <w:r>
        <w:rPr>
          <w:rFonts w:hint="eastAsia" w:asciiTheme="minorEastAsia" w:hAnsiTheme="minorEastAsia" w:eastAsiaTheme="minorEastAsia"/>
          <w:snapToGrid w:val="0"/>
          <w:color w:val="000000" w:themeColor="text1"/>
          <w14:textFill>
            <w14:solidFill>
              <w14:schemeClr w14:val="tx1"/>
            </w14:solidFill>
          </w14:textFill>
        </w:rPr>
        <w:t>公司成立了安全生产领导小组，</w:t>
      </w:r>
      <w:r>
        <w:rPr>
          <w:rFonts w:hint="eastAsia" w:asciiTheme="minorEastAsia" w:hAnsiTheme="minorEastAsia" w:eastAsiaTheme="minorEastAsia"/>
          <w:snapToGrid w:val="0"/>
          <w:color w:val="000000" w:themeColor="text1"/>
          <w:lang w:val="en-US" w:eastAsia="zh-CN"/>
          <w14:textFill>
            <w14:solidFill>
              <w14:schemeClr w14:val="tx1"/>
            </w14:solidFill>
          </w14:textFill>
        </w:rPr>
        <w:t>配备</w:t>
      </w:r>
      <w:r>
        <w:rPr>
          <w:rFonts w:hint="eastAsia" w:asciiTheme="minorEastAsia" w:hAnsiTheme="minorEastAsia" w:eastAsiaTheme="minorEastAsia"/>
          <w:snapToGrid w:val="0"/>
          <w:color w:val="000000" w:themeColor="text1"/>
          <w14:textFill>
            <w14:solidFill>
              <w14:schemeClr w14:val="tx1"/>
            </w14:solidFill>
          </w14:textFill>
        </w:rPr>
        <w:t>专职安全员，制定了相应的安全生产责任制、安全生产管理规章制度和安全操作规程，各类安全检查、安全教育培训均能正常开展。主要负责人、安全管理人员、特种作业人员均持证上岗。</w:t>
      </w:r>
    </w:p>
    <w:p w14:paraId="2C06F8A0">
      <w:pPr>
        <w:pStyle w:val="5"/>
        <w:spacing w:before="0" w:after="0"/>
        <w:rPr>
          <w:rFonts w:hint="default" w:ascii="黑体" w:hAnsi="黑体" w:eastAsia="黑体" w:cs="宋体"/>
          <w:b w:val="0"/>
          <w:color w:val="000000" w:themeColor="text1"/>
          <w:kern w:val="0"/>
          <w:lang w:val="en-US" w:eastAsia="zh-CN"/>
          <w14:textFill>
            <w14:solidFill>
              <w14:schemeClr w14:val="tx1"/>
            </w14:solidFill>
          </w14:textFill>
        </w:rPr>
      </w:pPr>
      <w:bookmarkStart w:id="726" w:name="_Toc16893"/>
      <w:bookmarkStart w:id="727" w:name="_Toc18546"/>
      <w:bookmarkStart w:id="728" w:name="_Toc1923"/>
      <w:bookmarkStart w:id="729" w:name="_Toc455045022"/>
      <w:bookmarkStart w:id="730" w:name="_Toc472000511"/>
      <w:bookmarkStart w:id="731" w:name="_Toc465848474"/>
      <w:r>
        <w:rPr>
          <w:rFonts w:hint="eastAsia" w:ascii="黑体" w:hAnsi="黑体" w:cs="宋体"/>
          <w:b w:val="0"/>
          <w:color w:val="000000" w:themeColor="text1"/>
          <w:kern w:val="0"/>
          <w14:textFill>
            <w14:solidFill>
              <w14:schemeClr w14:val="tx1"/>
            </w14:solidFill>
          </w14:textFill>
        </w:rPr>
        <w:t>5.5.2 应急</w:t>
      </w:r>
      <w:bookmarkEnd w:id="726"/>
      <w:bookmarkEnd w:id="727"/>
      <w:r>
        <w:rPr>
          <w:rFonts w:hint="eastAsia" w:cs="宋体"/>
          <w:b w:val="0"/>
          <w:color w:val="000000" w:themeColor="text1"/>
          <w:kern w:val="0"/>
          <w:lang w:val="en-US" w:eastAsia="zh-CN"/>
          <w14:textFill>
            <w14:solidFill>
              <w14:schemeClr w14:val="tx1"/>
            </w14:solidFill>
          </w14:textFill>
        </w:rPr>
        <w:t>救援预案</w:t>
      </w:r>
      <w:bookmarkEnd w:id="728"/>
    </w:p>
    <w:bookmarkEnd w:id="729"/>
    <w:bookmarkEnd w:id="730"/>
    <w:bookmarkEnd w:id="731"/>
    <w:p w14:paraId="20F68C0D">
      <w:pPr>
        <w:adjustRightInd w:val="0"/>
        <w:snapToGrid w:val="0"/>
        <w:spacing w:line="480" w:lineRule="exact"/>
        <w:ind w:firstLine="560"/>
        <w:rPr>
          <w:rFonts w:hint="eastAsia" w:cs="宋体" w:asciiTheme="minorEastAsia" w:hAnsiTheme="minorEastAsia" w:eastAsiaTheme="minorEastAsia"/>
          <w:snapToGrid w:val="0"/>
          <w:color w:val="000000" w:themeColor="text1"/>
          <w:kern w:val="2"/>
          <w:sz w:val="28"/>
          <w:szCs w:val="28"/>
          <w:lang w:val="en-US" w:eastAsia="zh-CN" w:bidi="ar-SA"/>
          <w14:textFill>
            <w14:solidFill>
              <w14:schemeClr w14:val="tx1"/>
            </w14:solidFill>
          </w14:textFill>
        </w:rPr>
      </w:pPr>
      <w:r>
        <w:rPr>
          <w:rFonts w:hint="eastAsia" w:cs="宋体" w:asciiTheme="minorEastAsia" w:hAnsiTheme="minorEastAsia" w:eastAsiaTheme="minorEastAsia"/>
          <w:snapToGrid w:val="0"/>
          <w:color w:val="000000" w:themeColor="text1"/>
          <w:kern w:val="2"/>
          <w:sz w:val="28"/>
          <w:szCs w:val="28"/>
          <w:lang w:val="en-US" w:eastAsia="zh-CN" w:bidi="ar-SA"/>
          <w14:textFill>
            <w14:solidFill>
              <w14:schemeClr w14:val="tx1"/>
            </w14:solidFill>
          </w14:textFill>
        </w:rPr>
        <w:t>根据《中华人民共和国安全生产法》（中华人民共和国主席令第七十号，中华人民共和国主席令第八十八号修改）、《生产安全事故应急预案管理办法》（国家安全生产监督管理总局令第88号，根据应急管理部2号令修正）等法律法规的要求，对项目的事故应急救援管理进行分析评价。</w:t>
      </w:r>
    </w:p>
    <w:p w14:paraId="648E0C23">
      <w:pPr>
        <w:adjustRightInd w:val="0"/>
        <w:snapToGrid w:val="0"/>
        <w:spacing w:line="480" w:lineRule="exact"/>
        <w:ind w:firstLine="802" w:firstLineChars="333"/>
        <w:jc w:val="center"/>
        <w:rPr>
          <w:rFonts w:ascii="宋体" w:hAnsi="宋体"/>
          <w:b/>
          <w:bCs/>
          <w:color w:val="000000" w:themeColor="text1"/>
          <w:sz w:val="24"/>
          <w:szCs w:val="24"/>
          <w14:textFill>
            <w14:solidFill>
              <w14:schemeClr w14:val="tx1"/>
            </w14:solidFill>
          </w14:textFill>
        </w:rPr>
      </w:pPr>
      <w:r>
        <w:rPr>
          <w:rFonts w:hint="eastAsia" w:cs="宋体" w:asciiTheme="minorEastAsia" w:hAnsiTheme="minorEastAsia" w:eastAsiaTheme="minorEastAsia"/>
          <w:b/>
          <w:bCs/>
          <w:snapToGrid w:val="0"/>
          <w:color w:val="000000" w:themeColor="text1"/>
          <w:kern w:val="2"/>
          <w:sz w:val="24"/>
          <w:szCs w:val="24"/>
          <w:lang w:val="en-US" w:eastAsia="zh-CN" w:bidi="ar-SA"/>
          <w14:textFill>
            <w14:solidFill>
              <w14:schemeClr w14:val="tx1"/>
            </w14:solidFill>
          </w14:textFill>
        </w:rPr>
        <w:t xml:space="preserve">表5-8 </w:t>
      </w:r>
      <w:r>
        <w:rPr>
          <w:rFonts w:ascii="宋体" w:hAnsi="宋体"/>
          <w:b/>
          <w:bCs/>
          <w:color w:val="000000" w:themeColor="text1"/>
          <w:sz w:val="24"/>
          <w:szCs w:val="24"/>
          <w14:textFill>
            <w14:solidFill>
              <w14:schemeClr w14:val="tx1"/>
            </w14:solidFill>
          </w14:textFill>
        </w:rPr>
        <w:t>事故应急救援预案检查表</w:t>
      </w:r>
    </w:p>
    <w:tbl>
      <w:tblPr>
        <w:tblStyle w:val="53"/>
        <w:tblW w:w="906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2"/>
        <w:gridCol w:w="3438"/>
        <w:gridCol w:w="2127"/>
        <w:gridCol w:w="2126"/>
        <w:gridCol w:w="709"/>
      </w:tblGrid>
      <w:tr w14:paraId="5021BE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tblHeader/>
          <w:jc w:val="center"/>
        </w:trPr>
        <w:tc>
          <w:tcPr>
            <w:tcW w:w="662" w:type="dxa"/>
            <w:tcBorders>
              <w:top w:val="single" w:color="auto" w:sz="4" w:space="0"/>
              <w:left w:val="single" w:color="auto" w:sz="4" w:space="0"/>
              <w:bottom w:val="single" w:color="auto" w:sz="4" w:space="0"/>
              <w:right w:val="single" w:color="auto" w:sz="4" w:space="0"/>
            </w:tcBorders>
            <w:vAlign w:val="center"/>
          </w:tcPr>
          <w:p w14:paraId="32429D00">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3438" w:type="dxa"/>
            <w:tcBorders>
              <w:top w:val="single" w:color="auto" w:sz="4" w:space="0"/>
              <w:left w:val="single" w:color="auto" w:sz="4" w:space="0"/>
              <w:bottom w:val="single" w:color="auto" w:sz="4" w:space="0"/>
              <w:right w:val="single" w:color="auto" w:sz="4" w:space="0"/>
            </w:tcBorders>
            <w:vAlign w:val="center"/>
          </w:tcPr>
          <w:p w14:paraId="5A67A9C7">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2127" w:type="dxa"/>
            <w:tcBorders>
              <w:top w:val="single" w:color="auto" w:sz="4" w:space="0"/>
              <w:left w:val="single" w:color="auto" w:sz="4" w:space="0"/>
              <w:bottom w:val="single" w:color="auto" w:sz="4" w:space="0"/>
              <w:right w:val="single" w:color="auto" w:sz="4" w:space="0"/>
            </w:tcBorders>
            <w:vAlign w:val="center"/>
          </w:tcPr>
          <w:p w14:paraId="6EBBA3CF">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依据标准</w:t>
            </w:r>
          </w:p>
        </w:tc>
        <w:tc>
          <w:tcPr>
            <w:tcW w:w="2126" w:type="dxa"/>
            <w:tcBorders>
              <w:top w:val="single" w:color="auto" w:sz="4" w:space="0"/>
              <w:left w:val="single" w:color="auto" w:sz="4" w:space="0"/>
              <w:bottom w:val="single" w:color="auto" w:sz="4" w:space="0"/>
              <w:right w:val="single" w:color="auto" w:sz="4" w:space="0"/>
            </w:tcBorders>
            <w:vAlign w:val="center"/>
          </w:tcPr>
          <w:p w14:paraId="2125147A">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709" w:type="dxa"/>
            <w:tcBorders>
              <w:top w:val="single" w:color="auto" w:sz="4" w:space="0"/>
              <w:left w:val="single" w:color="auto" w:sz="4" w:space="0"/>
              <w:bottom w:val="single" w:color="auto" w:sz="4" w:space="0"/>
              <w:right w:val="single" w:color="auto" w:sz="4" w:space="0"/>
            </w:tcBorders>
            <w:vAlign w:val="center"/>
          </w:tcPr>
          <w:p w14:paraId="48598DF6">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结论</w:t>
            </w:r>
          </w:p>
        </w:tc>
      </w:tr>
      <w:tr w14:paraId="19959C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281E32B6">
            <w:pPr>
              <w:numPr>
                <w:ilvl w:val="0"/>
                <w:numId w:val="25"/>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0580749F">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p>
        </w:tc>
        <w:tc>
          <w:tcPr>
            <w:tcW w:w="2127" w:type="dxa"/>
            <w:tcBorders>
              <w:top w:val="single" w:color="auto" w:sz="4" w:space="0"/>
              <w:left w:val="single" w:color="auto" w:sz="4" w:space="0"/>
              <w:bottom w:val="single" w:color="auto" w:sz="4" w:space="0"/>
              <w:right w:val="single" w:color="auto" w:sz="4" w:space="0"/>
            </w:tcBorders>
            <w:vAlign w:val="center"/>
          </w:tcPr>
          <w:p w14:paraId="5E11DEB9">
            <w:pPr>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《中华人民共和国安全生产法》（中华人民共和国主席令第七十号，中华人民共和国主席令第八十八号修改）第七十八条</w:t>
            </w:r>
          </w:p>
        </w:tc>
        <w:tc>
          <w:tcPr>
            <w:tcW w:w="2126" w:type="dxa"/>
            <w:tcBorders>
              <w:top w:val="single" w:color="auto" w:sz="4" w:space="0"/>
              <w:left w:val="single" w:color="auto" w:sz="4" w:space="0"/>
              <w:bottom w:val="single" w:color="auto" w:sz="4" w:space="0"/>
              <w:right w:val="single" w:color="auto" w:sz="4" w:space="0"/>
            </w:tcBorders>
            <w:vAlign w:val="center"/>
          </w:tcPr>
          <w:p w14:paraId="5D101A13">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企业制定了生产安全事故应急救援预案</w:t>
            </w:r>
            <w:r>
              <w:rPr>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14:paraId="65A43345">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07EBB2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682D002C">
            <w:pPr>
              <w:numPr>
                <w:ilvl w:val="0"/>
                <w:numId w:val="25"/>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3586FEFA">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矿山、金属冶炼、建筑施工企业和易燃易爆物品、危险化学品的生产、经营（带储存设施的，下同）、储存企业，以及使用危险化学品达到国家规定数量的化工企业、烟花爆竹生产、批发经营企业和中型规模以上的其他生产经营单位，应当对本单位编制的应急预案进行评审，并形成书面评审纪要。</w:t>
            </w:r>
          </w:p>
          <w:p w14:paraId="528A1DFE">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前款规定以外的其他生产经营单位应当对本单位编制的应急预案进行论证。</w:t>
            </w:r>
          </w:p>
        </w:tc>
        <w:tc>
          <w:tcPr>
            <w:tcW w:w="2127" w:type="dxa"/>
            <w:tcBorders>
              <w:top w:val="single" w:color="auto" w:sz="4" w:space="0"/>
              <w:left w:val="single" w:color="auto" w:sz="4" w:space="0"/>
              <w:bottom w:val="single" w:color="auto" w:sz="4" w:space="0"/>
              <w:right w:val="single" w:color="auto" w:sz="4" w:space="0"/>
            </w:tcBorders>
            <w:vAlign w:val="center"/>
          </w:tcPr>
          <w:p w14:paraId="35565B27">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《生产安全事故应急预案管理办法》</w:t>
            </w:r>
          </w:p>
          <w:p w14:paraId="7A840A64">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（国家安全生产监督管理总局令第88号，根据应急管理部2号令修正）第二十一条</w:t>
            </w:r>
          </w:p>
        </w:tc>
        <w:tc>
          <w:tcPr>
            <w:tcW w:w="2126" w:type="dxa"/>
            <w:tcBorders>
              <w:top w:val="single" w:color="auto" w:sz="4" w:space="0"/>
              <w:left w:val="single" w:color="auto" w:sz="4" w:space="0"/>
              <w:bottom w:val="single" w:color="auto" w:sz="4" w:space="0"/>
              <w:right w:val="single" w:color="auto" w:sz="4" w:space="0"/>
            </w:tcBorders>
            <w:vAlign w:val="center"/>
          </w:tcPr>
          <w:p w14:paraId="1490B337">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企业制定了生产安全事故应急救援预案，并对应急预案进行评审，形成书面评审纪要</w:t>
            </w:r>
            <w:r>
              <w:rPr>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14:paraId="768A0AC8">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726664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5AAFF47F">
            <w:pPr>
              <w:numPr>
                <w:ilvl w:val="0"/>
                <w:numId w:val="25"/>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585195BB">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2127" w:type="dxa"/>
            <w:tcBorders>
              <w:top w:val="single" w:color="auto" w:sz="4" w:space="0"/>
              <w:left w:val="single" w:color="auto" w:sz="4" w:space="0"/>
              <w:bottom w:val="single" w:color="auto" w:sz="4" w:space="0"/>
              <w:right w:val="single" w:color="auto" w:sz="4" w:space="0"/>
            </w:tcBorders>
            <w:vAlign w:val="center"/>
          </w:tcPr>
          <w:p w14:paraId="4AF5A661">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《生产安全事故应急预案管理办法》</w:t>
            </w:r>
          </w:p>
          <w:p w14:paraId="593CA87F">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（国家安全生产监督管理总局令第88号，根据应急管理部2号令修正）第二十六条</w:t>
            </w:r>
          </w:p>
        </w:tc>
        <w:tc>
          <w:tcPr>
            <w:tcW w:w="2126" w:type="dxa"/>
            <w:tcBorders>
              <w:top w:val="single" w:color="auto" w:sz="4" w:space="0"/>
              <w:left w:val="single" w:color="auto" w:sz="4" w:space="0"/>
              <w:bottom w:val="single" w:color="auto" w:sz="4" w:space="0"/>
              <w:right w:val="single" w:color="auto" w:sz="4" w:space="0"/>
            </w:tcBorders>
            <w:vAlign w:val="center"/>
          </w:tcPr>
          <w:p w14:paraId="3E0D8C8B">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已报送应急管理局备案。</w:t>
            </w:r>
          </w:p>
        </w:tc>
        <w:tc>
          <w:tcPr>
            <w:tcW w:w="709" w:type="dxa"/>
            <w:tcBorders>
              <w:top w:val="single" w:color="auto" w:sz="4" w:space="0"/>
              <w:left w:val="single" w:color="auto" w:sz="4" w:space="0"/>
              <w:bottom w:val="single" w:color="auto" w:sz="4" w:space="0"/>
              <w:right w:val="single" w:color="auto" w:sz="4" w:space="0"/>
            </w:tcBorders>
            <w:vAlign w:val="center"/>
          </w:tcPr>
          <w:p w14:paraId="5C356AA9">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F8F3C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6719B8DC">
            <w:pPr>
              <w:numPr>
                <w:ilvl w:val="0"/>
                <w:numId w:val="25"/>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11091EDF">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各级应急管理部门应当将本部门应急预案的培训纳入安全生产培训工作计划，并组织实施本行政区域内重点生产经营单位的应急预案培训工作。</w:t>
            </w:r>
          </w:p>
          <w:p w14:paraId="36907E1B">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生产经营单位应当组织开展本单位的应急预案、应急知识、自救互救和避险逃生技能的培训活动，使有关人员了解应急预案内容，熟悉应急职责、应急处置程序和措施。</w:t>
            </w:r>
          </w:p>
          <w:p w14:paraId="6F8C04ED">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应急培训的时间、地点、内容、师资、参加人员和考核结果等情况应当如实记入本单位的安全生产教育和培训档案。</w:t>
            </w:r>
          </w:p>
        </w:tc>
        <w:tc>
          <w:tcPr>
            <w:tcW w:w="2127" w:type="dxa"/>
            <w:tcBorders>
              <w:top w:val="single" w:color="auto" w:sz="4" w:space="0"/>
              <w:left w:val="single" w:color="auto" w:sz="4" w:space="0"/>
              <w:bottom w:val="single" w:color="auto" w:sz="4" w:space="0"/>
              <w:right w:val="single" w:color="auto" w:sz="4" w:space="0"/>
            </w:tcBorders>
            <w:vAlign w:val="center"/>
          </w:tcPr>
          <w:p w14:paraId="4D000CAD">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《生产安全事故应急预案管理办法》</w:t>
            </w:r>
          </w:p>
          <w:p w14:paraId="2D143738">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（国家安全生产监督管理总局令第88号，根据应急管理部2号令修正）</w:t>
            </w:r>
            <w:bookmarkStart w:id="732" w:name="_Toc494296193"/>
            <w:bookmarkStart w:id="733" w:name="_Toc523950027"/>
            <w:bookmarkStart w:id="734" w:name="_Toc2253647"/>
            <w:bookmarkStart w:id="735" w:name="_Toc510859842"/>
            <w:r>
              <w:rPr>
                <w:rFonts w:ascii="Times New Roman" w:hAnsi="Times New Roman" w:eastAsia="宋体" w:cs="Times New Roman"/>
                <w:color w:val="000000" w:themeColor="text1"/>
                <w:sz w:val="21"/>
                <w:szCs w:val="21"/>
                <w14:textFill>
                  <w14:solidFill>
                    <w14:schemeClr w14:val="tx1"/>
                  </w14:solidFill>
                </w14:textFill>
              </w:rPr>
              <w:t>第三十一条</w:t>
            </w:r>
            <w:bookmarkEnd w:id="732"/>
            <w:bookmarkEnd w:id="733"/>
            <w:bookmarkEnd w:id="734"/>
            <w:bookmarkEnd w:id="735"/>
          </w:p>
        </w:tc>
        <w:tc>
          <w:tcPr>
            <w:tcW w:w="2126" w:type="dxa"/>
            <w:tcBorders>
              <w:top w:val="single" w:color="auto" w:sz="4" w:space="0"/>
              <w:left w:val="single" w:color="auto" w:sz="4" w:space="0"/>
              <w:bottom w:val="single" w:color="auto" w:sz="4" w:space="0"/>
              <w:right w:val="single" w:color="auto" w:sz="4" w:space="0"/>
            </w:tcBorders>
            <w:vAlign w:val="center"/>
          </w:tcPr>
          <w:p w14:paraId="4079D43F">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企业</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按要求</w:t>
            </w:r>
            <w:r>
              <w:rPr>
                <w:rFonts w:hint="eastAsia" w:ascii="Times New Roman" w:hAnsi="Times New Roman" w:eastAsia="宋体" w:cs="Times New Roman"/>
                <w:color w:val="000000" w:themeColor="text1"/>
                <w:sz w:val="21"/>
                <w:szCs w:val="21"/>
                <w14:textFill>
                  <w14:solidFill>
                    <w14:schemeClr w14:val="tx1"/>
                  </w14:solidFill>
                </w14:textFill>
              </w:rPr>
              <w:t>组织开展应急预案、应急知识、自救互救和避险逃生技能的培训活动</w:t>
            </w:r>
            <w:r>
              <w:rPr>
                <w:rFonts w:ascii="Times New Roman" w:hAnsi="Times New Roman" w:eastAsia="宋体" w:cs="Times New Roman"/>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14:paraId="1E38CB34">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8F833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3B2CCBB8">
            <w:pPr>
              <w:numPr>
                <w:ilvl w:val="0"/>
                <w:numId w:val="25"/>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14:paraId="27F7247E">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生产经营单位应当按照应急预案的规定，落实应急指挥体系、应急救援队伍、应急物资及装备，建立应急物资、装备配备及其使用档案，并对应急物资、装备进行定期检测和维护，使其处于适用状态。</w:t>
            </w:r>
          </w:p>
        </w:tc>
        <w:tc>
          <w:tcPr>
            <w:tcW w:w="2127" w:type="dxa"/>
            <w:tcBorders>
              <w:top w:val="single" w:color="auto" w:sz="4" w:space="0"/>
              <w:left w:val="single" w:color="auto" w:sz="4" w:space="0"/>
              <w:bottom w:val="single" w:color="auto" w:sz="4" w:space="0"/>
              <w:right w:val="single" w:color="auto" w:sz="4" w:space="0"/>
            </w:tcBorders>
            <w:vAlign w:val="center"/>
          </w:tcPr>
          <w:p w14:paraId="7AE1E7CF">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《生产安全事故应急预案管理办法》</w:t>
            </w:r>
          </w:p>
          <w:p w14:paraId="7FA6DB8C">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（国家安全生产监督管理总局令第88号，根据应急管理部2号令修正）</w:t>
            </w:r>
            <w:bookmarkStart w:id="736" w:name="_Toc510859844"/>
            <w:bookmarkStart w:id="737" w:name="_Toc2253649"/>
            <w:bookmarkStart w:id="738" w:name="_Toc523950029"/>
            <w:bookmarkStart w:id="739" w:name="_Toc494296195"/>
            <w:r>
              <w:rPr>
                <w:color w:val="000000" w:themeColor="text1"/>
                <w:sz w:val="21"/>
                <w:szCs w:val="21"/>
                <w14:textFill>
                  <w14:solidFill>
                    <w14:schemeClr w14:val="tx1"/>
                  </w14:solidFill>
                </w14:textFill>
              </w:rPr>
              <w:t>第三十八条</w:t>
            </w:r>
            <w:bookmarkEnd w:id="736"/>
            <w:bookmarkEnd w:id="737"/>
            <w:bookmarkEnd w:id="738"/>
            <w:bookmarkEnd w:id="739"/>
          </w:p>
        </w:tc>
        <w:tc>
          <w:tcPr>
            <w:tcW w:w="2126" w:type="dxa"/>
            <w:tcBorders>
              <w:top w:val="single" w:color="auto" w:sz="4" w:space="0"/>
              <w:left w:val="single" w:color="auto" w:sz="4" w:space="0"/>
              <w:bottom w:val="single" w:color="auto" w:sz="4" w:space="0"/>
              <w:right w:val="single" w:color="auto" w:sz="4" w:space="0"/>
            </w:tcBorders>
            <w:vAlign w:val="center"/>
          </w:tcPr>
          <w:p w14:paraId="3A0EA47A">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企业按照应急预案的规定，落实了应急指挥体系、应急救援队伍、应急物资及装备，应急物资、装备进行处于适用状态。</w:t>
            </w:r>
          </w:p>
        </w:tc>
        <w:tc>
          <w:tcPr>
            <w:tcW w:w="709" w:type="dxa"/>
            <w:tcBorders>
              <w:top w:val="single" w:color="auto" w:sz="4" w:space="0"/>
              <w:left w:val="single" w:color="auto" w:sz="4" w:space="0"/>
              <w:bottom w:val="single" w:color="auto" w:sz="4" w:space="0"/>
              <w:right w:val="single" w:color="auto" w:sz="4" w:space="0"/>
            </w:tcBorders>
            <w:vAlign w:val="center"/>
          </w:tcPr>
          <w:p w14:paraId="20144B30">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3C37BE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14:paraId="27B612B8">
            <w:pPr>
              <w:numPr>
                <w:ilvl w:val="0"/>
                <w:numId w:val="25"/>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shd w:val="clear" w:color="auto" w:fill="auto"/>
            <w:vAlign w:val="center"/>
          </w:tcPr>
          <w:p w14:paraId="5EDF30A9">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生产经营单位应当制定本单位的应急预案演练计划，根据本单位的事故风险特点，每年至少组织一次综合应急预案演练或者专项应急预案演练，每半年至少组织一次现场处置方案演练。</w:t>
            </w:r>
          </w:p>
        </w:tc>
        <w:tc>
          <w:tcPr>
            <w:tcW w:w="2127" w:type="dxa"/>
            <w:tcBorders>
              <w:top w:val="single" w:color="auto" w:sz="4" w:space="0"/>
              <w:left w:val="single" w:color="auto" w:sz="4" w:space="0"/>
              <w:bottom w:val="single" w:color="auto" w:sz="4" w:space="0"/>
              <w:right w:val="single" w:color="auto" w:sz="4" w:space="0"/>
            </w:tcBorders>
            <w:shd w:val="clear" w:color="auto" w:fill="auto"/>
            <w:vAlign w:val="center"/>
          </w:tcPr>
          <w:p w14:paraId="31E67CD2">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《生产安全事故应急预案管理办法》第三十三条</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14:paraId="05281C1B">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公司</w:t>
            </w:r>
            <w:r>
              <w:rPr>
                <w:rFonts w:hint="eastAsia" w:ascii="宋体" w:hAnsi="宋体" w:eastAsia="宋体" w:cs="宋体"/>
                <w:color w:val="000000" w:themeColor="text1"/>
                <w:sz w:val="21"/>
                <w:szCs w:val="21"/>
                <w:lang w:val="en-US" w:eastAsia="zh-CN"/>
                <w14:textFill>
                  <w14:solidFill>
                    <w14:schemeClr w14:val="tx1"/>
                  </w14:solidFill>
                </w14:textFill>
              </w:rPr>
              <w:t>未</w:t>
            </w:r>
            <w:r>
              <w:rPr>
                <w:rFonts w:hint="eastAsia" w:ascii="宋体" w:hAnsi="宋体" w:eastAsia="宋体" w:cs="宋体"/>
                <w:color w:val="000000" w:themeColor="text1"/>
                <w:sz w:val="21"/>
                <w:szCs w:val="21"/>
                <w14:textFill>
                  <w14:solidFill>
                    <w14:schemeClr w14:val="tx1"/>
                  </w14:solidFill>
                </w14:textFill>
              </w:rPr>
              <w:t>定期组织演练。</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CBC3986">
            <w:pPr>
              <w:adjustRightInd w:val="0"/>
              <w:snapToGrid w:val="0"/>
              <w:jc w:val="left"/>
              <w:rPr>
                <w:rFonts w:hint="eastAsia" w:ascii="宋体" w:hAnsi="宋体" w:eastAsia="宋体" w:cs="宋体"/>
                <w:color w:val="000000" w:themeColor="text1"/>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不</w:t>
            </w:r>
            <w:r>
              <w:rPr>
                <w:rFonts w:hint="eastAsia" w:ascii="宋体" w:hAnsi="宋体" w:eastAsia="宋体" w:cs="宋体"/>
                <w:color w:val="000000" w:themeColor="text1"/>
                <w:sz w:val="21"/>
                <w:szCs w:val="21"/>
                <w14:textFill>
                  <w14:solidFill>
                    <w14:schemeClr w14:val="tx1"/>
                  </w14:solidFill>
                </w14:textFill>
              </w:rPr>
              <w:t>符合</w:t>
            </w:r>
          </w:p>
        </w:tc>
      </w:tr>
    </w:tbl>
    <w:p w14:paraId="7EDA730A">
      <w:pPr>
        <w:pStyle w:val="217"/>
        <w:adjustRightInd w:val="0"/>
        <w:snapToGrid w:val="0"/>
        <w:ind w:left="0" w:leftChars="0" w:firstLine="560" w:firstLineChars="200"/>
        <w:rPr>
          <w:rFonts w:hint="default" w:ascii="宋体" w:hAnsi="宋体" w:eastAsia="宋体"/>
          <w:snapToGrid w:val="0"/>
          <w:color w:val="000000" w:themeColor="text1"/>
          <w:lang w:val="en-US" w:eastAsia="zh-CN"/>
          <w14:textFill>
            <w14:solidFill>
              <w14:schemeClr w14:val="tx1"/>
            </w14:solidFill>
          </w14:textFill>
        </w:rPr>
      </w:pPr>
      <w:r>
        <w:rPr>
          <w:rFonts w:hint="eastAsia" w:ascii="宋体" w:hAnsi="宋体"/>
          <w:snapToGrid w:val="0"/>
          <w:color w:val="000000" w:themeColor="text1"/>
          <w14:textFill>
            <w14:solidFill>
              <w14:schemeClr w14:val="tx1"/>
            </w14:solidFill>
          </w14:textFill>
        </w:rPr>
        <w:t>南华昆轻树脂瓦开发有限公司编制了生产安全事故综合应急预案，组织专家对预案进行了评审，颁布实施，已备案</w:t>
      </w:r>
      <w:r>
        <w:rPr>
          <w:rFonts w:hint="eastAsia" w:hAnsi="宋体"/>
          <w:snapToGrid w:val="0"/>
          <w:color w:val="000000" w:themeColor="text1"/>
          <w:lang w:eastAsia="zh-CN"/>
          <w14:textFill>
            <w14:solidFill>
              <w14:schemeClr w14:val="tx1"/>
            </w14:solidFill>
          </w14:textFill>
        </w:rPr>
        <w:t>，</w:t>
      </w:r>
      <w:r>
        <w:rPr>
          <w:rFonts w:hint="eastAsia" w:hAnsi="宋体"/>
          <w:snapToGrid w:val="0"/>
          <w:color w:val="000000" w:themeColor="text1"/>
          <w:lang w:val="en-US" w:eastAsia="zh-CN"/>
          <w14:textFill>
            <w14:solidFill>
              <w14:schemeClr w14:val="tx1"/>
            </w14:solidFill>
          </w14:textFill>
        </w:rPr>
        <w:t>但未定期组织演练。</w:t>
      </w:r>
    </w:p>
    <w:p w14:paraId="2A4B211C">
      <w:pPr>
        <w:pStyle w:val="5"/>
        <w:spacing w:before="0" w:after="0"/>
        <w:rPr>
          <w:rFonts w:ascii="黑体" w:hAnsi="黑体" w:cs="宋体"/>
          <w:b w:val="0"/>
          <w:color w:val="000000" w:themeColor="text1"/>
          <w:kern w:val="0"/>
          <w14:textFill>
            <w14:solidFill>
              <w14:schemeClr w14:val="tx1"/>
            </w14:solidFill>
          </w14:textFill>
        </w:rPr>
      </w:pPr>
      <w:bookmarkStart w:id="740" w:name="_Toc18420"/>
      <w:bookmarkStart w:id="741" w:name="_Toc959"/>
      <w:bookmarkStart w:id="742" w:name="_Toc2508"/>
      <w:r>
        <w:rPr>
          <w:rFonts w:hint="eastAsia" w:ascii="黑体" w:hAnsi="黑体" w:cs="宋体"/>
          <w:b w:val="0"/>
          <w:color w:val="000000" w:themeColor="text1"/>
          <w:kern w:val="0"/>
          <w14:textFill>
            <w14:solidFill>
              <w14:schemeClr w14:val="tx1"/>
            </w14:solidFill>
          </w14:textFill>
        </w:rPr>
        <w:t>5.5.3 单元小结</w:t>
      </w:r>
      <w:bookmarkEnd w:id="740"/>
      <w:bookmarkEnd w:id="741"/>
      <w:bookmarkEnd w:id="742"/>
    </w:p>
    <w:p w14:paraId="69704B5A">
      <w:pPr>
        <w:keepNext w:val="0"/>
        <w:keepLines w:val="0"/>
        <w:pageBreakBefore w:val="0"/>
        <w:widowControl w:val="0"/>
        <w:numPr>
          <w:ilvl w:val="0"/>
          <w:numId w:val="2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企业结合自身实际成立了安全</w:t>
      </w:r>
      <w:r>
        <w:rPr>
          <w:rFonts w:hint="eastAsia" w:ascii="宋体" w:hAnsi="宋体" w:eastAsia="宋体" w:cs="宋体"/>
          <w:color w:val="000000" w:themeColor="text1"/>
          <w:sz w:val="28"/>
          <w:szCs w:val="28"/>
          <w:lang w:eastAsia="zh-CN"/>
          <w14:textFill>
            <w14:solidFill>
              <w14:schemeClr w14:val="tx1"/>
            </w14:solidFill>
          </w14:textFill>
        </w:rPr>
        <w:t>生产</w:t>
      </w:r>
      <w:r>
        <w:rPr>
          <w:rFonts w:hint="eastAsia" w:ascii="宋体" w:hAnsi="宋体" w:eastAsia="宋体" w:cs="宋体"/>
          <w:color w:val="000000" w:themeColor="text1"/>
          <w:sz w:val="28"/>
          <w:szCs w:val="28"/>
          <w14:textFill>
            <w14:solidFill>
              <w14:schemeClr w14:val="tx1"/>
            </w14:solidFill>
          </w14:textFill>
        </w:rPr>
        <w:t>领导小组，并任命了专职安全管理人员，建立了全员安全生产责任制、安全管理规章制度、安全操作规程及安全</w:t>
      </w:r>
      <w:r>
        <w:rPr>
          <w:rFonts w:hint="eastAsia" w:ascii="宋体" w:hAnsi="宋体" w:eastAsia="宋体" w:cs="宋体"/>
          <w:color w:val="000000" w:themeColor="text1"/>
          <w:sz w:val="28"/>
          <w:szCs w:val="28"/>
          <w:lang w:eastAsia="zh-CN"/>
          <w14:textFill>
            <w14:solidFill>
              <w14:schemeClr w14:val="tx1"/>
            </w14:solidFill>
          </w14:textFill>
        </w:rPr>
        <w:t>管理台账</w:t>
      </w:r>
      <w:r>
        <w:rPr>
          <w:rFonts w:hint="eastAsia" w:ascii="宋体" w:hAnsi="宋体" w:eastAsia="宋体" w:cs="宋体"/>
          <w:color w:val="000000" w:themeColor="text1"/>
          <w:sz w:val="28"/>
          <w:szCs w:val="28"/>
          <w14:textFill>
            <w14:solidFill>
              <w14:schemeClr w14:val="tx1"/>
            </w14:solidFill>
          </w14:textFill>
        </w:rPr>
        <w:t>，为企业职工配发了劳动防护用品。</w:t>
      </w:r>
    </w:p>
    <w:p w14:paraId="18B3AF1D">
      <w:pPr>
        <w:keepNext w:val="0"/>
        <w:keepLines w:val="0"/>
        <w:pageBreakBefore w:val="0"/>
        <w:widowControl w:val="0"/>
        <w:numPr>
          <w:ilvl w:val="0"/>
          <w:numId w:val="2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企业按照应急预案的规定，</w:t>
      </w:r>
      <w:r>
        <w:rPr>
          <w:rFonts w:hint="eastAsia" w:ascii="宋体" w:hAnsi="宋体" w:eastAsia="宋体" w:cs="宋体"/>
          <w:color w:val="000000" w:themeColor="text1"/>
          <w:sz w:val="28"/>
          <w:szCs w:val="28"/>
          <w:lang w:val="en-US" w:eastAsia="zh-CN"/>
          <w14:textFill>
            <w14:solidFill>
              <w14:schemeClr w14:val="tx1"/>
            </w14:solidFill>
          </w14:textFill>
        </w:rPr>
        <w:t>编制了应急预案，</w:t>
      </w:r>
      <w:r>
        <w:rPr>
          <w:rFonts w:hint="eastAsia" w:ascii="宋体" w:hAnsi="宋体" w:eastAsia="宋体" w:cs="宋体"/>
          <w:color w:val="000000" w:themeColor="text1"/>
          <w:sz w:val="28"/>
          <w:szCs w:val="28"/>
          <w14:textFill>
            <w14:solidFill>
              <w14:schemeClr w14:val="tx1"/>
            </w14:solidFill>
          </w14:textFill>
        </w:rPr>
        <w:t>落实了应急指挥体系、应急救援队伍、应急物资及装备，应急物资、装备进行处于适用状态。</w:t>
      </w:r>
      <w:r>
        <w:rPr>
          <w:rFonts w:hint="eastAsia" w:ascii="宋体" w:hAnsi="宋体" w:eastAsia="宋体" w:cs="宋体"/>
          <w:color w:val="000000" w:themeColor="text1"/>
          <w:sz w:val="28"/>
          <w:szCs w:val="28"/>
          <w:lang w:val="en-US" w:eastAsia="zh-CN"/>
          <w14:textFill>
            <w14:solidFill>
              <w14:schemeClr w14:val="tx1"/>
            </w14:solidFill>
          </w14:textFill>
        </w:rPr>
        <w:t>企业预案已按要求到南华县应急管理局进行了备案。</w:t>
      </w:r>
    </w:p>
    <w:p w14:paraId="0D08969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根据评价分析，安全管理评价单元</w:t>
      </w:r>
      <w:r>
        <w:rPr>
          <w:rFonts w:hint="eastAsia" w:ascii="宋体" w:hAnsi="宋体" w:eastAsia="宋体" w:cs="宋体"/>
          <w:color w:val="000000" w:themeColor="text1"/>
          <w:sz w:val="28"/>
          <w:szCs w:val="28"/>
          <w14:textFill>
            <w14:solidFill>
              <w14:schemeClr w14:val="tx1"/>
            </w14:solidFill>
          </w14:textFill>
        </w:rPr>
        <w:t>符合</w:t>
      </w:r>
      <w:r>
        <w:rPr>
          <w:rFonts w:hint="eastAsia" w:ascii="宋体" w:hAnsi="宋体" w:eastAsia="宋体" w:cs="宋体"/>
          <w:color w:val="000000" w:themeColor="text1"/>
          <w:sz w:val="28"/>
          <w:szCs w:val="28"/>
          <w:lang w:val="en-US" w:eastAsia="zh-CN"/>
          <w14:textFill>
            <w14:solidFill>
              <w14:schemeClr w14:val="tx1"/>
            </w14:solidFill>
          </w14:textFill>
        </w:rPr>
        <w:t>相关法律规范的</w:t>
      </w:r>
      <w:r>
        <w:rPr>
          <w:rFonts w:hint="eastAsia" w:ascii="宋体" w:hAnsi="宋体" w:eastAsia="宋体" w:cs="宋体"/>
          <w:color w:val="000000" w:themeColor="text1"/>
          <w:sz w:val="28"/>
          <w:szCs w:val="28"/>
          <w14:textFill>
            <w14:solidFill>
              <w14:schemeClr w14:val="tx1"/>
            </w14:solidFill>
          </w14:textFill>
        </w:rPr>
        <w:t>要求。</w:t>
      </w:r>
    </w:p>
    <w:p w14:paraId="3D43C400">
      <w:pPr>
        <w:keepNext w:val="0"/>
        <w:keepLines w:val="0"/>
        <w:pageBreakBefore w:val="0"/>
        <w:widowControl w:val="0"/>
        <w:kinsoku/>
        <w:wordWrap/>
        <w:overflowPunct/>
        <w:topLinePunct w:val="0"/>
        <w:autoSpaceDE/>
        <w:autoSpaceDN/>
        <w:bidi w:val="0"/>
        <w:adjustRightInd/>
        <w:snapToGrid/>
        <w:spacing w:line="500" w:lineRule="exact"/>
        <w:ind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但存在以下问题：1.未组织应急演练活动。</w:t>
      </w:r>
    </w:p>
    <w:p w14:paraId="7DBF78D7">
      <w:pPr>
        <w:pStyle w:val="4"/>
        <w:spacing w:line="360" w:lineRule="auto"/>
        <w:rPr>
          <w:rFonts w:ascii="Times New Roman" w:hAnsi="Times New Roman"/>
          <w:color w:val="000000" w:themeColor="text1"/>
          <w14:textFill>
            <w14:solidFill>
              <w14:schemeClr w14:val="tx1"/>
            </w14:solidFill>
          </w14:textFill>
        </w:rPr>
      </w:pPr>
      <w:bookmarkStart w:id="743" w:name="_Toc21423"/>
      <w:r>
        <w:rPr>
          <w:rFonts w:ascii="Times New Roman" w:hAnsi="Times New Roman"/>
          <w:color w:val="000000" w:themeColor="text1"/>
          <w14:textFill>
            <w14:solidFill>
              <w14:schemeClr w14:val="tx1"/>
            </w14:solidFill>
          </w14:textFill>
        </w:rPr>
        <w:t>5.6 重大生产安全事故隐患单元</w:t>
      </w:r>
      <w:bookmarkEnd w:id="743"/>
    </w:p>
    <w:p w14:paraId="4BDEC2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该企业属于建材行业，根据《工贸行业重大生产安全事故隐患判定标准》 （2023年3月20日应急管理部令第10号公布，自2023年5月15日起施行）的相关规定进行项目重大事故隐患检查，检查结果见下表</w:t>
      </w:r>
      <w:r>
        <w:rPr>
          <w:rFonts w:hint="eastAsia" w:ascii="宋体" w:hAnsi="宋体" w:eastAsia="宋体" w:cs="宋体"/>
          <w:color w:val="000000" w:themeColor="text1"/>
          <w:sz w:val="28"/>
          <w:szCs w:val="28"/>
          <w:lang w:val="en-US" w:eastAsia="zh-CN"/>
          <w14:textFill>
            <w14:solidFill>
              <w14:schemeClr w14:val="tx1"/>
            </w14:solidFill>
          </w14:textFill>
        </w:rPr>
        <w:t>。</w:t>
      </w:r>
    </w:p>
    <w:p w14:paraId="03F0DF1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表 5-</w:t>
      </w:r>
      <w:r>
        <w:rPr>
          <w:rFonts w:hint="eastAsia" w:hAnsi="宋体" w:cs="宋体"/>
          <w:b/>
          <w:bCs/>
          <w:color w:val="000000" w:themeColor="text1"/>
          <w:sz w:val="24"/>
          <w:szCs w:val="24"/>
          <w:lang w:val="en-US" w:eastAsia="zh-CN"/>
          <w14:textFill>
            <w14:solidFill>
              <w14:schemeClr w14:val="tx1"/>
            </w14:solidFill>
          </w14:textFill>
        </w:rPr>
        <w:t>9</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重大生产安全事故隐患单元安全检查表</w:t>
      </w:r>
    </w:p>
    <w:tbl>
      <w:tblPr>
        <w:tblStyle w:val="54"/>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3517"/>
        <w:gridCol w:w="1379"/>
        <w:gridCol w:w="1812"/>
        <w:gridCol w:w="1181"/>
      </w:tblGrid>
      <w:tr w14:paraId="05C03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137AB1CF">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2018" w:type="pct"/>
            <w:vAlign w:val="center"/>
          </w:tcPr>
          <w:p w14:paraId="4D49FE7E">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default"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检查内容</w:t>
            </w:r>
          </w:p>
        </w:tc>
        <w:tc>
          <w:tcPr>
            <w:tcW w:w="791" w:type="pct"/>
            <w:vAlign w:val="center"/>
          </w:tcPr>
          <w:p w14:paraId="306DBACC">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default"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检查依据</w:t>
            </w:r>
          </w:p>
        </w:tc>
        <w:tc>
          <w:tcPr>
            <w:tcW w:w="1040" w:type="pct"/>
            <w:vAlign w:val="center"/>
          </w:tcPr>
          <w:p w14:paraId="0ABA0091">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检查</w:t>
            </w:r>
            <w:r>
              <w:rPr>
                <w:rFonts w:hint="eastAsia" w:ascii="宋体" w:hAnsi="宋体" w:eastAsia="宋体" w:cs="宋体"/>
                <w:b/>
                <w:bCs/>
                <w:color w:val="000000" w:themeColor="text1"/>
                <w:sz w:val="21"/>
                <w:szCs w:val="21"/>
                <w14:textFill>
                  <w14:solidFill>
                    <w14:schemeClr w14:val="tx1"/>
                  </w14:solidFill>
                </w14:textFill>
              </w:rPr>
              <w:t>情况</w:t>
            </w:r>
          </w:p>
        </w:tc>
        <w:tc>
          <w:tcPr>
            <w:tcW w:w="677" w:type="pct"/>
            <w:vAlign w:val="center"/>
          </w:tcPr>
          <w:p w14:paraId="41D52BA5">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default"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是否构成重大隐患</w:t>
            </w:r>
          </w:p>
        </w:tc>
      </w:tr>
      <w:tr w14:paraId="04D80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42083D3D">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一</w:t>
            </w:r>
          </w:p>
        </w:tc>
        <w:tc>
          <w:tcPr>
            <w:tcW w:w="4528" w:type="pct"/>
            <w:gridSpan w:val="4"/>
            <w:vAlign w:val="center"/>
          </w:tcPr>
          <w:p w14:paraId="2C62DE90">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综合类重大隐患判定</w:t>
            </w:r>
          </w:p>
        </w:tc>
      </w:tr>
      <w:tr w14:paraId="70944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shd w:val="clear" w:color="auto" w:fill="auto"/>
            <w:vAlign w:val="center"/>
          </w:tcPr>
          <w:p w14:paraId="2E88B86F">
            <w:pPr>
              <w:pStyle w:val="361"/>
              <w:overflowPunct w:val="0"/>
              <w:snapToGrid w:val="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1</w:t>
            </w:r>
          </w:p>
        </w:tc>
        <w:tc>
          <w:tcPr>
            <w:tcW w:w="2018" w:type="pct"/>
            <w:shd w:val="clear" w:color="auto" w:fill="auto"/>
            <w:vAlign w:val="center"/>
          </w:tcPr>
          <w:p w14:paraId="422B568B">
            <w:pPr>
              <w:pStyle w:val="361"/>
              <w:overflowPunct w:val="0"/>
              <w:snapToGrid w:val="0"/>
              <w:jc w:val="both"/>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第三条  工贸企业有下列情形之一的，应当判定为重大事故隐患：</w:t>
            </w:r>
          </w:p>
          <w:p w14:paraId="16276A05">
            <w:pPr>
              <w:pStyle w:val="361"/>
              <w:overflowPunct w:val="0"/>
              <w:snapToGrid w:val="0"/>
              <w:jc w:val="both"/>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(一)未对承包单位、承租单位的安全生产工作统一协调、管理，或者未定期进行安全检查的；</w:t>
            </w:r>
          </w:p>
        </w:tc>
        <w:tc>
          <w:tcPr>
            <w:tcW w:w="791" w:type="pct"/>
            <w:vMerge w:val="restart"/>
            <w:shd w:val="clear" w:color="auto" w:fill="auto"/>
            <w:vAlign w:val="center"/>
          </w:tcPr>
          <w:p w14:paraId="13C35C51">
            <w:pPr>
              <w:pStyle w:val="361"/>
              <w:overflowPunct w:val="0"/>
              <w:snapToGrid w:val="0"/>
              <w:jc w:val="both"/>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 xml:space="preserve">《工贸企业重大事故隐患判定标准》（中华人民共和国应急管理部令第10号，自2023年5月15日起施行）第三条 </w:t>
            </w:r>
          </w:p>
          <w:p w14:paraId="3C13ABC6">
            <w:pPr>
              <w:pStyle w:val="361"/>
              <w:overflowPunct w:val="0"/>
              <w:snapToGrid w:val="0"/>
              <w:jc w:val="both"/>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p>
        </w:tc>
        <w:tc>
          <w:tcPr>
            <w:tcW w:w="1040" w:type="pct"/>
            <w:shd w:val="clear" w:color="auto" w:fill="auto"/>
            <w:vAlign w:val="center"/>
          </w:tcPr>
          <w:p w14:paraId="61444C1A">
            <w:pPr>
              <w:pStyle w:val="361"/>
              <w:overflowPunct w:val="0"/>
              <w:snapToGrid w:val="0"/>
              <w:jc w:val="both"/>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本项目不涉承包单位、承租单位等。</w:t>
            </w:r>
          </w:p>
        </w:tc>
        <w:tc>
          <w:tcPr>
            <w:tcW w:w="677" w:type="pct"/>
            <w:shd w:val="clear" w:color="auto" w:fill="auto"/>
            <w:vAlign w:val="center"/>
          </w:tcPr>
          <w:p w14:paraId="7F0DD672">
            <w:pPr>
              <w:pStyle w:val="361"/>
              <w:overflowPunct w:val="0"/>
              <w:snapToGrid w:val="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不涉及</w:t>
            </w:r>
          </w:p>
        </w:tc>
      </w:tr>
      <w:tr w14:paraId="79016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shd w:val="clear" w:color="auto" w:fill="auto"/>
            <w:vAlign w:val="center"/>
          </w:tcPr>
          <w:p w14:paraId="406012FC">
            <w:pPr>
              <w:pStyle w:val="361"/>
              <w:overflowPunct w:val="0"/>
              <w:snapToGrid w:val="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2</w:t>
            </w:r>
          </w:p>
        </w:tc>
        <w:tc>
          <w:tcPr>
            <w:tcW w:w="2018" w:type="pct"/>
            <w:shd w:val="clear" w:color="auto" w:fill="auto"/>
            <w:vAlign w:val="center"/>
          </w:tcPr>
          <w:p w14:paraId="1A3DA46F">
            <w:pPr>
              <w:pStyle w:val="361"/>
              <w:overflowPunct w:val="0"/>
              <w:snapToGrid w:val="0"/>
              <w:jc w:val="both"/>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第三条  工贸企业有下列情形之一的，应当判定为重大事故隐患：</w:t>
            </w:r>
          </w:p>
          <w:p w14:paraId="254B638D">
            <w:pPr>
              <w:pStyle w:val="361"/>
              <w:overflowPunct w:val="0"/>
              <w:snapToGrid w:val="0"/>
              <w:jc w:val="both"/>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(二)特种作业人员未按照规定经专门的安全作业培训并取得相应资格，上岗作业的；</w:t>
            </w:r>
          </w:p>
        </w:tc>
        <w:tc>
          <w:tcPr>
            <w:tcW w:w="791" w:type="pct"/>
            <w:vMerge w:val="continue"/>
            <w:vAlign w:val="center"/>
          </w:tcPr>
          <w:p w14:paraId="51CA9E43">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1040" w:type="pct"/>
            <w:shd w:val="clear" w:color="auto" w:fill="auto"/>
            <w:vAlign w:val="center"/>
          </w:tcPr>
          <w:p w14:paraId="6A515822">
            <w:pPr>
              <w:pStyle w:val="361"/>
              <w:overflowPunct w:val="0"/>
              <w:snapToGrid w:val="0"/>
              <w:jc w:val="both"/>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本项目叉车作业人员已取得相应特种作业证。</w:t>
            </w:r>
          </w:p>
        </w:tc>
        <w:tc>
          <w:tcPr>
            <w:tcW w:w="677" w:type="pct"/>
            <w:shd w:val="clear" w:color="auto" w:fill="auto"/>
            <w:vAlign w:val="center"/>
          </w:tcPr>
          <w:p w14:paraId="07011911">
            <w:pPr>
              <w:pStyle w:val="361"/>
              <w:overflowPunct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cs="Times New Roman"/>
                <w:color w:val="000000" w:themeColor="text1"/>
                <w:sz w:val="21"/>
                <w:szCs w:val="21"/>
                <w:lang w:val="en-US" w:eastAsia="zh-CN" w:bidi="ar-SA"/>
                <w14:textFill>
                  <w14:solidFill>
                    <w14:schemeClr w14:val="tx1"/>
                  </w14:solidFill>
                </w14:textFill>
              </w:rPr>
              <w:t>否</w:t>
            </w:r>
          </w:p>
        </w:tc>
      </w:tr>
      <w:tr w14:paraId="16F84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shd w:val="clear" w:color="auto" w:fill="auto"/>
            <w:vAlign w:val="center"/>
          </w:tcPr>
          <w:p w14:paraId="53271BB7">
            <w:pPr>
              <w:pStyle w:val="361"/>
              <w:overflowPunct w:val="0"/>
              <w:snapToGrid w:val="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3</w:t>
            </w:r>
          </w:p>
        </w:tc>
        <w:tc>
          <w:tcPr>
            <w:tcW w:w="2018" w:type="pct"/>
            <w:shd w:val="clear" w:color="auto" w:fill="auto"/>
            <w:vAlign w:val="center"/>
          </w:tcPr>
          <w:p w14:paraId="0EA6C527">
            <w:pPr>
              <w:pStyle w:val="361"/>
              <w:overflowPunct w:val="0"/>
              <w:snapToGrid w:val="0"/>
              <w:jc w:val="both"/>
              <w:rPr>
                <w:rFonts w:hint="default" w:ascii="Times New Roman" w:hAnsi="Times New Roman" w:cs="Times New Roman"/>
                <w:color w:val="000000" w:themeColor="text1"/>
                <w:sz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第三条  工贸企业有下列情形之一的，应当判定为重大事故隐患：</w:t>
            </w:r>
          </w:p>
          <w:p w14:paraId="3B94F7CF">
            <w:pPr>
              <w:pStyle w:val="361"/>
              <w:overflowPunct w:val="0"/>
              <w:snapToGrid w:val="0"/>
              <w:jc w:val="both"/>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(三)金属冶炼企业主要负责人、安全生产管理人员未按照规定经考核合格的。</w:t>
            </w:r>
          </w:p>
        </w:tc>
        <w:tc>
          <w:tcPr>
            <w:tcW w:w="791" w:type="pct"/>
            <w:vMerge w:val="continue"/>
            <w:vAlign w:val="center"/>
          </w:tcPr>
          <w:p w14:paraId="335980E3">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1040" w:type="pct"/>
            <w:shd w:val="clear" w:color="auto" w:fill="auto"/>
            <w:vAlign w:val="center"/>
          </w:tcPr>
          <w:p w14:paraId="53C5BF6F">
            <w:pPr>
              <w:pStyle w:val="361"/>
              <w:overflowPunct w:val="0"/>
              <w:snapToGrid w:val="0"/>
              <w:jc w:val="both"/>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本项目主要负责人和安全生产管理人员已按要求取得相应证书。</w:t>
            </w:r>
          </w:p>
        </w:tc>
        <w:tc>
          <w:tcPr>
            <w:tcW w:w="677" w:type="pct"/>
            <w:shd w:val="clear" w:color="auto" w:fill="auto"/>
            <w:vAlign w:val="center"/>
          </w:tcPr>
          <w:p w14:paraId="388AFC87">
            <w:pPr>
              <w:overflowPunct w:val="0"/>
              <w:snapToGrid w:val="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cs="Times New Roman"/>
                <w:color w:val="000000" w:themeColor="text1"/>
                <w:sz w:val="21"/>
                <w:szCs w:val="21"/>
                <w:lang w:val="en-US" w:eastAsia="zh-CN" w:bidi="ar-SA"/>
                <w14:textFill>
                  <w14:solidFill>
                    <w14:schemeClr w14:val="tx1"/>
                  </w14:solidFill>
                </w14:textFill>
              </w:rPr>
              <w:t>否</w:t>
            </w:r>
          </w:p>
        </w:tc>
      </w:tr>
      <w:tr w14:paraId="3F20C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14CE7034">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二</w:t>
            </w:r>
          </w:p>
        </w:tc>
        <w:tc>
          <w:tcPr>
            <w:tcW w:w="4528" w:type="pct"/>
            <w:gridSpan w:val="4"/>
            <w:vAlign w:val="center"/>
          </w:tcPr>
          <w:p w14:paraId="6FD19716">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专项类重大事故隐患判定</w:t>
            </w:r>
          </w:p>
        </w:tc>
      </w:tr>
      <w:tr w14:paraId="67FA7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35870119">
            <w:pPr>
              <w:pStyle w:val="71"/>
              <w:keepNext w:val="0"/>
              <w:keepLines w:val="0"/>
              <w:pageBreakBefore w:val="0"/>
              <w:kinsoku/>
              <w:wordWrap/>
              <w:overflowPunct/>
              <w:topLinePunct w:val="0"/>
              <w:bidi w:val="0"/>
              <w:adjustRightInd/>
              <w:snapToGrid/>
              <w:spacing w:line="360" w:lineRule="exact"/>
              <w:ind w:firstLine="0" w:firstLineChars="0"/>
              <w:jc w:val="left"/>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w:t>
            </w:r>
            <w:r>
              <w:rPr>
                <w:rFonts w:hint="eastAsia" w:ascii="宋体" w:hAnsi="宋体" w:eastAsia="宋体" w:cs="宋体"/>
                <w:b w:val="0"/>
                <w:bCs w:val="0"/>
                <w:color w:val="000000" w:themeColor="text1"/>
                <w:sz w:val="21"/>
                <w:szCs w:val="21"/>
                <w:lang w:eastAsia="zh-CN"/>
                <w14:textFill>
                  <w14:solidFill>
                    <w14:schemeClr w14:val="tx1"/>
                  </w14:solidFill>
                </w14:textFill>
              </w:rPr>
              <w:t>一</w:t>
            </w:r>
            <w:r>
              <w:rPr>
                <w:rFonts w:hint="eastAsia" w:ascii="宋体" w:hAnsi="宋体" w:eastAsia="宋体" w:cs="宋体"/>
                <w:b w:val="0"/>
                <w:bCs w:val="0"/>
                <w:color w:val="000000" w:themeColor="text1"/>
                <w:sz w:val="21"/>
                <w:szCs w:val="21"/>
                <w14:textFill>
                  <w14:solidFill>
                    <w14:schemeClr w14:val="tx1"/>
                  </w14:solidFill>
                </w14:textFill>
              </w:rPr>
              <w:t>）</w:t>
            </w:r>
          </w:p>
        </w:tc>
        <w:tc>
          <w:tcPr>
            <w:tcW w:w="4528" w:type="pct"/>
            <w:gridSpan w:val="4"/>
            <w:vAlign w:val="center"/>
          </w:tcPr>
          <w:p w14:paraId="054E77BB">
            <w:pPr>
              <w:keepNext w:val="0"/>
              <w:keepLines w:val="0"/>
              <w:pageBreakBefore w:val="0"/>
              <w:widowControl/>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bidi="ar-SA"/>
                <w14:textFill>
                  <w14:solidFill>
                    <w14:schemeClr w14:val="tx1"/>
                  </w14:solidFill>
                </w14:textFill>
              </w:rPr>
              <w:t>建材企业重大隐患判定</w:t>
            </w:r>
          </w:p>
        </w:tc>
      </w:tr>
      <w:tr w14:paraId="23CD2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753FEF1E">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1</w:t>
            </w:r>
          </w:p>
        </w:tc>
        <w:tc>
          <w:tcPr>
            <w:tcW w:w="2018" w:type="pct"/>
            <w:vAlign w:val="center"/>
          </w:tcPr>
          <w:p w14:paraId="18504E05">
            <w:pPr>
              <w:keepNext w:val="0"/>
              <w:keepLines w:val="0"/>
              <w:pageBreakBefore w:val="0"/>
              <w:widowControl/>
              <w:kinsoku/>
              <w:wordWrap/>
              <w:overflowPunct/>
              <w:topLinePunct w:val="0"/>
              <w:bidi w:val="0"/>
              <w:adjustRightInd/>
              <w:snapToGrid/>
              <w:spacing w:line="360" w:lineRule="exact"/>
              <w:ind w:firstLine="0" w:firstLineChars="0"/>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煤磨袋式收尘器、煤粉仓未设置温度和固定式</w:t>
            </w:r>
            <w:r>
              <w:rPr>
                <w:rFonts w:hint="eastAsia" w:ascii="宋体" w:hAnsi="宋体" w:eastAsia="宋体" w:cs="宋体"/>
                <w:b w:val="0"/>
                <w:bCs w:val="0"/>
                <w:color w:val="000000" w:themeColor="text1"/>
                <w:sz w:val="21"/>
                <w:szCs w:val="21"/>
                <w:lang w:eastAsia="zh-CN"/>
                <w14:textFill>
                  <w14:solidFill>
                    <w14:schemeClr w14:val="tx1"/>
                  </w14:solidFill>
                </w14:textFill>
              </w:rPr>
              <w:t>一</w:t>
            </w:r>
            <w:r>
              <w:rPr>
                <w:rFonts w:hint="eastAsia" w:ascii="宋体" w:hAnsi="宋体" w:eastAsia="宋体" w:cs="宋体"/>
                <w:b w:val="0"/>
                <w:bCs w:val="0"/>
                <w:color w:val="000000" w:themeColor="text1"/>
                <w:sz w:val="21"/>
                <w:szCs w:val="21"/>
                <w14:textFill>
                  <w14:solidFill>
                    <w14:schemeClr w14:val="tx1"/>
                  </w14:solidFill>
                </w14:textFill>
              </w:rPr>
              <w:t>氧化碳浓度监测报警装置，或者未设置气体灭火装置的</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c>
          <w:tcPr>
            <w:tcW w:w="791" w:type="pct"/>
            <w:vMerge w:val="restart"/>
            <w:vAlign w:val="center"/>
          </w:tcPr>
          <w:p w14:paraId="0E825E48">
            <w:pPr>
              <w:pStyle w:val="71"/>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both"/>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《工贸行业重  大生产安全事故隐患判定标准》（2023年3月20 日应急管理部令第10号公布，自 2023年5月15日起施行）第六条</w:t>
            </w:r>
          </w:p>
        </w:tc>
        <w:tc>
          <w:tcPr>
            <w:tcW w:w="1040" w:type="pct"/>
            <w:shd w:val="clear" w:color="auto" w:fill="auto"/>
            <w:vAlign w:val="center"/>
          </w:tcPr>
          <w:p w14:paraId="230F2DE4">
            <w:pPr>
              <w:pStyle w:val="71"/>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企业不涉及煤磨袋式收尘器、煤粉仓</w:t>
            </w:r>
          </w:p>
        </w:tc>
        <w:tc>
          <w:tcPr>
            <w:tcW w:w="677" w:type="pct"/>
            <w:vAlign w:val="center"/>
          </w:tcPr>
          <w:p w14:paraId="5B44A090">
            <w:pPr>
              <w:keepNext w:val="0"/>
              <w:keepLines w:val="0"/>
              <w:pageBreakBefore w:val="0"/>
              <w:widowControl/>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不涉及</w:t>
            </w:r>
          </w:p>
        </w:tc>
      </w:tr>
      <w:tr w14:paraId="366BF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6570D5F2">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2</w:t>
            </w:r>
          </w:p>
        </w:tc>
        <w:tc>
          <w:tcPr>
            <w:tcW w:w="2018" w:type="pct"/>
            <w:vAlign w:val="center"/>
          </w:tcPr>
          <w:p w14:paraId="24A91626">
            <w:pPr>
              <w:keepNext w:val="0"/>
              <w:keepLines w:val="0"/>
              <w:pageBreakBefore w:val="0"/>
              <w:widowControl/>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筒型储库人工清库作业未落实清库方案中防止高处坠落、坍塌等安全措施的</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c>
          <w:tcPr>
            <w:tcW w:w="791" w:type="pct"/>
            <w:vMerge w:val="continue"/>
            <w:vAlign w:val="center"/>
          </w:tcPr>
          <w:p w14:paraId="707F9304">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p>
        </w:tc>
        <w:tc>
          <w:tcPr>
            <w:tcW w:w="1040" w:type="pct"/>
            <w:shd w:val="clear" w:color="auto" w:fill="auto"/>
            <w:vAlign w:val="center"/>
          </w:tcPr>
          <w:p w14:paraId="7FB9D12B">
            <w:pPr>
              <w:keepNext w:val="0"/>
              <w:keepLines w:val="0"/>
              <w:pageBreakBefore w:val="0"/>
              <w:widowControl/>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企业不涉及筒型储库</w:t>
            </w:r>
            <w:r>
              <w:rPr>
                <w:rFonts w:hint="eastAsia" w:ascii="宋体" w:hAnsi="宋体" w:eastAsia="宋体" w:cs="宋体"/>
                <w:b w:val="0"/>
                <w:bCs w:val="0"/>
                <w:color w:val="000000" w:themeColor="text1"/>
                <w:sz w:val="21"/>
                <w:szCs w:val="21"/>
                <w14:textFill>
                  <w14:solidFill>
                    <w14:schemeClr w14:val="tx1"/>
                  </w14:solidFill>
                </w14:textFill>
              </w:rPr>
              <w:t>。</w:t>
            </w:r>
          </w:p>
          <w:p w14:paraId="3552F7EA">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p>
        </w:tc>
        <w:tc>
          <w:tcPr>
            <w:tcW w:w="677" w:type="pct"/>
            <w:vAlign w:val="center"/>
          </w:tcPr>
          <w:p w14:paraId="5C876A4E">
            <w:pPr>
              <w:keepNext w:val="0"/>
              <w:keepLines w:val="0"/>
              <w:pageBreakBefore w:val="0"/>
              <w:widowControl/>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不涉及</w:t>
            </w:r>
          </w:p>
        </w:tc>
      </w:tr>
      <w:tr w14:paraId="531C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7A84C554">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w:t>
            </w:r>
          </w:p>
        </w:tc>
        <w:tc>
          <w:tcPr>
            <w:tcW w:w="2018" w:type="pct"/>
            <w:vAlign w:val="center"/>
          </w:tcPr>
          <w:p w14:paraId="1485D326">
            <w:pPr>
              <w:keepNext w:val="0"/>
              <w:keepLines w:val="0"/>
              <w:pageBreakBefore w:val="0"/>
              <w:widowControl/>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水泥企业电石渣原料筒型储库未设置固定式可燃气体浓度监测报警装置，或者监测报警装置未与事故通风装置联锁的。</w:t>
            </w:r>
          </w:p>
        </w:tc>
        <w:tc>
          <w:tcPr>
            <w:tcW w:w="791" w:type="pct"/>
            <w:vMerge w:val="continue"/>
            <w:vAlign w:val="center"/>
          </w:tcPr>
          <w:p w14:paraId="7F538941">
            <w:pPr>
              <w:pStyle w:val="71"/>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p>
        </w:tc>
        <w:tc>
          <w:tcPr>
            <w:tcW w:w="1040" w:type="pct"/>
            <w:shd w:val="clear" w:color="auto" w:fill="auto"/>
            <w:vAlign w:val="center"/>
          </w:tcPr>
          <w:p w14:paraId="038F4D2E">
            <w:pPr>
              <w:pStyle w:val="71"/>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企业不涉及电石渣原料筒型储库。</w:t>
            </w:r>
          </w:p>
        </w:tc>
        <w:tc>
          <w:tcPr>
            <w:tcW w:w="677" w:type="pct"/>
            <w:vAlign w:val="center"/>
          </w:tcPr>
          <w:p w14:paraId="5165BB3B">
            <w:pPr>
              <w:keepNext w:val="0"/>
              <w:keepLines w:val="0"/>
              <w:pageBreakBefore w:val="0"/>
              <w:widowControl/>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不涉及</w:t>
            </w:r>
          </w:p>
        </w:tc>
      </w:tr>
      <w:tr w14:paraId="644C0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1594A8A5">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4</w:t>
            </w:r>
          </w:p>
        </w:tc>
        <w:tc>
          <w:tcPr>
            <w:tcW w:w="2018" w:type="pct"/>
            <w:vAlign w:val="center"/>
          </w:tcPr>
          <w:p w14:paraId="700AAB11">
            <w:pPr>
              <w:keepNext w:val="0"/>
              <w:keepLines w:val="0"/>
              <w:pageBreakBefore w:val="0"/>
              <w:widowControl/>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进入筒型储库、隧道窑、预热器旋风筒、分解炉、竖炉、篦冷机、磨机、破碎机前，未对可能意外启动的设备和涌入的物料、高温气体、有毒有害气体等采取隔离措施，或者未落实防止高处坠落、坍塌等安全措施的。</w:t>
            </w:r>
          </w:p>
        </w:tc>
        <w:tc>
          <w:tcPr>
            <w:tcW w:w="791" w:type="pct"/>
            <w:vMerge w:val="continue"/>
            <w:vAlign w:val="center"/>
          </w:tcPr>
          <w:p w14:paraId="022B386C">
            <w:pPr>
              <w:pStyle w:val="71"/>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p>
        </w:tc>
        <w:tc>
          <w:tcPr>
            <w:tcW w:w="1040" w:type="pct"/>
            <w:shd w:val="clear" w:color="auto" w:fill="auto"/>
            <w:vAlign w:val="center"/>
          </w:tcPr>
          <w:p w14:paraId="4F69B00B">
            <w:pPr>
              <w:pStyle w:val="71"/>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项目非水泥厂企业，不涉及。</w:t>
            </w:r>
          </w:p>
        </w:tc>
        <w:tc>
          <w:tcPr>
            <w:tcW w:w="677" w:type="pct"/>
            <w:vAlign w:val="center"/>
          </w:tcPr>
          <w:p w14:paraId="29631B48">
            <w:pPr>
              <w:pStyle w:val="71"/>
              <w:keepNext w:val="0"/>
              <w:keepLines w:val="0"/>
              <w:pageBreakBefore w:val="0"/>
              <w:widowControl w:val="0"/>
              <w:kinsoku/>
              <w:wordWrap/>
              <w:overflowPunct/>
              <w:topLinePunct w:val="0"/>
              <w:autoSpaceDE w:val="0"/>
              <w:autoSpaceDN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不涉及</w:t>
            </w:r>
          </w:p>
        </w:tc>
      </w:tr>
      <w:tr w14:paraId="02054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1E288633">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w:t>
            </w:r>
          </w:p>
        </w:tc>
        <w:tc>
          <w:tcPr>
            <w:tcW w:w="2018" w:type="pct"/>
            <w:vAlign w:val="center"/>
          </w:tcPr>
          <w:p w14:paraId="1A4C8BFC">
            <w:pPr>
              <w:keepNext w:val="0"/>
              <w:keepLines w:val="0"/>
              <w:pageBreakBefore w:val="0"/>
              <w:widowControl/>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采用预混燃烧方式的燃气窑炉(热发生炉煤气窑炉除外)的燃气总管未设置管道压力监测报警装置，或者监测报警装置未与紧急自动切断装置联锁的</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c>
          <w:tcPr>
            <w:tcW w:w="791" w:type="pct"/>
            <w:vMerge w:val="continue"/>
            <w:vAlign w:val="center"/>
          </w:tcPr>
          <w:p w14:paraId="6BE5C1B9">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p>
        </w:tc>
        <w:tc>
          <w:tcPr>
            <w:tcW w:w="1040" w:type="pct"/>
            <w:shd w:val="clear" w:color="auto" w:fill="auto"/>
            <w:vAlign w:val="center"/>
          </w:tcPr>
          <w:p w14:paraId="7E36189E">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企业不涉及</w:t>
            </w:r>
            <w:r>
              <w:rPr>
                <w:rFonts w:hint="eastAsia" w:ascii="宋体" w:hAnsi="宋体" w:eastAsia="宋体" w:cs="宋体"/>
                <w:b w:val="0"/>
                <w:bCs w:val="0"/>
                <w:color w:val="000000" w:themeColor="text1"/>
                <w:sz w:val="21"/>
                <w:szCs w:val="21"/>
                <w14:textFill>
                  <w14:solidFill>
                    <w14:schemeClr w14:val="tx1"/>
                  </w14:solidFill>
                </w14:textFill>
              </w:rPr>
              <w:t>燃气窑炉</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c>
          <w:tcPr>
            <w:tcW w:w="677" w:type="pct"/>
            <w:vAlign w:val="center"/>
          </w:tcPr>
          <w:p w14:paraId="733D2784">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不涉及</w:t>
            </w:r>
          </w:p>
        </w:tc>
      </w:tr>
      <w:tr w14:paraId="15916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51F73B5B">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6</w:t>
            </w:r>
          </w:p>
        </w:tc>
        <w:tc>
          <w:tcPr>
            <w:tcW w:w="2018" w:type="pct"/>
            <w:vAlign w:val="center"/>
          </w:tcPr>
          <w:p w14:paraId="33B34BB4">
            <w:pPr>
              <w:keepNext w:val="0"/>
              <w:keepLines w:val="0"/>
              <w:pageBreakBefore w:val="0"/>
              <w:widowControl/>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制氢站、氮氢保护气体配气间、燃气配气间等3类场所未设置固定式可燃气体浓度监测报警装置的</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c>
          <w:tcPr>
            <w:tcW w:w="791" w:type="pct"/>
            <w:vMerge w:val="continue"/>
            <w:vAlign w:val="center"/>
          </w:tcPr>
          <w:p w14:paraId="14D68567">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p>
        </w:tc>
        <w:tc>
          <w:tcPr>
            <w:tcW w:w="1040" w:type="pct"/>
            <w:shd w:val="clear" w:color="auto" w:fill="auto"/>
            <w:vAlign w:val="center"/>
          </w:tcPr>
          <w:p w14:paraId="4EDD1041">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企业不涉及制氢站、氮氢保护气体配气间、燃气配气间等3类场所。</w:t>
            </w:r>
          </w:p>
        </w:tc>
        <w:tc>
          <w:tcPr>
            <w:tcW w:w="677" w:type="pct"/>
            <w:vAlign w:val="center"/>
          </w:tcPr>
          <w:p w14:paraId="6A690C00">
            <w:pPr>
              <w:pStyle w:val="71"/>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不涉及</w:t>
            </w:r>
          </w:p>
        </w:tc>
      </w:tr>
      <w:tr w14:paraId="50C91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7ADC4F8A">
            <w:pPr>
              <w:pStyle w:val="71"/>
              <w:keepNext w:val="0"/>
              <w:keepLines w:val="0"/>
              <w:pageBreakBefore w:val="0"/>
              <w:tabs>
                <w:tab w:val="left" w:pos="494"/>
              </w:tabs>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7</w:t>
            </w:r>
          </w:p>
        </w:tc>
        <w:tc>
          <w:tcPr>
            <w:tcW w:w="2018" w:type="pct"/>
            <w:vAlign w:val="center"/>
          </w:tcPr>
          <w:p w14:paraId="43E005F9">
            <w:pPr>
              <w:keepNext w:val="0"/>
              <w:keepLines w:val="0"/>
              <w:pageBreakBefore w:val="0"/>
              <w:widowControl/>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电熔制品电炉的水冷设备失效的</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c>
          <w:tcPr>
            <w:tcW w:w="791" w:type="pct"/>
            <w:vMerge w:val="continue"/>
            <w:vAlign w:val="center"/>
          </w:tcPr>
          <w:p w14:paraId="6ED1AC00">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1040" w:type="pct"/>
            <w:shd w:val="clear" w:color="auto" w:fill="auto"/>
            <w:vAlign w:val="center"/>
          </w:tcPr>
          <w:p w14:paraId="6453FE2D">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企业不涉及电熔制品电炉的水冷设备。</w:t>
            </w:r>
          </w:p>
        </w:tc>
        <w:tc>
          <w:tcPr>
            <w:tcW w:w="677" w:type="pct"/>
            <w:vAlign w:val="center"/>
          </w:tcPr>
          <w:p w14:paraId="76381333">
            <w:pPr>
              <w:pStyle w:val="71"/>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不涉及</w:t>
            </w:r>
          </w:p>
        </w:tc>
      </w:tr>
      <w:tr w14:paraId="315E0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4E7EE833">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8</w:t>
            </w:r>
          </w:p>
        </w:tc>
        <w:tc>
          <w:tcPr>
            <w:tcW w:w="2018" w:type="pct"/>
            <w:vAlign w:val="center"/>
          </w:tcPr>
          <w:p w14:paraId="74FAB5A8">
            <w:pPr>
              <w:keepNext w:val="0"/>
              <w:keepLines w:val="0"/>
              <w:pageBreakBefore w:val="0"/>
              <w:widowControl/>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玻璃窑炉、玻璃锡槽等设备未设置水冷和风冷保护系统的监测报警装置的。</w:t>
            </w:r>
          </w:p>
        </w:tc>
        <w:tc>
          <w:tcPr>
            <w:tcW w:w="791" w:type="pct"/>
            <w:vMerge w:val="continue"/>
            <w:vAlign w:val="center"/>
          </w:tcPr>
          <w:p w14:paraId="6AC2C98A">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1040" w:type="pct"/>
            <w:shd w:val="clear" w:color="auto" w:fill="auto"/>
            <w:vAlign w:val="center"/>
          </w:tcPr>
          <w:p w14:paraId="35D2E296">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企业不涉及玻璃窑炉、玻璃锡槽等设备。</w:t>
            </w:r>
          </w:p>
        </w:tc>
        <w:tc>
          <w:tcPr>
            <w:tcW w:w="677" w:type="pct"/>
            <w:vAlign w:val="center"/>
          </w:tcPr>
          <w:p w14:paraId="244EA307">
            <w:pPr>
              <w:pStyle w:val="71"/>
              <w:keepNext w:val="0"/>
              <w:keepLines w:val="0"/>
              <w:pageBreakBefore w:val="0"/>
              <w:widowControl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不涉及</w:t>
            </w:r>
          </w:p>
        </w:tc>
      </w:tr>
      <w:tr w14:paraId="4F2E7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68AF7418">
            <w:pPr>
              <w:pStyle w:val="71"/>
              <w:keepNext w:val="0"/>
              <w:keepLines w:val="0"/>
              <w:pageBreakBefore w:val="0"/>
              <w:kinsoku/>
              <w:wordWrap/>
              <w:overflowPunct/>
              <w:topLinePunct w:val="0"/>
              <w:bidi w:val="0"/>
              <w:adjustRightInd/>
              <w:snapToGrid/>
              <w:spacing w:line="360" w:lineRule="exact"/>
              <w:ind w:firstLine="0" w:firstLineChars="0"/>
              <w:jc w:val="both"/>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w:t>
            </w:r>
            <w:r>
              <w:rPr>
                <w:rFonts w:hint="eastAsia" w:ascii="宋体" w:hAnsi="宋体" w:eastAsia="宋体" w:cs="宋体"/>
                <w:b w:val="0"/>
                <w:bCs w:val="0"/>
                <w:color w:val="000000" w:themeColor="text1"/>
                <w:sz w:val="21"/>
                <w:szCs w:val="21"/>
                <w:lang w:eastAsia="zh-CN"/>
                <w14:textFill>
                  <w14:solidFill>
                    <w14:schemeClr w14:val="tx1"/>
                  </w14:solidFill>
                </w14:textFill>
              </w:rPr>
              <w:t>二</w:t>
            </w:r>
            <w:r>
              <w:rPr>
                <w:rFonts w:hint="eastAsia" w:ascii="宋体" w:hAnsi="宋体" w:eastAsia="宋体" w:cs="宋体"/>
                <w:b w:val="0"/>
                <w:bCs w:val="0"/>
                <w:color w:val="000000" w:themeColor="text1"/>
                <w:sz w:val="21"/>
                <w:szCs w:val="21"/>
                <w14:textFill>
                  <w14:solidFill>
                    <w14:schemeClr w14:val="tx1"/>
                  </w14:solidFill>
                </w14:textFill>
              </w:rPr>
              <w:t>）</w:t>
            </w:r>
          </w:p>
        </w:tc>
        <w:tc>
          <w:tcPr>
            <w:tcW w:w="4528" w:type="pct"/>
            <w:gridSpan w:val="4"/>
            <w:vAlign w:val="center"/>
          </w:tcPr>
          <w:p w14:paraId="71F1F6D4">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存在硫化氢、一氧化碳等中毒风险的有限空间作业的工贸企业</w:t>
            </w:r>
          </w:p>
        </w:tc>
      </w:tr>
      <w:tr w14:paraId="7B4D5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67ACCB4B">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1</w:t>
            </w:r>
          </w:p>
        </w:tc>
        <w:tc>
          <w:tcPr>
            <w:tcW w:w="2018" w:type="pct"/>
            <w:vAlign w:val="center"/>
          </w:tcPr>
          <w:p w14:paraId="0C5196A5">
            <w:pPr>
              <w:keepNext w:val="0"/>
              <w:keepLines w:val="0"/>
              <w:pageBreakBefore w:val="0"/>
              <w:widowControl/>
              <w:kinsoku/>
              <w:wordWrap/>
              <w:overflowPunct/>
              <w:topLinePunct w:val="0"/>
              <w:bidi w:val="0"/>
              <w:adjustRightInd/>
              <w:snapToGrid/>
              <w:spacing w:line="360" w:lineRule="exact"/>
              <w:ind w:firstLine="0" w:firstLineChars="0"/>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未对有限空间</w:t>
            </w:r>
            <w:r>
              <w:rPr>
                <w:rFonts w:hint="eastAsia" w:ascii="宋体" w:hAnsi="宋体" w:eastAsia="宋体" w:cs="宋体"/>
                <w:b w:val="0"/>
                <w:bCs w:val="0"/>
                <w:color w:val="000000" w:themeColor="text1"/>
                <w:sz w:val="21"/>
                <w:szCs w:val="21"/>
                <w:lang w:eastAsia="zh-CN"/>
                <w14:textFill>
                  <w14:solidFill>
                    <w14:schemeClr w14:val="tx1"/>
                  </w14:solidFill>
                </w14:textFill>
              </w:rPr>
              <w:t>作业场所</w:t>
            </w:r>
            <w:r>
              <w:rPr>
                <w:rFonts w:hint="eastAsia" w:ascii="宋体" w:hAnsi="宋体" w:eastAsia="宋体" w:cs="宋体"/>
                <w:b w:val="0"/>
                <w:bCs w:val="0"/>
                <w:color w:val="000000" w:themeColor="text1"/>
                <w:sz w:val="21"/>
                <w:szCs w:val="21"/>
                <w14:textFill>
                  <w14:solidFill>
                    <w14:schemeClr w14:val="tx1"/>
                  </w14:solidFill>
                </w14:textFill>
              </w:rPr>
              <w:t>进行辨识、建立安全管理台账，并且未设置明显的安全警示标志。</w:t>
            </w:r>
          </w:p>
        </w:tc>
        <w:tc>
          <w:tcPr>
            <w:tcW w:w="791" w:type="pct"/>
            <w:vMerge w:val="restart"/>
            <w:vAlign w:val="center"/>
          </w:tcPr>
          <w:p w14:paraId="595C3D1B">
            <w:pPr>
              <w:keepNext w:val="0"/>
              <w:keepLines w:val="0"/>
              <w:pageBreakBefore w:val="0"/>
              <w:widowControl/>
              <w:kinsoku/>
              <w:wordWrap/>
              <w:overflowPunct/>
              <w:topLinePunct w:val="0"/>
              <w:bidi w:val="0"/>
              <w:adjustRightInd/>
              <w:snapToGrid/>
              <w:spacing w:line="360" w:lineRule="exact"/>
              <w:ind w:firstLine="0" w:firstLineChars="0"/>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《工贸行业重  大生产安全事故隐患判定标准》（2023年3月20 日应急管理部令第10号公布，自 2023年5月15日起施行）第</w:t>
            </w:r>
            <w:r>
              <w:rPr>
                <w:rFonts w:hint="eastAsia" w:ascii="宋体" w:hAnsi="宋体" w:eastAsia="宋体" w:cs="宋体"/>
                <w:b w:val="0"/>
                <w:bCs/>
                <w:color w:val="000000" w:themeColor="text1"/>
                <w:sz w:val="21"/>
                <w:szCs w:val="21"/>
                <w:lang w:val="en-US" w:eastAsia="zh-CN"/>
                <w14:textFill>
                  <w14:solidFill>
                    <w14:schemeClr w14:val="tx1"/>
                  </w14:solidFill>
                </w14:textFill>
              </w:rPr>
              <w:t>十三</w:t>
            </w:r>
            <w:r>
              <w:rPr>
                <w:rFonts w:hint="eastAsia" w:ascii="宋体" w:hAnsi="宋体" w:eastAsia="宋体" w:cs="宋体"/>
                <w:b w:val="0"/>
                <w:bCs/>
                <w:color w:val="000000" w:themeColor="text1"/>
                <w:sz w:val="21"/>
                <w:szCs w:val="21"/>
                <w14:textFill>
                  <w14:solidFill>
                    <w14:schemeClr w14:val="tx1"/>
                  </w14:solidFill>
                </w14:textFill>
              </w:rPr>
              <w:t>条</w:t>
            </w:r>
          </w:p>
        </w:tc>
        <w:tc>
          <w:tcPr>
            <w:tcW w:w="1040" w:type="pct"/>
            <w:shd w:val="clear" w:color="auto" w:fill="auto"/>
            <w:vAlign w:val="center"/>
          </w:tcPr>
          <w:p w14:paraId="45282FB5">
            <w:pPr>
              <w:keepNext w:val="0"/>
              <w:keepLines w:val="0"/>
              <w:pageBreakBefore w:val="0"/>
              <w:widowControl/>
              <w:kinsoku/>
              <w:wordWrap/>
              <w:overflowPunct/>
              <w:topLinePunct w:val="0"/>
              <w:bidi w:val="0"/>
              <w:adjustRightInd/>
              <w:snapToGrid/>
              <w:spacing w:line="360" w:lineRule="exact"/>
              <w:ind w:firstLine="0" w:firstLineChars="0"/>
              <w:textAlignment w:val="auto"/>
              <w:rPr>
                <w:rFonts w:hint="eastAsia" w:ascii="宋体" w:hAnsi="宋体" w:eastAsia="宋体" w:cs="宋体"/>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现场检查时，企业已对厂区内有限空间进行辨识，并设置明显的安全警示标志。</w:t>
            </w:r>
          </w:p>
        </w:tc>
        <w:tc>
          <w:tcPr>
            <w:tcW w:w="677" w:type="pct"/>
            <w:vAlign w:val="center"/>
          </w:tcPr>
          <w:p w14:paraId="789ADB1A">
            <w:pPr>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Times New Roman" w:cs="Times New Roman"/>
                <w:color w:val="000000" w:themeColor="text1"/>
                <w:sz w:val="21"/>
                <w:szCs w:val="21"/>
                <w:lang w:val="en-US" w:eastAsia="zh-CN" w:bidi="ar-SA"/>
                <w14:textFill>
                  <w14:solidFill>
                    <w14:schemeClr w14:val="tx1"/>
                  </w14:solidFill>
                </w14:textFill>
              </w:rPr>
              <w:t>否</w:t>
            </w:r>
          </w:p>
        </w:tc>
      </w:tr>
      <w:tr w14:paraId="1D3EE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17D09788">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2</w:t>
            </w:r>
          </w:p>
        </w:tc>
        <w:tc>
          <w:tcPr>
            <w:tcW w:w="2018" w:type="pct"/>
            <w:vAlign w:val="center"/>
          </w:tcPr>
          <w:p w14:paraId="400BD391">
            <w:pPr>
              <w:keepNext w:val="0"/>
              <w:keepLines w:val="0"/>
              <w:pageBreakBefore w:val="0"/>
              <w:widowControl/>
              <w:kinsoku/>
              <w:wordWrap/>
              <w:overflowPunct/>
              <w:topLinePunct w:val="0"/>
              <w:bidi w:val="0"/>
              <w:adjustRightInd/>
              <w:snapToGrid/>
              <w:spacing w:line="360" w:lineRule="exact"/>
              <w:ind w:firstLine="0" w:firstLineChars="0"/>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未落实有限空间作业审批</w:t>
            </w:r>
            <w:r>
              <w:rPr>
                <w:rFonts w:hint="eastAsia" w:ascii="宋体" w:hAnsi="宋体" w:eastAsia="宋体" w:cs="宋体"/>
                <w:b w:val="0"/>
                <w:bCs w:val="0"/>
                <w:color w:val="000000" w:themeColor="text1"/>
                <w:sz w:val="21"/>
                <w:szCs w:val="21"/>
                <w:lang w:eastAsia="zh-CN"/>
                <w14:textFill>
                  <w14:solidFill>
                    <w14:schemeClr w14:val="tx1"/>
                  </w14:solidFill>
                </w14:textFill>
              </w:rPr>
              <w:t>制度</w:t>
            </w:r>
            <w:r>
              <w:rPr>
                <w:rFonts w:hint="eastAsia" w:ascii="宋体" w:hAnsi="宋体" w:eastAsia="宋体" w:cs="宋体"/>
                <w:b w:val="0"/>
                <w:bCs w:val="0"/>
                <w:color w:val="000000" w:themeColor="text1"/>
                <w:sz w:val="21"/>
                <w:szCs w:val="21"/>
                <w14:textFill>
                  <w14:solidFill>
                    <w14:schemeClr w14:val="tx1"/>
                  </w14:solidFill>
                </w14:textFill>
              </w:rPr>
              <w:t>，或者未执行“先通风、再检测、后作业”要求，或者作业现场未设置监护人员</w:t>
            </w:r>
            <w:r>
              <w:rPr>
                <w:rFonts w:hint="eastAsia" w:ascii="宋体" w:hAnsi="宋体" w:eastAsia="宋体" w:cs="宋体"/>
                <w:b w:val="0"/>
                <w:bCs w:val="0"/>
                <w:color w:val="000000" w:themeColor="text1"/>
                <w:sz w:val="21"/>
                <w:szCs w:val="21"/>
                <w:lang w:eastAsia="zh-CN"/>
                <w14:textFill>
                  <w14:solidFill>
                    <w14:schemeClr w14:val="tx1"/>
                  </w14:solidFill>
                </w14:textFill>
              </w:rPr>
              <w:t>。</w:t>
            </w:r>
          </w:p>
        </w:tc>
        <w:tc>
          <w:tcPr>
            <w:tcW w:w="791" w:type="pct"/>
            <w:vMerge w:val="continue"/>
            <w:vAlign w:val="center"/>
          </w:tcPr>
          <w:p w14:paraId="61C6AB6B">
            <w:pPr>
              <w:keepNext w:val="0"/>
              <w:keepLines w:val="0"/>
              <w:pageBreakBefore w:val="0"/>
              <w:widowControl/>
              <w:kinsoku/>
              <w:wordWrap/>
              <w:overflowPunct/>
              <w:topLinePunct w:val="0"/>
              <w:bidi w:val="0"/>
              <w:adjustRightInd/>
              <w:snapToGrid/>
              <w:spacing w:line="360" w:lineRule="exact"/>
              <w:ind w:firstLine="0" w:firstLineChars="0"/>
              <w:textAlignment w:val="auto"/>
              <w:rPr>
                <w:rFonts w:hint="eastAsia" w:ascii="宋体" w:hAnsi="宋体" w:eastAsia="宋体" w:cs="宋体"/>
                <w:b w:val="0"/>
                <w:bCs w:val="0"/>
                <w:color w:val="000000" w:themeColor="text1"/>
                <w:sz w:val="21"/>
                <w:szCs w:val="21"/>
                <w14:textFill>
                  <w14:solidFill>
                    <w14:schemeClr w14:val="tx1"/>
                  </w14:solidFill>
                </w14:textFill>
              </w:rPr>
            </w:pPr>
          </w:p>
        </w:tc>
        <w:tc>
          <w:tcPr>
            <w:tcW w:w="1040" w:type="pct"/>
            <w:shd w:val="clear" w:color="auto" w:fill="auto"/>
            <w:vAlign w:val="center"/>
          </w:tcPr>
          <w:p w14:paraId="5C5BA6A0">
            <w:pPr>
              <w:keepNext w:val="0"/>
              <w:keepLines w:val="0"/>
              <w:pageBreakBefore w:val="0"/>
              <w:widowControl/>
              <w:kinsoku/>
              <w:wordWrap/>
              <w:overflowPunct/>
              <w:topLinePunct w:val="0"/>
              <w:bidi w:val="0"/>
              <w:adjustRightInd/>
              <w:snapToGrid/>
              <w:spacing w:line="360" w:lineRule="exact"/>
              <w:ind w:firstLine="0" w:firstLineChars="0"/>
              <w:textAlignment w:val="auto"/>
              <w:rPr>
                <w:rFonts w:hint="eastAsia" w:ascii="宋体" w:hAnsi="宋体" w:eastAsia="宋体" w:cs="宋体"/>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现场检查时，企业已落实有限空间作业审批制度，并严格执行。</w:t>
            </w:r>
          </w:p>
        </w:tc>
        <w:tc>
          <w:tcPr>
            <w:tcW w:w="677" w:type="pct"/>
            <w:vAlign w:val="center"/>
          </w:tcPr>
          <w:p w14:paraId="5DB982A3">
            <w:pPr>
              <w:keepNext w:val="0"/>
              <w:keepLines w:val="0"/>
              <w:pageBreakBefore w:val="0"/>
              <w:kinsoku/>
              <w:wordWrap/>
              <w:overflowPunct/>
              <w:topLinePunct w:val="0"/>
              <w:bidi w:val="0"/>
              <w:adjustRightInd/>
              <w:snapToGrid/>
              <w:spacing w:line="360" w:lineRule="exact"/>
              <w:ind w:firstLine="0" w:firstLineChars="0"/>
              <w:jc w:val="center"/>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Times New Roman" w:cs="Times New Roman"/>
                <w:color w:val="000000" w:themeColor="text1"/>
                <w:sz w:val="21"/>
                <w:szCs w:val="21"/>
                <w:lang w:val="en-US" w:eastAsia="zh-CN" w:bidi="ar-SA"/>
                <w14:textFill>
                  <w14:solidFill>
                    <w14:schemeClr w14:val="tx1"/>
                  </w14:solidFill>
                </w14:textFill>
              </w:rPr>
              <w:t>否</w:t>
            </w:r>
          </w:p>
        </w:tc>
      </w:tr>
      <w:tr w14:paraId="3BE71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1" w:type="pct"/>
            <w:vAlign w:val="center"/>
          </w:tcPr>
          <w:p w14:paraId="2B9A10D7">
            <w:pPr>
              <w:pStyle w:val="71"/>
              <w:keepNext w:val="0"/>
              <w:keepLines w:val="0"/>
              <w:pageBreakBefore w:val="0"/>
              <w:kinsoku/>
              <w:wordWrap/>
              <w:overflowPunct/>
              <w:topLinePunct w:val="0"/>
              <w:bidi w:val="0"/>
              <w:adjustRightInd/>
              <w:snapToGrid/>
              <w:spacing w:line="360" w:lineRule="exact"/>
              <w:ind w:firstLine="0" w:firstLineChars="0"/>
              <w:jc w:val="center"/>
              <w:textAlignment w:val="auto"/>
              <w:rPr>
                <w:rFonts w:hint="default" w:ascii="宋体" w:hAnsi="宋体" w:eastAsia="宋体" w:cs="宋体"/>
                <w:b w:val="0"/>
                <w:bCs w:val="0"/>
                <w:color w:val="000000" w:themeColor="text1"/>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bidi="ar-SA"/>
                <w14:textFill>
                  <w14:solidFill>
                    <w14:schemeClr w14:val="tx1"/>
                  </w14:solidFill>
                </w14:textFill>
              </w:rPr>
              <w:t>3</w:t>
            </w:r>
          </w:p>
        </w:tc>
        <w:tc>
          <w:tcPr>
            <w:tcW w:w="2018" w:type="pct"/>
            <w:vAlign w:val="center"/>
          </w:tcPr>
          <w:p w14:paraId="0C0B0162">
            <w:pPr>
              <w:keepNext w:val="0"/>
              <w:keepLines w:val="0"/>
              <w:pageBreakBefore w:val="0"/>
              <w:widowControl/>
              <w:kinsoku/>
              <w:wordWrap/>
              <w:overflowPunct/>
              <w:topLinePunct w:val="0"/>
              <w:bidi w:val="0"/>
              <w:adjustRightInd/>
              <w:snapToGrid/>
              <w:spacing w:line="360" w:lineRule="exact"/>
              <w:ind w:firstLine="0" w:firstLineChars="0"/>
              <w:textAlignment w:val="auto"/>
              <w:rPr>
                <w:rFonts w:hint="eastAsia" w:ascii="宋体" w:hAnsi="宋体" w:eastAsia="宋体" w:cs="宋体"/>
                <w:b w:val="0"/>
                <w:bCs w:val="0"/>
                <w:color w:val="000000" w:themeColor="text1"/>
                <w:sz w:val="21"/>
                <w:szCs w:val="21"/>
                <w:lang w:val="en-US" w:eastAsia="zh-CN" w:bidi="ar-SA"/>
                <w14:textFill>
                  <w14:solidFill>
                    <w14:schemeClr w14:val="tx1"/>
                  </w14:solidFill>
                </w14:textFill>
              </w:rPr>
            </w:pPr>
            <w:r>
              <w:rPr>
                <w:rFonts w:hint="default" w:ascii="宋体" w:hAnsi="宋体" w:eastAsia="宋体" w:cs="宋体"/>
                <w:b w:val="0"/>
                <w:bCs w:val="0"/>
                <w:color w:val="000000" w:themeColor="text1"/>
                <w:sz w:val="21"/>
                <w:szCs w:val="21"/>
                <w:lang w:val="en-US" w:eastAsia="zh-CN" w:bidi="ar-SA"/>
                <w14:textFill>
                  <w14:solidFill>
                    <w14:schemeClr w14:val="tx1"/>
                  </w14:solidFill>
                </w14:textFill>
              </w:rPr>
              <w:t>本标准所列情形中直接关系生产安全的监控、报警、防护等设施、设备、装置，应当保证正常运行、使用，失效或者无效均判定为重大事故隐患。</w:t>
            </w:r>
          </w:p>
        </w:tc>
        <w:tc>
          <w:tcPr>
            <w:tcW w:w="791" w:type="pct"/>
            <w:vAlign w:val="center"/>
          </w:tcPr>
          <w:p w14:paraId="77849127">
            <w:pPr>
              <w:keepNext w:val="0"/>
              <w:keepLines w:val="0"/>
              <w:pageBreakBefore w:val="0"/>
              <w:widowControl/>
              <w:kinsoku/>
              <w:wordWrap/>
              <w:overflowPunct/>
              <w:topLinePunct w:val="0"/>
              <w:bidi w:val="0"/>
              <w:adjustRightInd/>
              <w:snapToGrid/>
              <w:spacing w:line="360" w:lineRule="exact"/>
              <w:ind w:firstLine="0" w:firstLineChars="0"/>
              <w:textAlignment w:val="auto"/>
              <w:rPr>
                <w:rFonts w:hint="eastAsia" w:ascii="宋体" w:hAnsi="宋体" w:eastAsia="宋体" w:cs="宋体"/>
                <w:b w:val="0"/>
                <w:bCs w:val="0"/>
                <w:color w:val="000000" w:themeColor="text1"/>
                <w:sz w:val="21"/>
                <w:szCs w:val="21"/>
                <w:lang w:val="en-US" w:eastAsia="zh-CN" w:bidi="ar-SA"/>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《工贸行业重  大生产安全事故隐患判定标准》（2023年3月20 日应急管理部令第10号公布，自 2023年5月15日起施行）第</w:t>
            </w:r>
            <w:r>
              <w:rPr>
                <w:rFonts w:hint="eastAsia" w:ascii="宋体" w:hAnsi="宋体" w:eastAsia="宋体" w:cs="宋体"/>
                <w:b w:val="0"/>
                <w:bCs/>
                <w:color w:val="000000" w:themeColor="text1"/>
                <w:sz w:val="21"/>
                <w:szCs w:val="21"/>
                <w:lang w:val="en-US" w:eastAsia="zh-CN"/>
                <w14:textFill>
                  <w14:solidFill>
                    <w14:schemeClr w14:val="tx1"/>
                  </w14:solidFill>
                </w14:textFill>
              </w:rPr>
              <w:t>十四</w:t>
            </w:r>
            <w:r>
              <w:rPr>
                <w:rFonts w:hint="eastAsia" w:ascii="宋体" w:hAnsi="宋体" w:eastAsia="宋体" w:cs="宋体"/>
                <w:b w:val="0"/>
                <w:bCs/>
                <w:color w:val="000000" w:themeColor="text1"/>
                <w:sz w:val="21"/>
                <w:szCs w:val="21"/>
                <w14:textFill>
                  <w14:solidFill>
                    <w14:schemeClr w14:val="tx1"/>
                  </w14:solidFill>
                </w14:textFill>
              </w:rPr>
              <w:t>条</w:t>
            </w:r>
          </w:p>
        </w:tc>
        <w:tc>
          <w:tcPr>
            <w:tcW w:w="1040" w:type="pct"/>
            <w:shd w:val="clear" w:color="auto" w:fill="auto"/>
            <w:vAlign w:val="center"/>
          </w:tcPr>
          <w:p w14:paraId="62687B02">
            <w:pPr>
              <w:pStyle w:val="361"/>
              <w:overflowPunct w:val="0"/>
              <w:snapToGrid w:val="0"/>
              <w:jc w:val="both"/>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现场检查时，厂区内的</w:t>
            </w:r>
            <w:r>
              <w:rPr>
                <w:rFonts w:hint="default" w:ascii="Times New Roman" w:hAnsi="Times New Roman" w:cs="Times New Roman"/>
                <w:snapToGrid w:val="0"/>
                <w:color w:val="000000" w:themeColor="text1"/>
                <w:kern w:val="0"/>
                <w:sz w:val="21"/>
                <w:shd w:val="clear" w:color="auto" w:fill="FFFFFF"/>
                <w:lang w:bidi="ar"/>
                <w14:textFill>
                  <w14:solidFill>
                    <w14:schemeClr w14:val="tx1"/>
                  </w14:solidFill>
                </w14:textFill>
              </w:rPr>
              <w:t>监控、报警、防护等设施、设备、装置正常运行。</w:t>
            </w:r>
          </w:p>
        </w:tc>
        <w:tc>
          <w:tcPr>
            <w:tcW w:w="677" w:type="pct"/>
            <w:shd w:val="clear" w:color="auto" w:fill="auto"/>
            <w:vAlign w:val="center"/>
          </w:tcPr>
          <w:p w14:paraId="28387D12">
            <w:pPr>
              <w:overflowPunct w:val="0"/>
              <w:snapToGrid w:val="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cs="Times New Roman"/>
                <w:color w:val="000000" w:themeColor="text1"/>
                <w:sz w:val="21"/>
                <w:szCs w:val="21"/>
                <w:lang w:val="en-US" w:eastAsia="zh-CN" w:bidi="ar-SA"/>
                <w14:textFill>
                  <w14:solidFill>
                    <w14:schemeClr w14:val="tx1"/>
                  </w14:solidFill>
                </w14:textFill>
              </w:rPr>
              <w:t>否</w:t>
            </w:r>
          </w:p>
        </w:tc>
      </w:tr>
    </w:tbl>
    <w:p w14:paraId="626DAD9A">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检查结果：根据《工贸行业重大生产安全事故隐患判定标准》（2023年3月20日应急管理部令第10号公布，自2023年5月15日起施行）的相关规定，本项目不存在重大生产安全事故隐患。</w:t>
      </w:r>
    </w:p>
    <w:p w14:paraId="6972B338">
      <w:pPr>
        <w:pStyle w:val="4"/>
        <w:keepNext/>
        <w:keepLines/>
        <w:pageBreakBefore w:val="0"/>
        <w:widowControl w:val="0"/>
        <w:kinsoku/>
        <w:wordWrap/>
        <w:overflowPunct/>
        <w:topLinePunct w:val="0"/>
        <w:autoSpaceDE/>
        <w:autoSpaceDN/>
        <w:bidi w:val="0"/>
        <w:adjustRightInd/>
        <w:snapToGrid w:val="0"/>
        <w:jc w:val="both"/>
        <w:textAlignment w:val="auto"/>
        <w:rPr>
          <w:rFonts w:hint="default" w:ascii="Times New Roman" w:hAnsi="Times New Roman" w:eastAsia="楷体" w:cs="Times New Roman"/>
          <w:color w:val="000000" w:themeColor="text1"/>
          <w14:textFill>
            <w14:solidFill>
              <w14:schemeClr w14:val="tx1"/>
            </w14:solidFill>
          </w14:textFill>
        </w:rPr>
      </w:pPr>
      <w:bookmarkStart w:id="744" w:name="_Toc6011"/>
      <w:bookmarkStart w:id="745" w:name="_Toc1369"/>
      <w:bookmarkStart w:id="746" w:name="_Toc25019"/>
      <w:r>
        <w:rPr>
          <w:rFonts w:hint="default" w:ascii="Times New Roman" w:hAnsi="Times New Roman" w:eastAsia="楷体" w:cs="Times New Roman"/>
          <w:color w:val="000000" w:themeColor="text1"/>
          <w14:textFill>
            <w14:solidFill>
              <w14:schemeClr w14:val="tx1"/>
            </w14:solidFill>
          </w14:textFill>
        </w:rPr>
        <w:t>5.7</w:t>
      </w:r>
      <w:r>
        <w:rPr>
          <w:rFonts w:hint="eastAsia"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eastAsia="楷体" w:cs="Times New Roman"/>
          <w:color w:val="000000" w:themeColor="text1"/>
          <w14:textFill>
            <w14:solidFill>
              <w14:schemeClr w14:val="tx1"/>
            </w14:solidFill>
          </w14:textFill>
        </w:rPr>
        <w:t>有限空间作业评价单元</w:t>
      </w:r>
      <w:bookmarkEnd w:id="744"/>
      <w:bookmarkEnd w:id="745"/>
      <w:bookmarkEnd w:id="746"/>
    </w:p>
    <w:p w14:paraId="3029DE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该企业属于</w:t>
      </w:r>
      <w:r>
        <w:rPr>
          <w:rFonts w:hint="eastAsia" w:ascii="宋体" w:hAnsi="宋体" w:eastAsia="宋体" w:cs="宋体"/>
          <w:color w:val="000000" w:themeColor="text1"/>
          <w:sz w:val="28"/>
          <w:szCs w:val="28"/>
          <w:lang w:eastAsia="zh-CN"/>
          <w14:textFill>
            <w14:solidFill>
              <w14:schemeClr w14:val="tx1"/>
            </w14:solidFill>
          </w14:textFill>
        </w:rPr>
        <w:t>建材</w:t>
      </w:r>
      <w:r>
        <w:rPr>
          <w:rFonts w:hint="eastAsia" w:ascii="宋体" w:hAnsi="宋体" w:eastAsia="宋体" w:cs="宋体"/>
          <w:color w:val="000000" w:themeColor="text1"/>
          <w:sz w:val="28"/>
          <w:szCs w:val="28"/>
          <w14:textFill>
            <w14:solidFill>
              <w14:schemeClr w14:val="tx1"/>
            </w14:solidFill>
          </w14:textFill>
        </w:rPr>
        <w:t>行业，按《工贸企业重大事故隐患判定标准》（应急管理部〔2023〕</w:t>
      </w: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0号令）、</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工贸企业有限空间作业安全规定</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（2023年11月29日应急管理部令第13号公布，自2024年1月1日起施行）的内容，对该项目在生产过程中，可能存在的有限空间作业进行检查。具体检查情况如下：</w:t>
      </w:r>
    </w:p>
    <w:p w14:paraId="5AC791AA">
      <w:pPr>
        <w:keepNext w:val="0"/>
        <w:keepLines w:val="0"/>
        <w:pageBreakBefore w:val="0"/>
        <w:widowControl/>
        <w:kinsoku/>
        <w:wordWrap/>
        <w:overflowPunct/>
        <w:topLinePunct w:val="0"/>
        <w:autoSpaceDE/>
        <w:autoSpaceDN/>
        <w:bidi w:val="0"/>
        <w:adjustRightInd/>
        <w:snapToGrid/>
        <w:spacing w:line="520" w:lineRule="exact"/>
        <w:ind w:firstLine="0" w:firstLineChars="0"/>
        <w:jc w:val="center"/>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szCs w:val="24"/>
          <w14:textFill>
            <w14:solidFill>
              <w14:schemeClr w14:val="tx1"/>
            </w14:solidFill>
          </w14:textFill>
        </w:rPr>
        <w:t>表5-</w:t>
      </w:r>
      <w:r>
        <w:rPr>
          <w:rFonts w:hint="eastAsia" w:ascii="Times New Roman" w:cs="Times New Roman"/>
          <w:b/>
          <w:bCs/>
          <w:color w:val="000000" w:themeColor="text1"/>
          <w:szCs w:val="24"/>
          <w:lang w:val="en-US" w:eastAsia="zh-CN"/>
          <w14:textFill>
            <w14:solidFill>
              <w14:schemeClr w14:val="tx1"/>
            </w14:solidFill>
          </w14:textFill>
        </w:rPr>
        <w:t xml:space="preserve">10 </w:t>
      </w:r>
      <w:r>
        <w:rPr>
          <w:rFonts w:hint="default" w:ascii="Times New Roman" w:hAnsi="Times New Roman" w:eastAsia="宋体" w:cs="Times New Roman"/>
          <w:b/>
          <w:bCs/>
          <w:color w:val="000000" w:themeColor="text1"/>
          <w:szCs w:val="24"/>
          <w14:textFill>
            <w14:solidFill>
              <w14:schemeClr w14:val="tx1"/>
            </w14:solidFill>
          </w14:textFill>
        </w:rPr>
        <w:t>有限空间作业单元安全检查表</w:t>
      </w:r>
    </w:p>
    <w:tbl>
      <w:tblPr>
        <w:tblStyle w:val="5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981"/>
        <w:gridCol w:w="2254"/>
        <w:gridCol w:w="2024"/>
        <w:gridCol w:w="738"/>
      </w:tblGrid>
      <w:tr w14:paraId="66B58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39A96AAE">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1709" w:type="pct"/>
            <w:vAlign w:val="center"/>
          </w:tcPr>
          <w:p w14:paraId="24DAF2E0">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检查内容</w:t>
            </w:r>
          </w:p>
        </w:tc>
        <w:tc>
          <w:tcPr>
            <w:tcW w:w="1292" w:type="pct"/>
            <w:vAlign w:val="center"/>
          </w:tcPr>
          <w:p w14:paraId="075BA032">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依据标准</w:t>
            </w:r>
          </w:p>
        </w:tc>
        <w:tc>
          <w:tcPr>
            <w:tcW w:w="1160" w:type="pct"/>
            <w:vAlign w:val="center"/>
          </w:tcPr>
          <w:p w14:paraId="42F4505E">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检查情况</w:t>
            </w:r>
          </w:p>
        </w:tc>
        <w:tc>
          <w:tcPr>
            <w:tcW w:w="423" w:type="pct"/>
            <w:vAlign w:val="center"/>
          </w:tcPr>
          <w:p w14:paraId="329F51E6">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结论</w:t>
            </w:r>
          </w:p>
        </w:tc>
      </w:tr>
      <w:tr w14:paraId="4466D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62BAE4FD">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709" w:type="pct"/>
            <w:vAlign w:val="center"/>
          </w:tcPr>
          <w:p w14:paraId="0E2CC3D3">
            <w:pPr>
              <w:widowControl/>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未对有限空间作业场所进行辨识，并设置明显安全警示标志。</w:t>
            </w:r>
          </w:p>
        </w:tc>
        <w:tc>
          <w:tcPr>
            <w:tcW w:w="1292" w:type="pct"/>
            <w:vAlign w:val="center"/>
          </w:tcPr>
          <w:p w14:paraId="3115E259">
            <w:pPr>
              <w:suppressAutoHyphens/>
              <w:snapToGrid w:val="0"/>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《工贸企业重大事故隐患判定标准》（应急管理部〔2023〕10号令）</w:t>
            </w:r>
          </w:p>
        </w:tc>
        <w:tc>
          <w:tcPr>
            <w:tcW w:w="1160" w:type="pct"/>
            <w:vAlign w:val="center"/>
          </w:tcPr>
          <w:p w14:paraId="0469B7CB">
            <w:pPr>
              <w:suppressAutoHyphens/>
              <w:snapToGrid w:val="0"/>
              <w:jc w:val="both"/>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有限空间作业场所已进行辨识，并设置明显安全警示标志</w:t>
            </w:r>
          </w:p>
        </w:tc>
        <w:tc>
          <w:tcPr>
            <w:tcW w:w="423" w:type="pct"/>
            <w:vAlign w:val="center"/>
          </w:tcPr>
          <w:p w14:paraId="77DFB660">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符合</w:t>
            </w:r>
          </w:p>
        </w:tc>
      </w:tr>
      <w:tr w14:paraId="745B6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2BB0B926">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709" w:type="pct"/>
            <w:vAlign w:val="center"/>
          </w:tcPr>
          <w:p w14:paraId="057388F5">
            <w:pPr>
              <w:widowControl/>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未落实作业审批制度，擅自进入有限空间作业。</w:t>
            </w:r>
          </w:p>
          <w:p w14:paraId="2768620F">
            <w:pPr>
              <w:pStyle w:val="71"/>
              <w:ind w:firstLine="422" w:firstLineChars="200"/>
              <w:jc w:val="center"/>
              <w:rPr>
                <w:rFonts w:hint="eastAsia" w:ascii="宋体" w:hAnsi="宋体" w:eastAsia="宋体" w:cs="宋体"/>
                <w:snapToGrid w:val="0"/>
                <w:color w:val="000000" w:themeColor="text1"/>
                <w:sz w:val="21"/>
                <w:szCs w:val="21"/>
                <w14:textFill>
                  <w14:solidFill>
                    <w14:schemeClr w14:val="tx1"/>
                  </w14:solidFill>
                </w14:textFill>
              </w:rPr>
            </w:pPr>
          </w:p>
        </w:tc>
        <w:tc>
          <w:tcPr>
            <w:tcW w:w="1292" w:type="pct"/>
            <w:vAlign w:val="center"/>
          </w:tcPr>
          <w:p w14:paraId="24354F74">
            <w:pPr>
              <w:suppressAutoHyphens/>
              <w:snapToGrid w:val="0"/>
              <w:jc w:val="both"/>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《工贸企业重大事故隐患判定标准》（应急管理部〔2023〕10号令）</w:t>
            </w:r>
          </w:p>
        </w:tc>
        <w:tc>
          <w:tcPr>
            <w:tcW w:w="1160" w:type="pct"/>
            <w:vAlign w:val="center"/>
          </w:tcPr>
          <w:p w14:paraId="53A2A2BA">
            <w:pPr>
              <w:suppressAutoHyphens/>
              <w:snapToGrid w:val="0"/>
              <w:jc w:val="both"/>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已设置作业审批制度</w:t>
            </w:r>
          </w:p>
        </w:tc>
        <w:tc>
          <w:tcPr>
            <w:tcW w:w="423" w:type="pct"/>
            <w:vAlign w:val="center"/>
          </w:tcPr>
          <w:p w14:paraId="5BAC512E">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符合</w:t>
            </w:r>
          </w:p>
        </w:tc>
      </w:tr>
      <w:tr w14:paraId="6B6C5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6E58A4F5">
            <w:pPr>
              <w:snapToGrid w:val="0"/>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3</w:t>
            </w:r>
          </w:p>
        </w:tc>
        <w:tc>
          <w:tcPr>
            <w:tcW w:w="1709" w:type="pct"/>
            <w:vAlign w:val="center"/>
          </w:tcPr>
          <w:p w14:paraId="3B10F863">
            <w:pPr>
              <w:pStyle w:val="71"/>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lang w:val="en-US" w:eastAsia="zh-CN" w:bidi="ar-SA"/>
                <w14:textFill>
                  <w14:solidFill>
                    <w14:schemeClr w14:val="tx1"/>
                  </w14:solidFill>
                </w14:textFill>
              </w:rPr>
              <w:t>未对有限空间作业进行辨识、提出防范措施，并建立有限空间管理台账。</w:t>
            </w:r>
          </w:p>
        </w:tc>
        <w:tc>
          <w:tcPr>
            <w:tcW w:w="1292" w:type="pct"/>
            <w:vAlign w:val="center"/>
          </w:tcPr>
          <w:p w14:paraId="153DE3A6">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《工贸企业重大事故隐患判定标准》（应急管理部〔2023〕10号令）</w:t>
            </w:r>
          </w:p>
          <w:p w14:paraId="6C059643">
            <w:pPr>
              <w:pStyle w:val="35"/>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lang w:val="en-US" w:eastAsia="zh-CN"/>
                <w14:textFill>
                  <w14:solidFill>
                    <w14:schemeClr w14:val="tx1"/>
                  </w14:solidFill>
                </w14:textFill>
              </w:rPr>
              <w:t>《工贸企业有限空间作业安全规定》（应急管理部〔2023〕13号令）第六条</w:t>
            </w:r>
          </w:p>
        </w:tc>
        <w:tc>
          <w:tcPr>
            <w:tcW w:w="1160" w:type="pct"/>
            <w:vAlign w:val="center"/>
          </w:tcPr>
          <w:p w14:paraId="205ED315">
            <w:pPr>
              <w:suppressAutoHyphens/>
              <w:snapToGrid w:val="0"/>
              <w:jc w:val="both"/>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已对有限空间作业进行辨识、提出防范措施，并建立有限空间管理台账。</w:t>
            </w:r>
          </w:p>
        </w:tc>
        <w:tc>
          <w:tcPr>
            <w:tcW w:w="423" w:type="pct"/>
            <w:vAlign w:val="center"/>
          </w:tcPr>
          <w:p w14:paraId="7850D4FC">
            <w:pPr>
              <w:suppressAutoHyphens/>
              <w:snapToGrid w:val="0"/>
              <w:jc w:val="center"/>
              <w:rPr>
                <w:rFonts w:hint="eastAsia" w:ascii="宋体" w:hAnsi="宋体" w:eastAsia="宋体" w:cs="宋体"/>
                <w:b w:val="0"/>
                <w:bCs w:val="0"/>
                <w:snapToGrid w:val="0"/>
                <w:color w:val="000000" w:themeColor="text1"/>
                <w:sz w:val="21"/>
                <w:szCs w:val="21"/>
                <w14:textFill>
                  <w14:solidFill>
                    <w14:schemeClr w14:val="tx1"/>
                  </w14:solidFill>
                </w14:textFill>
              </w:rPr>
            </w:pPr>
            <w:r>
              <w:rPr>
                <w:rFonts w:hint="eastAsia" w:ascii="宋体" w:hAnsi="宋体" w:eastAsia="宋体" w:cs="宋体"/>
                <w:b w:val="0"/>
                <w:bCs w:val="0"/>
                <w:snapToGrid w:val="0"/>
                <w:color w:val="000000" w:themeColor="text1"/>
                <w:sz w:val="21"/>
                <w:szCs w:val="21"/>
                <w14:textFill>
                  <w14:solidFill>
                    <w14:schemeClr w14:val="tx1"/>
                  </w14:solidFill>
                </w14:textFill>
              </w:rPr>
              <w:t>符合</w:t>
            </w:r>
          </w:p>
        </w:tc>
      </w:tr>
      <w:tr w14:paraId="57895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565DD8B3">
            <w:pPr>
              <w:snapToGrid w:val="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w:t>
            </w:r>
          </w:p>
        </w:tc>
        <w:tc>
          <w:tcPr>
            <w:tcW w:w="1709" w:type="pct"/>
            <w:vAlign w:val="center"/>
          </w:tcPr>
          <w:p w14:paraId="15C10194">
            <w:pPr>
              <w:widowControl/>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主要负责人是有限空间作业安全第一责任人，应当组织制定有限空间作业安全管理制度，明确有限空间作业审批人、监护人员、作业人员的职责，以及安全培训、作业审批、防护用品、应急救援装备、操作规程和应急处置等方面的要求。</w:t>
            </w:r>
          </w:p>
        </w:tc>
        <w:tc>
          <w:tcPr>
            <w:tcW w:w="1292" w:type="pct"/>
            <w:vAlign w:val="center"/>
          </w:tcPr>
          <w:p w14:paraId="7B9EDEF6">
            <w:pPr>
              <w:keepNext w:val="0"/>
              <w:keepLines w:val="0"/>
              <w:pageBreakBefore w:val="0"/>
              <w:widowControl w:val="0"/>
              <w:suppressAutoHyphens/>
              <w:kinsoku/>
              <w:wordWrap/>
              <w:overflowPunct/>
              <w:topLinePunct w:val="0"/>
              <w:autoSpaceDE/>
              <w:autoSpaceDN/>
              <w:bidi w:val="0"/>
              <w:adjustRightInd/>
              <w:snapToGrid w:val="0"/>
              <w:jc w:val="both"/>
              <w:textAlignment w:val="auto"/>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《工贸企业有限空间作业安全规定》（应急管理部〔2023〕13号令）第四条</w:t>
            </w:r>
          </w:p>
        </w:tc>
        <w:tc>
          <w:tcPr>
            <w:tcW w:w="1160" w:type="pct"/>
            <w:vAlign w:val="center"/>
          </w:tcPr>
          <w:p w14:paraId="6CD34A47">
            <w:pPr>
              <w:suppressAutoHyphens/>
              <w:snapToGrid w:val="0"/>
              <w:jc w:val="both"/>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lang w:eastAsia="zh-CN"/>
                <w14:textFill>
                  <w14:solidFill>
                    <w14:schemeClr w14:val="tx1"/>
                  </w14:solidFill>
                </w14:textFill>
              </w:rPr>
              <w:t>已</w:t>
            </w:r>
            <w:r>
              <w:rPr>
                <w:rFonts w:hint="eastAsia" w:ascii="宋体" w:hAnsi="宋体" w:eastAsia="宋体" w:cs="宋体"/>
                <w:snapToGrid w:val="0"/>
                <w:color w:val="000000" w:themeColor="text1"/>
                <w:sz w:val="21"/>
                <w:szCs w:val="21"/>
                <w14:textFill>
                  <w14:solidFill>
                    <w14:schemeClr w14:val="tx1"/>
                  </w14:solidFill>
                </w14:textFill>
              </w:rPr>
              <w:t>制定</w:t>
            </w:r>
            <w:r>
              <w:rPr>
                <w:rFonts w:hint="eastAsia" w:ascii="宋体" w:hAnsi="宋体" w:eastAsia="宋体" w:cs="宋体"/>
                <w:snapToGrid w:val="0"/>
                <w:color w:val="000000" w:themeColor="text1"/>
                <w:sz w:val="21"/>
                <w:szCs w:val="21"/>
                <w:lang w:eastAsia="zh-CN"/>
                <w14:textFill>
                  <w14:solidFill>
                    <w14:schemeClr w14:val="tx1"/>
                  </w14:solidFill>
                </w14:textFill>
              </w:rPr>
              <w:t>了</w:t>
            </w:r>
            <w:r>
              <w:rPr>
                <w:rFonts w:hint="eastAsia" w:ascii="宋体" w:hAnsi="宋体" w:eastAsia="宋体" w:cs="宋体"/>
                <w:snapToGrid w:val="0"/>
                <w:color w:val="000000" w:themeColor="text1"/>
                <w:sz w:val="21"/>
                <w:szCs w:val="21"/>
                <w14:textFill>
                  <w14:solidFill>
                    <w14:schemeClr w14:val="tx1"/>
                  </w14:solidFill>
                </w14:textFill>
              </w:rPr>
              <w:t>有限空间作业安全管理制度、操作规程和应急处置</w:t>
            </w:r>
            <w:r>
              <w:rPr>
                <w:rFonts w:hint="eastAsia" w:ascii="宋体" w:hAnsi="宋体" w:eastAsia="宋体" w:cs="宋体"/>
                <w:snapToGrid w:val="0"/>
                <w:color w:val="000000" w:themeColor="text1"/>
                <w:sz w:val="21"/>
                <w:szCs w:val="21"/>
                <w:lang w:eastAsia="zh-CN"/>
                <w14:textFill>
                  <w14:solidFill>
                    <w14:schemeClr w14:val="tx1"/>
                  </w14:solidFill>
                </w14:textFill>
              </w:rPr>
              <w:t>方案</w:t>
            </w:r>
            <w:r>
              <w:rPr>
                <w:rFonts w:hint="eastAsia" w:ascii="宋体" w:hAnsi="宋体" w:eastAsia="宋体" w:cs="宋体"/>
                <w:snapToGrid w:val="0"/>
                <w:color w:val="000000" w:themeColor="text1"/>
                <w:sz w:val="21"/>
                <w:szCs w:val="21"/>
                <w14:textFill>
                  <w14:solidFill>
                    <w14:schemeClr w14:val="tx1"/>
                  </w14:solidFill>
                </w14:textFill>
              </w:rPr>
              <w:t>等。</w:t>
            </w:r>
          </w:p>
        </w:tc>
        <w:tc>
          <w:tcPr>
            <w:tcW w:w="423" w:type="pct"/>
            <w:vAlign w:val="center"/>
          </w:tcPr>
          <w:p w14:paraId="76146D79">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符合</w:t>
            </w:r>
          </w:p>
        </w:tc>
      </w:tr>
      <w:tr w14:paraId="38568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69AB61C0">
            <w:pPr>
              <w:snapToGrid w:val="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w:t>
            </w:r>
          </w:p>
        </w:tc>
        <w:tc>
          <w:tcPr>
            <w:tcW w:w="1709" w:type="pct"/>
            <w:vAlign w:val="center"/>
          </w:tcPr>
          <w:p w14:paraId="614A2509">
            <w:pPr>
              <w:widowControl/>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于存在硫化氢、一氧化碳、二氧化碳等中毒和窒息等风险的有限空间作业，应当由工贸企业主要负责人或者其书面委托的人员进行审批，委托进行审批的，相关责任仍由工贸企业主要负责人承担。未经工贸企业确定的作业审批人批准，不得实施有限空间作业。</w:t>
            </w:r>
          </w:p>
        </w:tc>
        <w:tc>
          <w:tcPr>
            <w:tcW w:w="1292" w:type="pct"/>
            <w:vAlign w:val="center"/>
          </w:tcPr>
          <w:p w14:paraId="059A0D9F">
            <w:pPr>
              <w:suppressAutoHyphens/>
              <w:snapToGrid w:val="0"/>
              <w:jc w:val="both"/>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《工贸企业有限空间作业安全规定》（应急管理部〔2023〕13号令）第七条</w:t>
            </w:r>
          </w:p>
        </w:tc>
        <w:tc>
          <w:tcPr>
            <w:tcW w:w="1160" w:type="pct"/>
            <w:vAlign w:val="center"/>
          </w:tcPr>
          <w:p w14:paraId="0F4B9FD3">
            <w:pPr>
              <w:suppressAutoHyphens/>
              <w:snapToGrid w:val="0"/>
              <w:jc w:val="both"/>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lang w:eastAsia="zh-CN"/>
                <w14:textFill>
                  <w14:solidFill>
                    <w14:schemeClr w14:val="tx1"/>
                  </w14:solidFill>
                </w14:textFill>
              </w:rPr>
              <w:t>已</w:t>
            </w:r>
            <w:r>
              <w:rPr>
                <w:rFonts w:hint="eastAsia" w:ascii="宋体" w:hAnsi="宋体" w:eastAsia="宋体" w:cs="宋体"/>
                <w:snapToGrid w:val="0"/>
                <w:color w:val="000000" w:themeColor="text1"/>
                <w:sz w:val="21"/>
                <w:szCs w:val="21"/>
                <w14:textFill>
                  <w14:solidFill>
                    <w14:schemeClr w14:val="tx1"/>
                  </w14:solidFill>
                </w14:textFill>
              </w:rPr>
              <w:t>制定</w:t>
            </w:r>
            <w:r>
              <w:rPr>
                <w:rFonts w:hint="eastAsia" w:ascii="宋体" w:hAnsi="宋体" w:eastAsia="宋体" w:cs="宋体"/>
                <w:snapToGrid w:val="0"/>
                <w:color w:val="000000" w:themeColor="text1"/>
                <w:sz w:val="21"/>
                <w:szCs w:val="21"/>
                <w:lang w:eastAsia="zh-CN"/>
                <w14:textFill>
                  <w14:solidFill>
                    <w14:schemeClr w14:val="tx1"/>
                  </w14:solidFill>
                </w14:textFill>
              </w:rPr>
              <w:t>了</w:t>
            </w:r>
            <w:r>
              <w:rPr>
                <w:rFonts w:hint="eastAsia" w:ascii="宋体" w:hAnsi="宋体" w:eastAsia="宋体" w:cs="宋体"/>
                <w:snapToGrid w:val="0"/>
                <w:color w:val="000000" w:themeColor="text1"/>
                <w:sz w:val="21"/>
                <w:szCs w:val="21"/>
                <w14:textFill>
                  <w14:solidFill>
                    <w14:schemeClr w14:val="tx1"/>
                  </w14:solidFill>
                </w14:textFill>
              </w:rPr>
              <w:t>有限空间作业安全管理制度</w:t>
            </w:r>
            <w:r>
              <w:rPr>
                <w:rFonts w:hint="eastAsia" w:ascii="宋体" w:hAnsi="宋体" w:eastAsia="宋体" w:cs="宋体"/>
                <w:snapToGrid w:val="0"/>
                <w:color w:val="000000" w:themeColor="text1"/>
                <w:sz w:val="21"/>
                <w:szCs w:val="21"/>
                <w:lang w:eastAsia="zh-CN"/>
                <w14:textFill>
                  <w14:solidFill>
                    <w14:schemeClr w14:val="tx1"/>
                  </w14:solidFill>
                </w14:textFill>
              </w:rPr>
              <w:t>，作业时严格按制度执行</w:t>
            </w:r>
            <w:r>
              <w:rPr>
                <w:rFonts w:hint="eastAsia" w:ascii="宋体" w:hAnsi="宋体" w:eastAsia="宋体" w:cs="宋体"/>
                <w:snapToGrid w:val="0"/>
                <w:color w:val="000000" w:themeColor="text1"/>
                <w:sz w:val="21"/>
                <w:szCs w:val="21"/>
                <w14:textFill>
                  <w14:solidFill>
                    <w14:schemeClr w14:val="tx1"/>
                  </w14:solidFill>
                </w14:textFill>
              </w:rPr>
              <w:t>。</w:t>
            </w:r>
          </w:p>
        </w:tc>
        <w:tc>
          <w:tcPr>
            <w:tcW w:w="423" w:type="pct"/>
            <w:vAlign w:val="center"/>
          </w:tcPr>
          <w:p w14:paraId="54AD0B51">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符合</w:t>
            </w:r>
          </w:p>
        </w:tc>
      </w:tr>
      <w:tr w14:paraId="0FEF8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7B265E4D">
            <w:pPr>
              <w:snapToGrid w:val="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709" w:type="pct"/>
            <w:vAlign w:val="center"/>
          </w:tcPr>
          <w:p w14:paraId="7DD4D291">
            <w:pPr>
              <w:widowControl/>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将有限空间作业依法发包给其他单位实施的，应当与承包单位在合同或者协议中约定各自的安全生产管理职责。工贸企业对其发包的有限空间作业统一协调、管理，并对现场作业进行安全检查，督促承包单位有效落实各项安全措施。</w:t>
            </w:r>
          </w:p>
        </w:tc>
        <w:tc>
          <w:tcPr>
            <w:tcW w:w="1292" w:type="pct"/>
            <w:vAlign w:val="center"/>
          </w:tcPr>
          <w:p w14:paraId="7B57893D">
            <w:pPr>
              <w:suppressAutoHyphens/>
              <w:snapToGrid w:val="0"/>
              <w:jc w:val="both"/>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《工贸企业有限空间作业安全规定》（应急管理部〔2023〕13号令）第八条</w:t>
            </w:r>
          </w:p>
        </w:tc>
        <w:tc>
          <w:tcPr>
            <w:tcW w:w="1160" w:type="pct"/>
            <w:vAlign w:val="center"/>
          </w:tcPr>
          <w:p w14:paraId="0B9E6FE6">
            <w:pPr>
              <w:suppressAutoHyphens/>
              <w:snapToGrid w:val="0"/>
              <w:jc w:val="both"/>
              <w:rPr>
                <w:rFonts w:hint="eastAsia" w:ascii="宋体" w:hAnsi="宋体" w:eastAsia="宋体" w:cs="宋体"/>
                <w:snapToGrid w:val="0"/>
                <w:color w:val="000000" w:themeColor="text1"/>
                <w:sz w:val="21"/>
                <w:szCs w:val="21"/>
                <w:lang w:eastAsia="zh-CN"/>
                <w14:textFill>
                  <w14:solidFill>
                    <w14:schemeClr w14:val="tx1"/>
                  </w14:solidFill>
                </w14:textFill>
              </w:rPr>
            </w:pPr>
            <w:r>
              <w:rPr>
                <w:rFonts w:hint="eastAsia" w:ascii="宋体" w:hAnsi="宋体" w:eastAsia="宋体" w:cs="宋体"/>
                <w:snapToGrid w:val="0"/>
                <w:color w:val="000000" w:themeColor="text1"/>
                <w:sz w:val="21"/>
                <w:szCs w:val="21"/>
                <w:lang w:eastAsia="zh-CN"/>
                <w14:textFill>
                  <w14:solidFill>
                    <w14:schemeClr w14:val="tx1"/>
                  </w14:solidFill>
                </w14:textFill>
              </w:rPr>
              <w:t>不涉及发包给其他单位实施</w:t>
            </w:r>
          </w:p>
        </w:tc>
        <w:tc>
          <w:tcPr>
            <w:tcW w:w="423" w:type="pct"/>
            <w:vAlign w:val="center"/>
          </w:tcPr>
          <w:p w14:paraId="2749ABA6">
            <w:pPr>
              <w:suppressAutoHyphens/>
              <w:snapToGrid w:val="0"/>
              <w:jc w:val="center"/>
              <w:rPr>
                <w:rFonts w:hint="eastAsia" w:ascii="宋体" w:hAnsi="宋体" w:eastAsia="宋体" w:cs="宋体"/>
                <w:snapToGrid w:val="0"/>
                <w:color w:val="000000" w:themeColor="text1"/>
                <w:sz w:val="21"/>
                <w:szCs w:val="21"/>
                <w:lang w:eastAsia="zh-CN"/>
                <w14:textFill>
                  <w14:solidFill>
                    <w14:schemeClr w14:val="tx1"/>
                  </w14:solidFill>
                </w14:textFill>
              </w:rPr>
            </w:pPr>
            <w:r>
              <w:rPr>
                <w:rFonts w:hint="eastAsia" w:ascii="宋体" w:hAnsi="宋体" w:eastAsia="宋体" w:cs="宋体"/>
                <w:snapToGrid w:val="0"/>
                <w:color w:val="000000" w:themeColor="text1"/>
                <w:sz w:val="21"/>
                <w:szCs w:val="21"/>
                <w:lang w:eastAsia="zh-CN"/>
                <w14:textFill>
                  <w14:solidFill>
                    <w14:schemeClr w14:val="tx1"/>
                  </w14:solidFill>
                </w14:textFill>
              </w:rPr>
              <w:t>不涉及</w:t>
            </w:r>
          </w:p>
        </w:tc>
      </w:tr>
      <w:tr w14:paraId="27F57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1DADCB29">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1709" w:type="pct"/>
            <w:vAlign w:val="center"/>
          </w:tcPr>
          <w:p w14:paraId="32A527BE">
            <w:pPr>
              <w:widowControl/>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工贸企业应当每年至少组织一次有限空间作业专题安全培训，对作业审批人、监护人员、作业人员和应急救援人员培训有限空间作业安全知识和技能，并如实记录。</w:t>
            </w:r>
          </w:p>
        </w:tc>
        <w:tc>
          <w:tcPr>
            <w:tcW w:w="1292" w:type="pct"/>
            <w:vAlign w:val="center"/>
          </w:tcPr>
          <w:p w14:paraId="33F62C08">
            <w:pPr>
              <w:suppressAutoHyphens/>
              <w:snapToGrid w:val="0"/>
              <w:jc w:val="both"/>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《工贸企业有限空间作业安全规定》（应急管理部〔2023〕13号令）第九条</w:t>
            </w:r>
          </w:p>
        </w:tc>
        <w:tc>
          <w:tcPr>
            <w:tcW w:w="1160" w:type="pct"/>
            <w:vAlign w:val="center"/>
          </w:tcPr>
          <w:p w14:paraId="19A5952A">
            <w:pPr>
              <w:suppressAutoHyphens/>
              <w:snapToGrid w:val="0"/>
              <w:jc w:val="both"/>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结合安全教育培训一并开展</w:t>
            </w:r>
            <w:r>
              <w:rPr>
                <w:rFonts w:hint="eastAsia" w:ascii="宋体" w:hAnsi="宋体" w:eastAsia="宋体" w:cs="宋体"/>
                <w:color w:val="000000" w:themeColor="text1"/>
                <w:sz w:val="21"/>
                <w:szCs w:val="21"/>
                <w14:textFill>
                  <w14:solidFill>
                    <w14:schemeClr w14:val="tx1"/>
                  </w14:solidFill>
                </w14:textFill>
              </w:rPr>
              <w:t>。</w:t>
            </w:r>
          </w:p>
        </w:tc>
        <w:tc>
          <w:tcPr>
            <w:tcW w:w="423" w:type="pct"/>
            <w:vAlign w:val="center"/>
          </w:tcPr>
          <w:p w14:paraId="0007FB82">
            <w:pPr>
              <w:suppressAutoHyphens/>
              <w:snapToGrid w:val="0"/>
              <w:jc w:val="center"/>
              <w:rPr>
                <w:rFonts w:hint="eastAsia" w:ascii="宋体" w:hAnsi="宋体" w:eastAsia="宋体" w:cs="宋体"/>
                <w:snapToGrid w:val="0"/>
                <w:color w:val="000000" w:themeColor="text1"/>
                <w:sz w:val="21"/>
                <w:szCs w:val="21"/>
                <w:lang w:eastAsia="zh-CN"/>
                <w14:textFill>
                  <w14:solidFill>
                    <w14:schemeClr w14:val="tx1"/>
                  </w14:solidFill>
                </w14:textFill>
              </w:rPr>
            </w:pPr>
            <w:r>
              <w:rPr>
                <w:rFonts w:hint="eastAsia" w:ascii="宋体" w:hAnsi="宋体" w:eastAsia="宋体" w:cs="宋体"/>
                <w:snapToGrid w:val="0"/>
                <w:color w:val="000000" w:themeColor="text1"/>
                <w:sz w:val="21"/>
                <w:szCs w:val="21"/>
                <w:lang w:eastAsia="zh-CN"/>
                <w14:textFill>
                  <w14:solidFill>
                    <w14:schemeClr w14:val="tx1"/>
                  </w14:solidFill>
                </w14:textFill>
              </w:rPr>
              <w:t>符合</w:t>
            </w:r>
          </w:p>
        </w:tc>
      </w:tr>
      <w:tr w14:paraId="4457F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4A385E76">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8</w:t>
            </w:r>
          </w:p>
        </w:tc>
        <w:tc>
          <w:tcPr>
            <w:tcW w:w="1709" w:type="pct"/>
            <w:vAlign w:val="center"/>
          </w:tcPr>
          <w:p w14:paraId="305CDCE5">
            <w:pPr>
              <w:widowControl/>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工贸企业应当制定有限空间作业现场处置方案，按规定组织演练，并进行演练效果评估。</w:t>
            </w:r>
          </w:p>
        </w:tc>
        <w:tc>
          <w:tcPr>
            <w:tcW w:w="1292" w:type="pct"/>
            <w:vAlign w:val="center"/>
          </w:tcPr>
          <w:p w14:paraId="6AF4BAFC">
            <w:pPr>
              <w:suppressAutoHyphens/>
              <w:snapToGrid w:val="0"/>
              <w:jc w:val="both"/>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《工贸企业有限空间作业安全规定》（应急管理部〔2023〕13号令）第十条</w:t>
            </w:r>
          </w:p>
        </w:tc>
        <w:tc>
          <w:tcPr>
            <w:tcW w:w="1160" w:type="pct"/>
            <w:vAlign w:val="center"/>
          </w:tcPr>
          <w:p w14:paraId="6675D81D">
            <w:pPr>
              <w:suppressAutoHyphens/>
              <w:snapToGrid w:val="0"/>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未</w:t>
            </w:r>
            <w:r>
              <w:rPr>
                <w:rFonts w:hint="eastAsia" w:ascii="宋体" w:hAnsi="宋体" w:eastAsia="宋体" w:cs="宋体"/>
                <w:color w:val="000000" w:themeColor="text1"/>
                <w:sz w:val="21"/>
                <w:szCs w:val="21"/>
                <w14:textFill>
                  <w14:solidFill>
                    <w14:schemeClr w14:val="tx1"/>
                  </w14:solidFill>
                </w14:textFill>
              </w:rPr>
              <w:t>制定有限空间作业现场处置方案</w:t>
            </w:r>
            <w:r>
              <w:rPr>
                <w:rFonts w:hint="eastAsia" w:hAnsi="宋体" w:cs="宋体"/>
                <w:color w:val="000000" w:themeColor="text1"/>
                <w:sz w:val="21"/>
                <w:szCs w:val="21"/>
                <w:lang w:eastAsia="zh-CN"/>
                <w14:textFill>
                  <w14:solidFill>
                    <w14:schemeClr w14:val="tx1"/>
                  </w14:solidFill>
                </w14:textFill>
              </w:rPr>
              <w:t>。</w:t>
            </w:r>
          </w:p>
        </w:tc>
        <w:tc>
          <w:tcPr>
            <w:tcW w:w="423" w:type="pct"/>
            <w:vAlign w:val="center"/>
          </w:tcPr>
          <w:p w14:paraId="03B41806">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hAnsi="宋体" w:cs="宋体"/>
                <w:snapToGrid w:val="0"/>
                <w:color w:val="000000" w:themeColor="text1"/>
                <w:sz w:val="21"/>
                <w:szCs w:val="21"/>
                <w:lang w:val="en-US" w:eastAsia="zh-CN"/>
                <w14:textFill>
                  <w14:solidFill>
                    <w14:schemeClr w14:val="tx1"/>
                  </w14:solidFill>
                </w14:textFill>
              </w:rPr>
              <w:t>不</w:t>
            </w:r>
            <w:r>
              <w:rPr>
                <w:rFonts w:hint="eastAsia" w:ascii="宋体" w:hAnsi="宋体" w:eastAsia="宋体" w:cs="宋体"/>
                <w:snapToGrid w:val="0"/>
                <w:color w:val="000000" w:themeColor="text1"/>
                <w:sz w:val="21"/>
                <w:szCs w:val="21"/>
                <w14:textFill>
                  <w14:solidFill>
                    <w14:schemeClr w14:val="tx1"/>
                  </w14:solidFill>
                </w14:textFill>
              </w:rPr>
              <w:t>符合</w:t>
            </w:r>
          </w:p>
        </w:tc>
      </w:tr>
      <w:tr w14:paraId="397FD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56DD733E">
            <w:pPr>
              <w:snapToGrid w:val="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w:t>
            </w:r>
          </w:p>
        </w:tc>
        <w:tc>
          <w:tcPr>
            <w:tcW w:w="1709" w:type="pct"/>
            <w:vAlign w:val="center"/>
          </w:tcPr>
          <w:p w14:paraId="37AEF7F2">
            <w:pPr>
              <w:widowControl/>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工贸企业应当在有限空间出入口等醒目位置设置明显的安全警示标志，并在具备条件的场所设置安全风险告知牌。</w:t>
            </w:r>
          </w:p>
        </w:tc>
        <w:tc>
          <w:tcPr>
            <w:tcW w:w="1292" w:type="pct"/>
            <w:vAlign w:val="center"/>
          </w:tcPr>
          <w:p w14:paraId="334A0869">
            <w:pPr>
              <w:keepNext w:val="0"/>
              <w:keepLines w:val="0"/>
              <w:pageBreakBefore w:val="0"/>
              <w:widowControl w:val="0"/>
              <w:suppressAutoHyphens/>
              <w:kinsoku/>
              <w:wordWrap/>
              <w:overflowPunct/>
              <w:topLinePunct w:val="0"/>
              <w:autoSpaceDE/>
              <w:autoSpaceDN/>
              <w:bidi w:val="0"/>
              <w:adjustRightInd/>
              <w:snapToGrid w:val="0"/>
              <w:ind w:firstLine="0" w:firstLineChars="0"/>
              <w:jc w:val="both"/>
              <w:textAlignment w:val="auto"/>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《工贸企业有限空间作业安全规定》（应急管理部〔2023〕13号令）第十一条</w:t>
            </w:r>
          </w:p>
        </w:tc>
        <w:tc>
          <w:tcPr>
            <w:tcW w:w="1160" w:type="pct"/>
            <w:vAlign w:val="center"/>
          </w:tcPr>
          <w:p w14:paraId="6F83F42F">
            <w:pPr>
              <w:suppressAutoHyphens/>
              <w:snapToGrid w:val="0"/>
              <w:jc w:val="both"/>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在有限空间出入口等醒目位置设置明显的安全警示标志，并在具备条件的场所设置安全风险告知牌。</w:t>
            </w:r>
          </w:p>
        </w:tc>
        <w:tc>
          <w:tcPr>
            <w:tcW w:w="423" w:type="pct"/>
            <w:vAlign w:val="center"/>
          </w:tcPr>
          <w:p w14:paraId="642E3219">
            <w:pPr>
              <w:suppressAutoHyphens/>
              <w:snapToGrid w:val="0"/>
              <w:jc w:val="center"/>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14:textFill>
                  <w14:solidFill>
                    <w14:schemeClr w14:val="tx1"/>
                  </w14:solidFill>
                </w14:textFill>
              </w:rPr>
              <w:t>符合</w:t>
            </w:r>
          </w:p>
        </w:tc>
      </w:tr>
      <w:tr w14:paraId="230D8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4261173D">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p>
        </w:tc>
        <w:tc>
          <w:tcPr>
            <w:tcW w:w="1709" w:type="pct"/>
            <w:vAlign w:val="center"/>
          </w:tcPr>
          <w:p w14:paraId="1A8B34EF">
            <w:pPr>
              <w:widowControl/>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工贸企业应当对可能产生有毒物质的有限空间采取上锁、隔离栏、防护网或者其他物理隔离措施，防止人员未经审批进入。监护人员负责在作业前解除物理隔离措施。</w:t>
            </w:r>
          </w:p>
        </w:tc>
        <w:tc>
          <w:tcPr>
            <w:tcW w:w="1292" w:type="pct"/>
            <w:vAlign w:val="center"/>
          </w:tcPr>
          <w:p w14:paraId="20D0D28A">
            <w:pPr>
              <w:keepNext w:val="0"/>
              <w:keepLines w:val="0"/>
              <w:pageBreakBefore w:val="0"/>
              <w:widowControl w:val="0"/>
              <w:suppressAutoHyphens/>
              <w:kinsoku/>
              <w:wordWrap/>
              <w:overflowPunct/>
              <w:topLinePunct w:val="0"/>
              <w:autoSpaceDE/>
              <w:autoSpaceDN/>
              <w:bidi w:val="0"/>
              <w:adjustRightInd w:val="0"/>
              <w:snapToGrid w:val="0"/>
              <w:ind w:firstLine="0" w:firstLineChars="0"/>
              <w:jc w:val="both"/>
              <w:textAlignment w:val="auto"/>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《工贸企业有限空间作业安全规定》（应急管理部〔2023〕13号令）第十二条</w:t>
            </w:r>
          </w:p>
        </w:tc>
        <w:tc>
          <w:tcPr>
            <w:tcW w:w="1160" w:type="pct"/>
            <w:vAlign w:val="center"/>
          </w:tcPr>
          <w:p w14:paraId="6D7E9E8E">
            <w:pPr>
              <w:suppressAutoHyphens/>
              <w:snapToGrid w:val="0"/>
              <w:jc w:val="both"/>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对可能产生有毒物质的有限空间采取上锁、隔离栏、防护网或者其他物理隔离措施，防止人员未经审批进入。监护人员负责在作业前解除物理隔离措施。</w:t>
            </w:r>
          </w:p>
        </w:tc>
        <w:tc>
          <w:tcPr>
            <w:tcW w:w="423" w:type="pct"/>
            <w:vAlign w:val="center"/>
          </w:tcPr>
          <w:p w14:paraId="359256D4">
            <w:pPr>
              <w:suppressAutoHyphens/>
              <w:snapToGrid w:val="0"/>
              <w:jc w:val="center"/>
              <w:rPr>
                <w:rFonts w:hint="eastAsia" w:ascii="宋体" w:hAnsi="宋体" w:eastAsia="宋体" w:cs="宋体"/>
                <w:snapToGrid w:val="0"/>
                <w:color w:val="000000" w:themeColor="text1"/>
                <w:sz w:val="21"/>
                <w:szCs w:val="21"/>
                <w:lang w:eastAsia="zh-CN"/>
                <w14:textFill>
                  <w14:solidFill>
                    <w14:schemeClr w14:val="tx1"/>
                  </w14:solidFill>
                </w14:textFill>
              </w:rPr>
            </w:pPr>
            <w:r>
              <w:rPr>
                <w:rFonts w:hint="eastAsia" w:ascii="宋体" w:hAnsi="宋体" w:eastAsia="宋体" w:cs="宋体"/>
                <w:snapToGrid w:val="0"/>
                <w:color w:val="000000" w:themeColor="text1"/>
                <w:sz w:val="21"/>
                <w:szCs w:val="21"/>
                <w:lang w:eastAsia="zh-CN"/>
                <w14:textFill>
                  <w14:solidFill>
                    <w14:schemeClr w14:val="tx1"/>
                  </w14:solidFill>
                </w14:textFill>
              </w:rPr>
              <w:t>符合</w:t>
            </w:r>
          </w:p>
        </w:tc>
      </w:tr>
      <w:tr w14:paraId="73AC5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62AED9CA">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11</w:t>
            </w:r>
          </w:p>
        </w:tc>
        <w:tc>
          <w:tcPr>
            <w:tcW w:w="1709" w:type="pct"/>
            <w:vAlign w:val="center"/>
          </w:tcPr>
          <w:p w14:paraId="6DDC8F95">
            <w:pPr>
              <w:suppressAutoHyphens/>
              <w:snapToGrid w:val="0"/>
              <w:jc w:val="both"/>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有限空间作业应当严格遵守“先通风、再检测、后作业”要求。存在爆炸风险的，应当采取消除或者控制措施，相关电气设施设备、照明灯具、应急救援装备等应当符合防爆安全要求。</w:t>
            </w:r>
          </w:p>
          <w:p w14:paraId="0EF513C7">
            <w:pPr>
              <w:suppressAutoHyphens/>
              <w:snapToGrid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作业前，应当组织对作业人员进行安全交底，监护人员应当对通风、检测和必要的隔断、清除、置换等风险管控措施逐项进行检查，确认防护用品能够正常使用且作业现场配备必要的应急救援装备，确保各项作业条件符合安全要求。有专业救援队伍的工贸企业，应急救援人员应当做好应急救援准备，确保及时有效处置突发情况。</w:t>
            </w:r>
          </w:p>
        </w:tc>
        <w:tc>
          <w:tcPr>
            <w:tcW w:w="1292" w:type="pct"/>
            <w:vAlign w:val="center"/>
          </w:tcPr>
          <w:p w14:paraId="7D25C2AD">
            <w:pPr>
              <w:suppressAutoHyphens/>
              <w:snapToGrid w:val="0"/>
              <w:jc w:val="both"/>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《工贸企业有限空间作业安全规定》（应急管理部〔2023〕13号令）第十四条</w:t>
            </w:r>
          </w:p>
        </w:tc>
        <w:tc>
          <w:tcPr>
            <w:tcW w:w="1160" w:type="pct"/>
            <w:vAlign w:val="center"/>
          </w:tcPr>
          <w:p w14:paraId="0BDCF9DF">
            <w:pPr>
              <w:suppressAutoHyphens/>
              <w:snapToGrid w:val="0"/>
              <w:jc w:val="both"/>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对</w:t>
            </w:r>
            <w:r>
              <w:rPr>
                <w:rFonts w:hint="eastAsia" w:ascii="宋体" w:hAnsi="宋体" w:eastAsia="宋体" w:cs="宋体"/>
                <w:color w:val="000000" w:themeColor="text1"/>
                <w:sz w:val="21"/>
                <w:szCs w:val="21"/>
                <w14:textFill>
                  <w14:solidFill>
                    <w14:schemeClr w14:val="tx1"/>
                  </w14:solidFill>
                </w14:textFill>
              </w:rPr>
              <w:t>有限空间作业</w:t>
            </w:r>
            <w:r>
              <w:rPr>
                <w:rFonts w:hint="eastAsia" w:ascii="宋体" w:hAnsi="宋体" w:eastAsia="宋体" w:cs="宋体"/>
                <w:color w:val="000000" w:themeColor="text1"/>
                <w:sz w:val="21"/>
                <w:szCs w:val="21"/>
                <w:lang w:eastAsia="zh-CN"/>
                <w14:textFill>
                  <w14:solidFill>
                    <w14:schemeClr w14:val="tx1"/>
                  </w14:solidFill>
                </w14:textFill>
              </w:rPr>
              <w:t>时，</w:t>
            </w:r>
            <w:r>
              <w:rPr>
                <w:rFonts w:hint="eastAsia" w:ascii="宋体" w:hAnsi="宋体" w:eastAsia="宋体" w:cs="宋体"/>
                <w:color w:val="000000" w:themeColor="text1"/>
                <w:sz w:val="21"/>
                <w:szCs w:val="21"/>
                <w14:textFill>
                  <w14:solidFill>
                    <w14:schemeClr w14:val="tx1"/>
                  </w14:solidFill>
                </w14:textFill>
              </w:rPr>
              <w:t>严格遵守“先通风、再检测、后作业”要求。</w:t>
            </w:r>
          </w:p>
        </w:tc>
        <w:tc>
          <w:tcPr>
            <w:tcW w:w="423" w:type="pct"/>
            <w:vAlign w:val="center"/>
          </w:tcPr>
          <w:p w14:paraId="1A3E00BD">
            <w:pPr>
              <w:suppressAutoHyphens/>
              <w:snapToGrid w:val="0"/>
              <w:jc w:val="center"/>
              <w:rPr>
                <w:rFonts w:hint="eastAsia" w:ascii="宋体" w:hAnsi="宋体" w:eastAsia="宋体" w:cs="宋体"/>
                <w:snapToGrid w:val="0"/>
                <w:color w:val="000000" w:themeColor="text1"/>
                <w:sz w:val="21"/>
                <w:szCs w:val="21"/>
                <w:lang w:eastAsia="zh-CN"/>
                <w14:textFill>
                  <w14:solidFill>
                    <w14:schemeClr w14:val="tx1"/>
                  </w14:solidFill>
                </w14:textFill>
              </w:rPr>
            </w:pPr>
            <w:r>
              <w:rPr>
                <w:rFonts w:hint="eastAsia" w:ascii="宋体" w:hAnsi="宋体" w:eastAsia="宋体" w:cs="宋体"/>
                <w:snapToGrid w:val="0"/>
                <w:color w:val="000000" w:themeColor="text1"/>
                <w:sz w:val="21"/>
                <w:szCs w:val="21"/>
                <w:lang w:eastAsia="zh-CN"/>
                <w14:textFill>
                  <w14:solidFill>
                    <w14:schemeClr w14:val="tx1"/>
                  </w14:solidFill>
                </w14:textFill>
              </w:rPr>
              <w:t>符合</w:t>
            </w:r>
          </w:p>
        </w:tc>
      </w:tr>
      <w:tr w14:paraId="1DE1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514E2059">
            <w:pPr>
              <w:snapToGrid w:val="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12</w:t>
            </w:r>
          </w:p>
        </w:tc>
        <w:tc>
          <w:tcPr>
            <w:tcW w:w="1709" w:type="pct"/>
            <w:vAlign w:val="center"/>
          </w:tcPr>
          <w:p w14:paraId="5808DEAF">
            <w:pPr>
              <w:widowControl/>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监护人员应当全程进行监护，与作业人员保持实时联络，不得离开作业现场或者进入有限空间参与作业。</w:t>
            </w:r>
          </w:p>
        </w:tc>
        <w:tc>
          <w:tcPr>
            <w:tcW w:w="1292" w:type="pct"/>
            <w:vAlign w:val="center"/>
          </w:tcPr>
          <w:p w14:paraId="71B4EF28">
            <w:pPr>
              <w:suppressAutoHyphens/>
              <w:snapToGrid w:val="0"/>
              <w:jc w:val="both"/>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《工贸企业有限空间作业安全规定》（应急管理部〔2023〕13号令）第十五条</w:t>
            </w:r>
          </w:p>
        </w:tc>
        <w:tc>
          <w:tcPr>
            <w:tcW w:w="1160" w:type="pct"/>
            <w:vAlign w:val="center"/>
          </w:tcPr>
          <w:p w14:paraId="4C2BC43A">
            <w:pPr>
              <w:suppressAutoHyphens/>
              <w:snapToGrid w:val="0"/>
              <w:jc w:val="both"/>
              <w:rPr>
                <w:rFonts w:hint="eastAsia" w:ascii="宋体" w:hAnsi="宋体" w:eastAsia="宋体" w:cs="宋体"/>
                <w:snapToGrid w:val="0"/>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监护人员全程进行监护，与作业人员保持实时联络，</w:t>
            </w:r>
            <w:r>
              <w:rPr>
                <w:rFonts w:hint="eastAsia" w:ascii="宋体" w:hAnsi="宋体" w:eastAsia="宋体" w:cs="宋体"/>
                <w:color w:val="000000" w:themeColor="text1"/>
                <w:sz w:val="21"/>
                <w:szCs w:val="21"/>
                <w:lang w:eastAsia="zh-CN"/>
                <w14:textFill>
                  <w14:solidFill>
                    <w14:schemeClr w14:val="tx1"/>
                  </w14:solidFill>
                </w14:textFill>
              </w:rPr>
              <w:t>作业期间未</w:t>
            </w:r>
            <w:r>
              <w:rPr>
                <w:rFonts w:hint="eastAsia" w:ascii="宋体" w:hAnsi="宋体" w:eastAsia="宋体" w:cs="宋体"/>
                <w:color w:val="000000" w:themeColor="text1"/>
                <w:sz w:val="21"/>
                <w:szCs w:val="21"/>
                <w14:textFill>
                  <w14:solidFill>
                    <w14:schemeClr w14:val="tx1"/>
                  </w14:solidFill>
                </w14:textFill>
              </w:rPr>
              <w:t>离开作业现场或者进入有限空间参与作业。</w:t>
            </w:r>
          </w:p>
        </w:tc>
        <w:tc>
          <w:tcPr>
            <w:tcW w:w="423" w:type="pct"/>
            <w:vAlign w:val="center"/>
          </w:tcPr>
          <w:p w14:paraId="4750955D">
            <w:pPr>
              <w:suppressAutoHyphens/>
              <w:snapToGrid w:val="0"/>
              <w:jc w:val="center"/>
              <w:rPr>
                <w:rFonts w:hint="eastAsia" w:ascii="宋体" w:hAnsi="宋体" w:eastAsia="宋体" w:cs="宋体"/>
                <w:snapToGrid w:val="0"/>
                <w:color w:val="000000" w:themeColor="text1"/>
                <w:sz w:val="21"/>
                <w:szCs w:val="21"/>
                <w:lang w:eastAsia="zh-CN"/>
                <w14:textFill>
                  <w14:solidFill>
                    <w14:schemeClr w14:val="tx1"/>
                  </w14:solidFill>
                </w14:textFill>
              </w:rPr>
            </w:pPr>
            <w:r>
              <w:rPr>
                <w:rFonts w:hint="eastAsia" w:ascii="宋体" w:hAnsi="宋体" w:eastAsia="宋体" w:cs="宋体"/>
                <w:snapToGrid w:val="0"/>
                <w:color w:val="000000" w:themeColor="text1"/>
                <w:sz w:val="21"/>
                <w:szCs w:val="21"/>
                <w:lang w:eastAsia="zh-CN"/>
                <w14:textFill>
                  <w14:solidFill>
                    <w14:schemeClr w14:val="tx1"/>
                  </w14:solidFill>
                </w14:textFill>
              </w:rPr>
              <w:t>符合</w:t>
            </w:r>
          </w:p>
        </w:tc>
      </w:tr>
      <w:tr w14:paraId="6CBB7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413" w:type="pct"/>
            <w:vAlign w:val="center"/>
          </w:tcPr>
          <w:p w14:paraId="63A444F8">
            <w:pPr>
              <w:snapToGrid w:val="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hAnsi="宋体" w:cs="宋体"/>
                <w:color w:val="000000" w:themeColor="text1"/>
                <w:sz w:val="21"/>
                <w:szCs w:val="21"/>
                <w:lang w:val="en-US" w:eastAsia="zh-CN"/>
                <w14:textFill>
                  <w14:solidFill>
                    <w14:schemeClr w14:val="tx1"/>
                  </w14:solidFill>
                </w14:textFill>
              </w:rPr>
              <w:t>13</w:t>
            </w:r>
          </w:p>
        </w:tc>
        <w:tc>
          <w:tcPr>
            <w:tcW w:w="1709" w:type="pct"/>
            <w:vAlign w:val="center"/>
          </w:tcPr>
          <w:p w14:paraId="0FCF7247">
            <w:pPr>
              <w:widowControl/>
              <w:jc w:val="both"/>
              <w:rPr>
                <w:rFonts w:hint="eastAsia" w:ascii="宋体" w:hAnsi="宋体" w:eastAsia="宋体" w:cs="宋体"/>
                <w:color w:val="000000" w:themeColor="text1"/>
                <w:sz w:val="21"/>
                <w:szCs w:val="21"/>
                <w14:textFill>
                  <w14:solidFill>
                    <w14:schemeClr w14:val="tx1"/>
                  </w14:solidFill>
                </w14:textFill>
              </w:rPr>
            </w:pPr>
            <w:r>
              <w:rPr>
                <w:rFonts w:ascii="仿宋" w:hAnsi="仿宋" w:eastAsia="仿宋" w:cs="仿宋"/>
                <w:i w:val="0"/>
                <w:iCs w:val="0"/>
                <w:caps w:val="0"/>
                <w:color w:val="333333"/>
                <w:spacing w:val="0"/>
                <w:sz w:val="25"/>
                <w:szCs w:val="25"/>
                <w:shd w:val="clear" w:fill="FFFFFF"/>
              </w:rPr>
              <w:t>工贸企业应当根据有限空间危险因素的特点，配备符合国家标准或者行业标准的气体检测报警仪器、机械通风设备、呼吸防护用品、全身式安全带等防护用品和应急救援装备，并对相关用品、装备进行经常性维护、保养和定期检测，确保能够正常使用。</w:t>
            </w:r>
          </w:p>
        </w:tc>
        <w:tc>
          <w:tcPr>
            <w:tcW w:w="1292" w:type="pct"/>
            <w:vAlign w:val="center"/>
          </w:tcPr>
          <w:p w14:paraId="1EFF2DBD">
            <w:pPr>
              <w:suppressAutoHyphens/>
              <w:snapToGrid w:val="0"/>
              <w:jc w:val="both"/>
              <w:rPr>
                <w:rFonts w:hint="eastAsia" w:ascii="宋体" w:hAnsi="宋体" w:eastAsia="宋体" w:cs="宋体"/>
                <w:snapToGrid w:val="0"/>
                <w:color w:val="000000" w:themeColor="text1"/>
                <w:sz w:val="21"/>
                <w:szCs w:val="21"/>
                <w:lang w:val="en-US" w:eastAsia="zh-CN"/>
                <w14:textFill>
                  <w14:solidFill>
                    <w14:schemeClr w14:val="tx1"/>
                  </w14:solidFill>
                </w14:textFill>
              </w:rPr>
            </w:pPr>
            <w:r>
              <w:rPr>
                <w:rFonts w:hint="eastAsia" w:ascii="宋体" w:hAnsi="宋体" w:eastAsia="宋体" w:cs="宋体"/>
                <w:snapToGrid w:val="0"/>
                <w:color w:val="000000" w:themeColor="text1"/>
                <w:sz w:val="21"/>
                <w:szCs w:val="21"/>
                <w:lang w:val="en-US" w:eastAsia="zh-CN"/>
                <w14:textFill>
                  <w14:solidFill>
                    <w14:schemeClr w14:val="tx1"/>
                  </w14:solidFill>
                </w14:textFill>
              </w:rPr>
              <w:t>《工贸企业有限空间作业安全规定》（应急管理部〔2023〕13号令）第十</w:t>
            </w:r>
            <w:r>
              <w:rPr>
                <w:rFonts w:hint="eastAsia" w:hAnsi="宋体" w:cs="宋体"/>
                <w:snapToGrid w:val="0"/>
                <w:color w:val="000000" w:themeColor="text1"/>
                <w:sz w:val="21"/>
                <w:szCs w:val="21"/>
                <w:lang w:val="en-US" w:eastAsia="zh-CN"/>
                <w14:textFill>
                  <w14:solidFill>
                    <w14:schemeClr w14:val="tx1"/>
                  </w14:solidFill>
                </w14:textFill>
              </w:rPr>
              <w:t>三</w:t>
            </w:r>
            <w:r>
              <w:rPr>
                <w:rFonts w:hint="eastAsia" w:ascii="宋体" w:hAnsi="宋体" w:eastAsia="宋体" w:cs="宋体"/>
                <w:snapToGrid w:val="0"/>
                <w:color w:val="000000" w:themeColor="text1"/>
                <w:sz w:val="21"/>
                <w:szCs w:val="21"/>
                <w:lang w:val="en-US" w:eastAsia="zh-CN"/>
                <w14:textFill>
                  <w14:solidFill>
                    <w14:schemeClr w14:val="tx1"/>
                  </w14:solidFill>
                </w14:textFill>
              </w:rPr>
              <w:t>条</w:t>
            </w:r>
          </w:p>
        </w:tc>
        <w:tc>
          <w:tcPr>
            <w:tcW w:w="1160" w:type="pct"/>
            <w:vAlign w:val="center"/>
          </w:tcPr>
          <w:p w14:paraId="3ED01C89">
            <w:pPr>
              <w:suppressAutoHyphens/>
              <w:snapToGrid w:val="0"/>
              <w:jc w:val="both"/>
              <w:rPr>
                <w:rFonts w:hint="eastAsia" w:ascii="宋体" w:hAnsi="宋体" w:eastAsia="仿宋" w:cs="宋体"/>
                <w:color w:val="000000" w:themeColor="text1"/>
                <w:sz w:val="21"/>
                <w:szCs w:val="21"/>
                <w:lang w:val="en-US" w:eastAsia="zh-CN"/>
                <w14:textFill>
                  <w14:solidFill>
                    <w14:schemeClr w14:val="tx1"/>
                  </w14:solidFill>
                </w14:textFill>
              </w:rPr>
            </w:pPr>
            <w:r>
              <w:rPr>
                <w:rFonts w:hint="eastAsia" w:ascii="仿宋" w:hAnsi="仿宋" w:eastAsia="仿宋" w:cs="仿宋"/>
                <w:i w:val="0"/>
                <w:iCs w:val="0"/>
                <w:caps w:val="0"/>
                <w:color w:val="333333"/>
                <w:spacing w:val="0"/>
                <w:sz w:val="25"/>
                <w:szCs w:val="25"/>
                <w:shd w:val="clear" w:fill="FFFFFF"/>
                <w:lang w:val="en-US" w:eastAsia="zh-CN"/>
              </w:rPr>
              <w:t>目前配备有</w:t>
            </w:r>
            <w:r>
              <w:rPr>
                <w:rFonts w:ascii="仿宋" w:hAnsi="仿宋" w:eastAsia="仿宋" w:cs="仿宋"/>
                <w:i w:val="0"/>
                <w:iCs w:val="0"/>
                <w:caps w:val="0"/>
                <w:color w:val="333333"/>
                <w:spacing w:val="0"/>
                <w:sz w:val="25"/>
                <w:szCs w:val="25"/>
                <w:shd w:val="clear" w:fill="FFFFFF"/>
              </w:rPr>
              <w:t>气体检测报警仪器、机械通风设备、呼吸防护用品</w:t>
            </w:r>
            <w:r>
              <w:rPr>
                <w:rFonts w:hint="eastAsia" w:ascii="仿宋" w:hAnsi="仿宋" w:eastAsia="仿宋" w:cs="仿宋"/>
                <w:i w:val="0"/>
                <w:iCs w:val="0"/>
                <w:caps w:val="0"/>
                <w:color w:val="333333"/>
                <w:spacing w:val="0"/>
                <w:sz w:val="25"/>
                <w:szCs w:val="25"/>
                <w:shd w:val="clear" w:fill="FFFFFF"/>
                <w:lang w:val="en-US" w:eastAsia="zh-CN"/>
              </w:rPr>
              <w:t>等</w:t>
            </w:r>
          </w:p>
        </w:tc>
        <w:tc>
          <w:tcPr>
            <w:tcW w:w="423" w:type="pct"/>
            <w:vAlign w:val="center"/>
          </w:tcPr>
          <w:p w14:paraId="13276FBA">
            <w:pPr>
              <w:suppressAutoHyphens/>
              <w:snapToGrid w:val="0"/>
              <w:jc w:val="center"/>
              <w:rPr>
                <w:rFonts w:hint="default" w:ascii="宋体" w:hAnsi="宋体" w:eastAsia="宋体" w:cs="宋体"/>
                <w:snapToGrid w:val="0"/>
                <w:color w:val="000000" w:themeColor="text1"/>
                <w:sz w:val="21"/>
                <w:szCs w:val="21"/>
                <w:lang w:val="en-US" w:eastAsia="zh-CN"/>
                <w14:textFill>
                  <w14:solidFill>
                    <w14:schemeClr w14:val="tx1"/>
                  </w14:solidFill>
                </w14:textFill>
              </w:rPr>
            </w:pPr>
            <w:r>
              <w:rPr>
                <w:rFonts w:hint="eastAsia" w:hAnsi="宋体" w:cs="宋体"/>
                <w:snapToGrid w:val="0"/>
                <w:color w:val="000000" w:themeColor="text1"/>
                <w:sz w:val="21"/>
                <w:szCs w:val="21"/>
                <w:lang w:val="en-US" w:eastAsia="zh-CN"/>
                <w14:textFill>
                  <w14:solidFill>
                    <w14:schemeClr w14:val="tx1"/>
                  </w14:solidFill>
                </w14:textFill>
              </w:rPr>
              <w:t>符合</w:t>
            </w:r>
          </w:p>
        </w:tc>
      </w:tr>
    </w:tbl>
    <w:p w14:paraId="3F169F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根据《工贸企业重大事故隐患判定标准》（应急管理部〔2023〕10号令）、《工贸企业有限空间作业安全规定》（应急管理部〔2023〕13号令）的内容，本项目有限空间作业符合相关规范要求。</w:t>
      </w:r>
    </w:p>
    <w:p w14:paraId="26974C04">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br w:type="page"/>
      </w:r>
    </w:p>
    <w:p w14:paraId="76A18EA2">
      <w:pPr>
        <w:pStyle w:val="3"/>
        <w:spacing w:before="165" w:after="165"/>
        <w:rPr>
          <w:rFonts w:ascii="Times New Roman" w:hAnsi="Times New Roman"/>
          <w:color w:val="000000" w:themeColor="text1"/>
          <w14:textFill>
            <w14:solidFill>
              <w14:schemeClr w14:val="tx1"/>
            </w14:solidFill>
          </w14:textFill>
        </w:rPr>
      </w:pPr>
      <w:bookmarkStart w:id="747" w:name="_Toc6830"/>
      <w:r>
        <w:rPr>
          <w:rFonts w:ascii="Times New Roman" w:hAnsi="Times New Roman"/>
          <w:color w:val="000000" w:themeColor="text1"/>
          <w14:textFill>
            <w14:solidFill>
              <w14:schemeClr w14:val="tx1"/>
            </w14:solidFill>
          </w14:textFill>
        </w:rPr>
        <w:t>第6章</w:t>
      </w:r>
      <w:bookmarkEnd w:id="583"/>
      <w:bookmarkEnd w:id="584"/>
      <w:r>
        <w:rPr>
          <w:rFonts w:ascii="Times New Roman" w:hAnsi="Times New Roman"/>
          <w:color w:val="000000" w:themeColor="text1"/>
          <w14:textFill>
            <w14:solidFill>
              <w14:schemeClr w14:val="tx1"/>
            </w14:solidFill>
          </w14:textFill>
        </w:rPr>
        <w:t xml:space="preserve">  主要存在问题</w:t>
      </w:r>
      <w:bookmarkEnd w:id="585"/>
      <w:r>
        <w:rPr>
          <w:rFonts w:ascii="Times New Roman" w:hAnsi="Times New Roman"/>
          <w:color w:val="000000" w:themeColor="text1"/>
          <w14:textFill>
            <w14:solidFill>
              <w14:schemeClr w14:val="tx1"/>
            </w14:solidFill>
          </w14:textFill>
        </w:rPr>
        <w:t>及安全对策措施建议</w:t>
      </w:r>
      <w:bookmarkEnd w:id="586"/>
      <w:bookmarkEnd w:id="587"/>
      <w:bookmarkEnd w:id="588"/>
      <w:bookmarkEnd w:id="589"/>
      <w:bookmarkEnd w:id="747"/>
    </w:p>
    <w:p w14:paraId="5629A3EA">
      <w:pPr>
        <w:pStyle w:val="4"/>
        <w:spacing w:line="360" w:lineRule="auto"/>
        <w:rPr>
          <w:rFonts w:ascii="Times New Roman" w:hAnsi="Times New Roman"/>
          <w:color w:val="000000" w:themeColor="text1"/>
          <w14:textFill>
            <w14:solidFill>
              <w14:schemeClr w14:val="tx1"/>
            </w14:solidFill>
          </w14:textFill>
        </w:rPr>
      </w:pPr>
      <w:bookmarkStart w:id="748" w:name="_Toc4885"/>
      <w:bookmarkStart w:id="749" w:name="_Toc208675041"/>
      <w:bookmarkStart w:id="750" w:name="_Toc23454"/>
      <w:bookmarkStart w:id="751" w:name="_Toc313453628"/>
      <w:bookmarkStart w:id="752" w:name="_Toc335926317"/>
      <w:bookmarkStart w:id="753" w:name="_Toc28519"/>
      <w:bookmarkStart w:id="754" w:name="_Toc191729816"/>
      <w:bookmarkStart w:id="755" w:name="_Toc191728256"/>
      <w:bookmarkStart w:id="756" w:name="_Toc86464484"/>
      <w:bookmarkStart w:id="757" w:name="_Toc191730100"/>
      <w:bookmarkStart w:id="758" w:name="_Toc208674453"/>
      <w:bookmarkStart w:id="759" w:name="_Toc5126"/>
      <w:bookmarkStart w:id="760" w:name="_Toc191375166"/>
      <w:r>
        <w:rPr>
          <w:rFonts w:ascii="Times New Roman" w:hAnsi="Times New Roman"/>
          <w:color w:val="000000" w:themeColor="text1"/>
          <w14:textFill>
            <w14:solidFill>
              <w14:schemeClr w14:val="tx1"/>
            </w14:solidFill>
          </w14:textFill>
        </w:rPr>
        <w:t>6.1主要存在问题</w:t>
      </w:r>
      <w:bookmarkEnd w:id="748"/>
      <w:bookmarkEnd w:id="749"/>
      <w:bookmarkEnd w:id="750"/>
      <w:bookmarkEnd w:id="751"/>
      <w:bookmarkEnd w:id="752"/>
      <w:bookmarkEnd w:id="753"/>
      <w:bookmarkEnd w:id="754"/>
      <w:bookmarkEnd w:id="755"/>
      <w:bookmarkEnd w:id="756"/>
      <w:bookmarkEnd w:id="757"/>
      <w:bookmarkEnd w:id="758"/>
      <w:bookmarkEnd w:id="759"/>
    </w:p>
    <w:p w14:paraId="60608DB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我公司受南华昆轻树脂瓦开发有限公司安全现状评价的委托，于202</w:t>
      </w:r>
      <w:r>
        <w:rPr>
          <w:rFonts w:hint="eastAsia" w:hAnsi="宋体" w:cs="宋体"/>
          <w:color w:val="000000" w:themeColor="text1"/>
          <w:sz w:val="28"/>
          <w:szCs w:val="28"/>
          <w:lang w:val="en-US" w:eastAsia="zh-CN"/>
          <w14:textFill>
            <w14:solidFill>
              <w14:schemeClr w14:val="tx1"/>
            </w14:solidFill>
          </w14:textFill>
        </w:rPr>
        <w:t>4</w:t>
      </w:r>
      <w:r>
        <w:rPr>
          <w:rFonts w:hint="eastAsia" w:hAnsi="宋体" w:cs="宋体"/>
          <w:color w:val="000000" w:themeColor="text1"/>
          <w:sz w:val="28"/>
          <w:szCs w:val="28"/>
          <w14:textFill>
            <w14:solidFill>
              <w14:schemeClr w14:val="tx1"/>
            </w14:solidFill>
          </w14:textFill>
        </w:rPr>
        <w:t>年</w:t>
      </w:r>
      <w:r>
        <w:rPr>
          <w:rFonts w:hint="eastAsia" w:hAnsi="宋体" w:cs="宋体"/>
          <w:color w:val="000000" w:themeColor="text1"/>
          <w:sz w:val="28"/>
          <w:szCs w:val="28"/>
          <w:lang w:val="en-US" w:eastAsia="zh-CN"/>
          <w14:textFill>
            <w14:solidFill>
              <w14:schemeClr w14:val="tx1"/>
            </w14:solidFill>
          </w14:textFill>
        </w:rPr>
        <w:t>8</w:t>
      </w:r>
      <w:r>
        <w:rPr>
          <w:rFonts w:hint="eastAsia" w:hAnsi="宋体" w:cs="宋体"/>
          <w:color w:val="000000" w:themeColor="text1"/>
          <w:sz w:val="28"/>
          <w:szCs w:val="28"/>
          <w14:textFill>
            <w14:solidFill>
              <w14:schemeClr w14:val="tx1"/>
            </w14:solidFill>
          </w14:textFill>
        </w:rPr>
        <w:t>月</w:t>
      </w:r>
      <w:r>
        <w:rPr>
          <w:rFonts w:hint="eastAsia" w:hAnsi="宋体" w:cs="宋体"/>
          <w:color w:val="000000" w:themeColor="text1"/>
          <w:sz w:val="28"/>
          <w:szCs w:val="28"/>
          <w:lang w:val="en-US" w:eastAsia="zh-CN"/>
          <w14:textFill>
            <w14:solidFill>
              <w14:schemeClr w14:val="tx1"/>
            </w14:solidFill>
          </w14:textFill>
        </w:rPr>
        <w:t>23</w:t>
      </w:r>
      <w:r>
        <w:rPr>
          <w:rFonts w:hint="eastAsia" w:hAnsi="宋体" w:cs="宋体"/>
          <w:color w:val="000000" w:themeColor="text1"/>
          <w:sz w:val="28"/>
          <w:szCs w:val="28"/>
          <w14:textFill>
            <w14:solidFill>
              <w14:schemeClr w14:val="tx1"/>
            </w14:solidFill>
          </w14:textFill>
        </w:rPr>
        <w:t>日，组织安全评价人员，对现场进行实地勘察。评价人员发现该企业现场及安全管理存在部分问题，企业存在的问题如下：</w:t>
      </w:r>
    </w:p>
    <w:p w14:paraId="39C9FB6F">
      <w:pPr>
        <w:widowControl/>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b/>
          <w:bCs/>
          <w:color w:val="000000" w:themeColor="text1"/>
          <w:szCs w:val="24"/>
          <w14:textFill>
            <w14:solidFill>
              <w14:schemeClr w14:val="tx1"/>
            </w14:solidFill>
          </w14:textFill>
        </w:rPr>
        <w:t>表 6-1 安全评价提出的企业存在问题一览表</w:t>
      </w:r>
    </w:p>
    <w:tbl>
      <w:tblPr>
        <w:tblStyle w:val="54"/>
        <w:tblW w:w="514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
        <w:gridCol w:w="4173"/>
        <w:gridCol w:w="3939"/>
      </w:tblGrid>
      <w:tr w14:paraId="30A66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481" w:type="pct"/>
            <w:vAlign w:val="center"/>
          </w:tcPr>
          <w:p w14:paraId="0E0E2DEA">
            <w:pPr>
              <w:pStyle w:val="71"/>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2324" w:type="pct"/>
            <w:vAlign w:val="center"/>
          </w:tcPr>
          <w:p w14:paraId="60DB7161">
            <w:pPr>
              <w:pStyle w:val="71"/>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存在的问题</w:t>
            </w:r>
          </w:p>
        </w:tc>
        <w:tc>
          <w:tcPr>
            <w:tcW w:w="2193" w:type="pct"/>
            <w:vAlign w:val="center"/>
          </w:tcPr>
          <w:p w14:paraId="6F083D87">
            <w:pPr>
              <w:pStyle w:val="71"/>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整改建议</w:t>
            </w:r>
          </w:p>
        </w:tc>
      </w:tr>
      <w:tr w14:paraId="2922C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376F28F2">
            <w:pPr>
              <w:pStyle w:val="71"/>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一</w:t>
            </w:r>
          </w:p>
        </w:tc>
        <w:tc>
          <w:tcPr>
            <w:tcW w:w="4518" w:type="pct"/>
            <w:gridSpan w:val="2"/>
            <w:vAlign w:val="center"/>
          </w:tcPr>
          <w:p w14:paraId="5A282762">
            <w:pPr>
              <w:pStyle w:val="71"/>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对企业管理提出的整改问题</w:t>
            </w:r>
          </w:p>
        </w:tc>
      </w:tr>
      <w:tr w14:paraId="08645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81" w:type="pct"/>
            <w:vAlign w:val="center"/>
          </w:tcPr>
          <w:p w14:paraId="21BBF617">
            <w:pPr>
              <w:pStyle w:val="71"/>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1</w:t>
            </w:r>
          </w:p>
        </w:tc>
        <w:tc>
          <w:tcPr>
            <w:tcW w:w="2324" w:type="pct"/>
            <w:vAlign w:val="center"/>
          </w:tcPr>
          <w:p w14:paraId="28EB22C5">
            <w:pPr>
              <w:pStyle w:val="71"/>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未组织应急演练活动。</w:t>
            </w:r>
          </w:p>
        </w:tc>
        <w:tc>
          <w:tcPr>
            <w:tcW w:w="2193" w:type="pct"/>
            <w:vAlign w:val="center"/>
          </w:tcPr>
          <w:p w14:paraId="3D240745">
            <w:pPr>
              <w:pStyle w:val="71"/>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定期组织应急演练活动。</w:t>
            </w:r>
          </w:p>
        </w:tc>
      </w:tr>
      <w:tr w14:paraId="0F7AE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2CBB68B3">
            <w:pPr>
              <w:pStyle w:val="71"/>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二</w:t>
            </w:r>
          </w:p>
        </w:tc>
        <w:tc>
          <w:tcPr>
            <w:tcW w:w="4518" w:type="pct"/>
            <w:gridSpan w:val="2"/>
            <w:vAlign w:val="center"/>
          </w:tcPr>
          <w:p w14:paraId="25C4A57D">
            <w:pPr>
              <w:pStyle w:val="71"/>
              <w:spacing w:line="400" w:lineRule="exact"/>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对企业现场管理提出的整改问题</w:t>
            </w:r>
          </w:p>
        </w:tc>
      </w:tr>
      <w:tr w14:paraId="61139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81" w:type="pct"/>
            <w:vAlign w:val="center"/>
          </w:tcPr>
          <w:p w14:paraId="1EBDA74F">
            <w:pPr>
              <w:pStyle w:val="71"/>
              <w:spacing w:line="400" w:lineRule="exact"/>
              <w:jc w:val="center"/>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1</w:t>
            </w:r>
          </w:p>
        </w:tc>
        <w:tc>
          <w:tcPr>
            <w:tcW w:w="2324" w:type="pct"/>
            <w:vAlign w:val="center"/>
          </w:tcPr>
          <w:p w14:paraId="7789CD5A">
            <w:pPr>
              <w:pStyle w:val="9"/>
              <w:numPr>
                <w:ilvl w:val="0"/>
                <w:numId w:val="0"/>
              </w:num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配电柜、开关箱积尘严重；箱柜内放置工具及杂物。</w:t>
            </w:r>
          </w:p>
        </w:tc>
        <w:tc>
          <w:tcPr>
            <w:tcW w:w="2193" w:type="pct"/>
            <w:vAlign w:val="center"/>
          </w:tcPr>
          <w:p w14:paraId="029E8891">
            <w:pPr>
              <w:spacing w:line="400" w:lineRule="exact"/>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清理配电柜、开关箱积尘机杂物。</w:t>
            </w:r>
          </w:p>
        </w:tc>
      </w:tr>
      <w:tr w14:paraId="259EC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81" w:type="pct"/>
            <w:vAlign w:val="center"/>
          </w:tcPr>
          <w:p w14:paraId="664A6B73">
            <w:pPr>
              <w:pStyle w:val="71"/>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w:t>
            </w:r>
          </w:p>
        </w:tc>
        <w:tc>
          <w:tcPr>
            <w:tcW w:w="2324" w:type="pct"/>
            <w:vAlign w:val="center"/>
          </w:tcPr>
          <w:p w14:paraId="3702575D">
            <w:pPr>
              <w:pStyle w:val="9"/>
              <w:numPr>
                <w:ilvl w:val="0"/>
                <w:numId w:val="0"/>
              </w:numPr>
              <w:jc w:val="left"/>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氧气瓶和乙炔气瓶放置间距不足，气瓶无防倾倒装置，乙炔气瓶用气软管未设置防火装置。气瓶的管线使用错误。</w:t>
            </w:r>
          </w:p>
          <w:p w14:paraId="150FBF0D">
            <w:pPr>
              <w:pStyle w:val="9"/>
              <w:numPr>
                <w:ilvl w:val="0"/>
                <w:numId w:val="0"/>
              </w:numPr>
              <w:jc w:val="left"/>
              <w:rPr>
                <w:rFonts w:hint="eastAsia" w:ascii="宋体" w:hAnsi="宋体" w:eastAsia="宋体" w:cs="宋体"/>
                <w:color w:val="000000" w:themeColor="text1"/>
                <w:kern w:val="0"/>
                <w:sz w:val="21"/>
                <w:szCs w:val="21"/>
                <w:lang w:val="en-US" w:eastAsia="zh-CN" w:bidi="ar-SA"/>
                <w14:textFill>
                  <w14:solidFill>
                    <w14:schemeClr w14:val="tx1"/>
                  </w14:solidFill>
                </w14:textFill>
              </w:rPr>
            </w:pPr>
          </w:p>
        </w:tc>
        <w:tc>
          <w:tcPr>
            <w:tcW w:w="2193" w:type="pct"/>
            <w:vAlign w:val="center"/>
          </w:tcPr>
          <w:p w14:paraId="516607AB">
            <w:pPr>
              <w:spacing w:line="400" w:lineRule="exact"/>
              <w:jc w:val="left"/>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规范气瓶的使用和存放，两个气瓶使用时至少保持5米安全距离，与动火作业点保持不少于10米的安全距离，气瓶使用与存放应有防倾倒措施，乙炔气瓶用气软管，乙炔气表应安装防回火的阻火器。氧气瓶和乙炔气瓶管道颜色按规范正确使用。</w:t>
            </w:r>
          </w:p>
        </w:tc>
      </w:tr>
      <w:tr w14:paraId="0C06D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81" w:type="pct"/>
            <w:vAlign w:val="center"/>
          </w:tcPr>
          <w:p w14:paraId="13A41FC5">
            <w:pPr>
              <w:pStyle w:val="71"/>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w:t>
            </w:r>
          </w:p>
        </w:tc>
        <w:tc>
          <w:tcPr>
            <w:tcW w:w="2324" w:type="pct"/>
            <w:vAlign w:val="center"/>
          </w:tcPr>
          <w:p w14:paraId="464EEB22">
            <w:pPr>
              <w:pStyle w:val="9"/>
              <w:numPr>
                <w:ilvl w:val="0"/>
                <w:numId w:val="0"/>
              </w:numPr>
              <w:jc w:val="left"/>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行车吊钩防脱装置缺失。</w:t>
            </w:r>
          </w:p>
        </w:tc>
        <w:tc>
          <w:tcPr>
            <w:tcW w:w="2193" w:type="pct"/>
            <w:vAlign w:val="center"/>
          </w:tcPr>
          <w:p w14:paraId="6F645F1A">
            <w:pPr>
              <w:pStyle w:val="9"/>
              <w:numPr>
                <w:ilvl w:val="0"/>
                <w:numId w:val="0"/>
              </w:numPr>
              <w:jc w:val="left"/>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据《起重机械定期测验规则》（TSGQ7015-2008），完善恢复起重设备吊钩防脱钩，确保有效装置。</w:t>
            </w:r>
          </w:p>
        </w:tc>
      </w:tr>
      <w:tr w14:paraId="0AD2C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81" w:type="pct"/>
            <w:vAlign w:val="center"/>
          </w:tcPr>
          <w:p w14:paraId="479B05A9">
            <w:pPr>
              <w:pStyle w:val="71"/>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4</w:t>
            </w:r>
          </w:p>
        </w:tc>
        <w:tc>
          <w:tcPr>
            <w:tcW w:w="2324" w:type="pct"/>
            <w:vAlign w:val="center"/>
          </w:tcPr>
          <w:p w14:paraId="428ABDD9">
            <w:pPr>
              <w:pStyle w:val="9"/>
              <w:numPr>
                <w:ilvl w:val="0"/>
                <w:numId w:val="0"/>
              </w:numPr>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储气罐压力表、安全阀均未定检。</w:t>
            </w:r>
          </w:p>
        </w:tc>
        <w:tc>
          <w:tcPr>
            <w:tcW w:w="2193" w:type="pct"/>
            <w:vAlign w:val="center"/>
          </w:tcPr>
          <w:p w14:paraId="4C89A551">
            <w:pPr>
              <w:pStyle w:val="9"/>
              <w:numPr>
                <w:ilvl w:val="0"/>
                <w:numId w:val="0"/>
              </w:numPr>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储气罐压力表、安全阀送检。</w:t>
            </w:r>
          </w:p>
        </w:tc>
      </w:tr>
      <w:tr w14:paraId="235E9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81" w:type="pct"/>
            <w:vAlign w:val="center"/>
          </w:tcPr>
          <w:p w14:paraId="0892D1F8">
            <w:pPr>
              <w:pStyle w:val="71"/>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w:t>
            </w:r>
          </w:p>
        </w:tc>
        <w:tc>
          <w:tcPr>
            <w:tcW w:w="2324" w:type="pct"/>
            <w:vAlign w:val="center"/>
          </w:tcPr>
          <w:p w14:paraId="372FB809">
            <w:pPr>
              <w:pStyle w:val="9"/>
              <w:numPr>
                <w:ilvl w:val="0"/>
                <w:numId w:val="0"/>
              </w:numPr>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部分设备电机的传动轮及传动皮带位置防护罩。</w:t>
            </w:r>
          </w:p>
        </w:tc>
        <w:tc>
          <w:tcPr>
            <w:tcW w:w="2193" w:type="pct"/>
            <w:vAlign w:val="center"/>
          </w:tcPr>
          <w:p w14:paraId="448F5E7D">
            <w:pPr>
              <w:spacing w:line="4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设备电机的传动轮及传动皮带位置设置安全防护罩。</w:t>
            </w:r>
          </w:p>
        </w:tc>
      </w:tr>
      <w:tr w14:paraId="444BC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81" w:type="pct"/>
            <w:vAlign w:val="center"/>
          </w:tcPr>
          <w:p w14:paraId="61F7F94C">
            <w:pPr>
              <w:pStyle w:val="71"/>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6</w:t>
            </w:r>
          </w:p>
        </w:tc>
        <w:tc>
          <w:tcPr>
            <w:tcW w:w="2324" w:type="pct"/>
            <w:vAlign w:val="center"/>
          </w:tcPr>
          <w:p w14:paraId="13B6EFF8">
            <w:pPr>
              <w:pStyle w:val="9"/>
              <w:numPr>
                <w:ilvl w:val="0"/>
                <w:numId w:val="0"/>
              </w:numPr>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带式输送机地坑未辨识为有限空间，未设置有限空间警示告知标识，临边处未设置防护栏及警示标志。</w:t>
            </w:r>
          </w:p>
          <w:p w14:paraId="6C0C0D21">
            <w:pPr>
              <w:pStyle w:val="9"/>
              <w:numPr>
                <w:ilvl w:val="0"/>
                <w:numId w:val="0"/>
              </w:numPr>
              <w:jc w:val="left"/>
              <w:rPr>
                <w:rFonts w:hint="eastAsia" w:ascii="宋体" w:hAnsi="宋体" w:eastAsia="宋体" w:cs="宋体"/>
                <w:color w:val="000000" w:themeColor="text1"/>
                <w:sz w:val="21"/>
                <w:szCs w:val="21"/>
                <w:lang w:val="en-US" w:eastAsia="zh-CN"/>
                <w14:textFill>
                  <w14:solidFill>
                    <w14:schemeClr w14:val="tx1"/>
                  </w14:solidFill>
                </w14:textFill>
              </w:rPr>
            </w:pPr>
          </w:p>
        </w:tc>
        <w:tc>
          <w:tcPr>
            <w:tcW w:w="2193" w:type="pct"/>
            <w:vAlign w:val="center"/>
          </w:tcPr>
          <w:p w14:paraId="6F9B2250">
            <w:pPr>
              <w:spacing w:line="4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带式输送机地坑应辨识为有限空间，设置有限空间警示告知标识，临边处增设设置防护栏及警示标志。</w:t>
            </w:r>
          </w:p>
        </w:tc>
      </w:tr>
      <w:tr w14:paraId="48E4B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81" w:type="pct"/>
            <w:vAlign w:val="center"/>
          </w:tcPr>
          <w:p w14:paraId="2E49C7E6">
            <w:pPr>
              <w:pStyle w:val="71"/>
              <w:spacing w:line="400" w:lineRule="exact"/>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7</w:t>
            </w:r>
          </w:p>
        </w:tc>
        <w:tc>
          <w:tcPr>
            <w:tcW w:w="2324" w:type="pct"/>
            <w:vAlign w:val="center"/>
          </w:tcPr>
          <w:p w14:paraId="1083709A">
            <w:pPr>
              <w:pStyle w:val="9"/>
              <w:numPr>
                <w:ilvl w:val="0"/>
                <w:numId w:val="0"/>
              </w:numPr>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循环水池临边处未设置防护栏及安全警示标志。</w:t>
            </w:r>
          </w:p>
        </w:tc>
        <w:tc>
          <w:tcPr>
            <w:tcW w:w="2193" w:type="pct"/>
            <w:vAlign w:val="center"/>
          </w:tcPr>
          <w:p w14:paraId="2CAA3182">
            <w:pPr>
              <w:spacing w:line="400" w:lineRule="exact"/>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循环水池临边处应设置防护栏及安全警示标志。</w:t>
            </w:r>
          </w:p>
        </w:tc>
      </w:tr>
    </w:tbl>
    <w:p w14:paraId="712811C4">
      <w:pPr>
        <w:bidi w:val="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整改报告见附件。</w:t>
      </w:r>
    </w:p>
    <w:p w14:paraId="043FD278">
      <w:pPr>
        <w:pStyle w:val="4"/>
        <w:spacing w:line="360" w:lineRule="auto"/>
        <w:rPr>
          <w:rFonts w:hint="eastAsia" w:ascii="Times New Roman" w:hAnsi="Times New Roman" w:cs="Times New Roman"/>
          <w:color w:val="000000" w:themeColor="text1"/>
          <w14:textFill>
            <w14:solidFill>
              <w14:schemeClr w14:val="tx1"/>
            </w14:solidFill>
          </w14:textFill>
        </w:rPr>
      </w:pPr>
      <w:bookmarkStart w:id="761" w:name="_Toc309682527"/>
      <w:bookmarkStart w:id="762" w:name="_Toc10077"/>
      <w:bookmarkStart w:id="763" w:name="_Toc31997"/>
      <w:bookmarkStart w:id="764" w:name="_Toc61474490"/>
      <w:bookmarkStart w:id="765" w:name="_Toc30001467"/>
      <w:bookmarkStart w:id="766" w:name="_Toc4886"/>
      <w:r>
        <w:rPr>
          <w:rFonts w:hint="eastAsia" w:ascii="Times New Roman" w:hAnsi="Times New Roman" w:cs="Times New Roman"/>
          <w:color w:val="000000" w:themeColor="text1"/>
          <w14:textFill>
            <w14:solidFill>
              <w14:schemeClr w14:val="tx1"/>
            </w14:solidFill>
          </w14:textFill>
        </w:rPr>
        <w:t>6.</w:t>
      </w:r>
      <w:r>
        <w:rPr>
          <w:rFonts w:hint="eastAsia" w:ascii="Times New Roman" w:hAnsi="Times New Roman" w:cs="Times New Roman"/>
          <w:color w:val="000000" w:themeColor="text1"/>
          <w:lang w:val="en-US" w:eastAsia="zh-CN"/>
          <w14:textFill>
            <w14:solidFill>
              <w14:schemeClr w14:val="tx1"/>
            </w14:solidFill>
          </w14:textFill>
        </w:rPr>
        <w:t>2</w:t>
      </w:r>
      <w:r>
        <w:rPr>
          <w:rFonts w:hint="eastAsia" w:ascii="Times New Roman" w:hAnsi="Times New Roman" w:cs="Times New Roman"/>
          <w:color w:val="000000" w:themeColor="text1"/>
          <w14:textFill>
            <w14:solidFill>
              <w14:schemeClr w14:val="tx1"/>
            </w14:solidFill>
          </w14:textFill>
        </w:rPr>
        <w:t>安全生产条件</w:t>
      </w:r>
      <w:bookmarkEnd w:id="761"/>
      <w:bookmarkEnd w:id="762"/>
      <w:bookmarkEnd w:id="763"/>
      <w:bookmarkEnd w:id="764"/>
      <w:bookmarkEnd w:id="765"/>
      <w:bookmarkEnd w:id="766"/>
    </w:p>
    <w:p w14:paraId="09DF28BA">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用电设备设施及其他的电气线路应规范敷设，不得乱拉乱接；电气线路应定期进行检查，及时更换老化、损坏的电气线路；</w:t>
      </w:r>
    </w:p>
    <w:p w14:paraId="55F9D6B9">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用电设备、电气线路、控制柜、开关等周围应及时清理可燃物、杂物及粉尘；</w:t>
      </w:r>
    </w:p>
    <w:p w14:paraId="57A75156">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加强对机械防护罩、挡板、安全围栏等的日常维护和保养工作，及时修理、更换损坏、缺失的相关设施；</w:t>
      </w:r>
    </w:p>
    <w:p w14:paraId="03889683">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要做好特种设备的日常维护工作，保证其良好有效。未经定期检验或者检验不合格的特种设备，不得继续使用。及时对检测中存在的问题进行整改；</w:t>
      </w:r>
    </w:p>
    <w:p w14:paraId="05983664">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生产区可能产生机械伤害的设备数量较多，应根据《机械安全防止人体部位挤压的最小间距》（GB/T12265-2021）等规范要求对设备进行合理布置；</w:t>
      </w:r>
    </w:p>
    <w:p w14:paraId="4FFD41C4">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可能造成吸入、卷入、发生缠绕的设备转动部件和传动装置应予以封闭或设安全防护装置；</w:t>
      </w:r>
    </w:p>
    <w:p w14:paraId="6FB811E6">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指定专人负责消防器材的定期检查保养工作，确保消防器材处于完好有效的状态；</w:t>
      </w:r>
    </w:p>
    <w:p w14:paraId="49D68C6F">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消防器材应当设置在明显和便于取用的地方，任何人不得随便移动，不得上锁，不得受阳光曝晒、火烤、雨淋，一经使用，应立即更换，不得空置或随意丢弃；</w:t>
      </w:r>
    </w:p>
    <w:p w14:paraId="675FC90F">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加强设备管理和维护检修工作，消除设备缺陷和隐患，对设备隐患一定要及时处理，提出相应的整改措施，并监督落实，认真进行设备检修及事故隐患整改记录，杜绝设备的带病运转现象，为安全生产提供坚实的物质保障。</w:t>
      </w:r>
    </w:p>
    <w:p w14:paraId="33061328">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使用乙炔、氧气气瓶，应与明火保持10m以上安全距离；储存乙炔、氧气气瓶，应保持5m以上安全距离；应定期检查气瓶瓶帽、瓶箍、导管等完好；并安装气体报警仪。</w:t>
      </w:r>
    </w:p>
    <w:p w14:paraId="6130C041">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要重视加强安全管理工作，企业主要负责人、安全管理人员及特种作业人员应定期进行复审，保证证件有效性；新上岗操作人员上岗前必须进行安全技术培训，经考试合格的人员才准上岗工作；人员证书到期之前，应尽快安排人员去参加培训、复评，保证证书的有效性。</w:t>
      </w:r>
    </w:p>
    <w:p w14:paraId="13F66638">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机械设备使用的机油应集中储存，与明火点保持安全距离，并加强管理。</w:t>
      </w:r>
    </w:p>
    <w:p w14:paraId="02C9D47C">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加强设备管理和维护检修工作，消除设备缺陷和隐患，对设备隐患一定要及时处理，提出相应的整改措施，并监督落实，认真进行设备检修及事故隐患整改记录，杜绝设备的带病运转现象，为安全生产提供物资保障。</w:t>
      </w:r>
    </w:p>
    <w:p w14:paraId="41533AB2">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企业在购买劳动保护用品时，要购买正规生产厂家生产的产品，并且要有产品合格证，保证产品质量。</w:t>
      </w:r>
    </w:p>
    <w:p w14:paraId="7EBA2FDD">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厂内叉车、起重机安全附件应定期检测合格，保证设备安全性能。</w:t>
      </w:r>
    </w:p>
    <w:p w14:paraId="653AC669">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及时清理各通道的杂物，物品分类、分区，规范摆放，保持厂区及各作业场所通道畅通。</w:t>
      </w:r>
    </w:p>
    <w:p w14:paraId="539AE61F">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在全厂范围内清查整改，在相应的风险点设置警示标识；根据《安全标志及其使用导则》结合具体实际环境进行匹配相应的警示标志。</w:t>
      </w:r>
    </w:p>
    <w:p w14:paraId="33FBDDE4">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全厂范围内清查消防设施，根据《建筑灭火器配置设计规范》配备足够灭火器，消防器材周边不得有障碍物；保证消防通道畅通，根据消防器材的配置计算，部分区域需要添置增设，尤其是供配电系统需要增设消防器材，同时定期检验、监测管理，达到消防安全的作用。同时在灭火器定置位置提示灭火器的使用方法，做好消防器材的管理措施。灭火器的摆放应稳固，其铭牌应朝外。手提式灭火器宜设置在灭火器箱内或挂钩、托架上，其顶部离地面高度不应大于1.50m；底部离地面高度不宜小于0.08m，放置地点应易于取用。</w:t>
      </w:r>
    </w:p>
    <w:p w14:paraId="53699EAB">
      <w:pPr>
        <w:numPr>
          <w:ilvl w:val="0"/>
          <w:numId w:val="27"/>
        </w:numPr>
        <w:tabs>
          <w:tab w:val="left" w:pos="0"/>
          <w:tab w:val="left" w:pos="851"/>
          <w:tab w:val="left" w:pos="993"/>
        </w:tabs>
        <w:adjustRightInd w:val="0"/>
        <w:snapToGrid w:val="0"/>
        <w:spacing w:line="500" w:lineRule="exact"/>
        <w:ind w:left="0"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安全标志牌应至少每半年检查一次，如发现有破损、变形、褪色等不符合要求时，应及时修正或更换。</w:t>
      </w:r>
    </w:p>
    <w:p w14:paraId="37F33B0A">
      <w:pPr>
        <w:pStyle w:val="4"/>
        <w:spacing w:line="360" w:lineRule="auto"/>
        <w:rPr>
          <w:rFonts w:hint="eastAsia" w:ascii="Times New Roman" w:hAnsi="Times New Roman" w:cs="Times New Roman"/>
          <w:color w:val="000000" w:themeColor="text1"/>
          <w14:textFill>
            <w14:solidFill>
              <w14:schemeClr w14:val="tx1"/>
            </w14:solidFill>
          </w14:textFill>
        </w:rPr>
      </w:pPr>
      <w:bookmarkStart w:id="767" w:name="_Toc8559"/>
      <w:bookmarkStart w:id="768" w:name="_Toc3467"/>
      <w:r>
        <w:rPr>
          <w:rFonts w:hint="eastAsia" w:ascii="Times New Roman" w:hAnsi="Times New Roman" w:cs="Times New Roman"/>
          <w:color w:val="000000" w:themeColor="text1"/>
          <w14:textFill>
            <w14:solidFill>
              <w14:schemeClr w14:val="tx1"/>
            </w14:solidFill>
          </w14:textFill>
        </w:rPr>
        <w:t>6.</w:t>
      </w:r>
      <w:r>
        <w:rPr>
          <w:rFonts w:hint="eastAsia" w:ascii="Times New Roman" w:hAnsi="Times New Roman" w:cs="Times New Roman"/>
          <w:color w:val="000000" w:themeColor="text1"/>
          <w:lang w:val="en-US" w:eastAsia="zh-CN"/>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安全管理</w:t>
      </w:r>
      <w:bookmarkEnd w:id="767"/>
      <w:bookmarkEnd w:id="768"/>
    </w:p>
    <w:p w14:paraId="5997AA8E">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企业领导及安全管理人员应不断提高自身的综合安全管理水平，并应定期参加安全管理培训复审；加强对在职职工及新进人员的安全教育工作，进行风险预警和告知，教育员工树立“安全第一，预防为主，综合治理”的思想，提高全体员工的安全意识和自我保护能力；并做好日常的安全教育培训记录；严禁违章作业、违章指挥。</w:t>
      </w:r>
    </w:p>
    <w:p w14:paraId="646F1D67">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应该定期更新危险作业安全管理制度，加强危险作业（临时用电、高处作业、有限空间作业等）安全管理，落实相关安全防范措施。</w:t>
      </w:r>
    </w:p>
    <w:p w14:paraId="14DAD375">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企业应制定《安全风险动态管理制度》，着力构建安全风险分级管控和隐患排查治理双重预防性工作机制。健全安全风险评估分级和事故隐患排查分级标准体系，全面排查评定安全风险和事故隐患等级，建立实行安全风险分级管控机制，实施事故隐患排查治理闭环管理。</w:t>
      </w:r>
    </w:p>
    <w:p w14:paraId="11733196">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安全管理人员、特种作业人员证书应定期复审，有条件时聘请注册安全工程师进行安全管理工作。</w:t>
      </w:r>
    </w:p>
    <w:p w14:paraId="438D09E4">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建议企业增加叉车作业人员持证数量，以满足换班需求。</w:t>
      </w:r>
    </w:p>
    <w:p w14:paraId="7189292B">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加强设备管理和维护检修工作，消除设备缺陷和隐患，对设备隐患一定要及时处理，提出相应的整改措施，并监督落实，认真进行设备检修及事故隐患整改记录，杜绝设备的带病运转现象，为安全生产提供坚实的物质保障。</w:t>
      </w:r>
    </w:p>
    <w:p w14:paraId="338A6BD4">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配置相应的应急救援器材及其他常用的急救药品等，并保证应急救援器材处于良好有效的状态。</w:t>
      </w:r>
    </w:p>
    <w:p w14:paraId="1D8C3A97">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加强操作人员的职业技能培训，提高人员的安全操作技能；加强生产过程中的各个环节的安全管理，操作人员要严格按照操作规程进行操作，严禁违规操作。</w:t>
      </w:r>
    </w:p>
    <w:p w14:paraId="139827B7">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根据生产的实际情况，不断完善安全生产管理规章制度；完善生产、检修等作业的安全操作规程；做好安全管理台账的记录。</w:t>
      </w:r>
    </w:p>
    <w:p w14:paraId="7E323542">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每天定人定时对各生产区域进行安全检查（特别是危险场所），加强对工艺设备</w:t>
      </w:r>
      <w:r>
        <w:rPr>
          <w:rFonts w:hint="eastAsia" w:hAnsi="宋体" w:cs="宋体"/>
          <w:color w:val="000000" w:themeColor="text1"/>
          <w:sz w:val="28"/>
          <w:szCs w:val="28"/>
          <w:lang w:eastAsia="zh-CN"/>
          <w14:textFill>
            <w14:solidFill>
              <w14:schemeClr w14:val="tx1"/>
            </w14:solidFill>
          </w14:textFill>
        </w:rPr>
        <w:t>的</w:t>
      </w:r>
      <w:r>
        <w:rPr>
          <w:rFonts w:hint="eastAsia" w:ascii="宋体" w:hAnsi="宋体" w:cs="宋体"/>
          <w:color w:val="000000" w:themeColor="text1"/>
          <w:sz w:val="28"/>
          <w:szCs w:val="28"/>
          <w14:textFill>
            <w14:solidFill>
              <w14:schemeClr w14:val="tx1"/>
            </w14:solidFill>
          </w14:textFill>
        </w:rPr>
        <w:t>管理，及时维修、更换受损、老化的设备及管线；定期检查安全设施设备的有效性。</w:t>
      </w:r>
    </w:p>
    <w:p w14:paraId="5E34D769">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企业保证每年安全生产所需要的资金投入，使公司具备安全生产条件，安全设施投资应当纳入建设项目概算。安全资金主要用在以下方面。</w:t>
      </w:r>
    </w:p>
    <w:p w14:paraId="42D75736">
      <w:pPr>
        <w:adjustRightInd w:val="0"/>
        <w:snapToGrid w:val="0"/>
        <w:spacing w:line="500" w:lineRule="exact"/>
        <w:ind w:firstLine="560" w:firstLineChars="200"/>
        <w:rPr>
          <w:rFonts w:ascii="宋体" w:hAnsi="宋体" w:cs="宋体"/>
          <w:snapToGrid w:val="0"/>
          <w:color w:val="000000" w:themeColor="text1"/>
          <w:kern w:val="0"/>
          <w:sz w:val="28"/>
          <w:szCs w:val="28"/>
          <w14:textFill>
            <w14:solidFill>
              <w14:schemeClr w14:val="tx1"/>
            </w14:solidFill>
          </w14:textFill>
        </w:rPr>
      </w:pPr>
      <w:r>
        <w:rPr>
          <w:rFonts w:hint="eastAsia" w:ascii="宋体" w:hAnsi="宋体" w:cs="宋体"/>
          <w:snapToGrid w:val="0"/>
          <w:color w:val="000000" w:themeColor="text1"/>
          <w:kern w:val="0"/>
          <w:sz w:val="28"/>
          <w:szCs w:val="28"/>
          <w14:textFill>
            <w14:solidFill>
              <w14:schemeClr w14:val="tx1"/>
            </w14:solidFill>
          </w14:textFill>
        </w:rPr>
        <w:t>1）从业人员配备劳动防护用品的经费；</w:t>
      </w:r>
    </w:p>
    <w:p w14:paraId="2DD14C1C">
      <w:pPr>
        <w:adjustRightInd w:val="0"/>
        <w:snapToGrid w:val="0"/>
        <w:spacing w:line="500" w:lineRule="exact"/>
        <w:ind w:firstLine="560" w:firstLineChars="200"/>
        <w:rPr>
          <w:rFonts w:ascii="宋体" w:hAnsi="宋体" w:cs="宋体"/>
          <w:snapToGrid w:val="0"/>
          <w:color w:val="000000" w:themeColor="text1"/>
          <w:kern w:val="0"/>
          <w:sz w:val="28"/>
          <w:szCs w:val="28"/>
          <w14:textFill>
            <w14:solidFill>
              <w14:schemeClr w14:val="tx1"/>
            </w14:solidFill>
          </w14:textFill>
        </w:rPr>
      </w:pPr>
      <w:r>
        <w:rPr>
          <w:rFonts w:hint="eastAsia" w:ascii="宋体" w:hAnsi="宋体" w:cs="宋体"/>
          <w:snapToGrid w:val="0"/>
          <w:color w:val="000000" w:themeColor="text1"/>
          <w:kern w:val="0"/>
          <w:sz w:val="28"/>
          <w:szCs w:val="28"/>
          <w14:textFill>
            <w14:solidFill>
              <w14:schemeClr w14:val="tx1"/>
            </w14:solidFill>
          </w14:textFill>
        </w:rPr>
        <w:t>2）安全设施、设备投入和维护保养的费用；</w:t>
      </w:r>
    </w:p>
    <w:p w14:paraId="53CB0082">
      <w:pPr>
        <w:adjustRightInd w:val="0"/>
        <w:snapToGrid w:val="0"/>
        <w:spacing w:line="500" w:lineRule="exact"/>
        <w:ind w:firstLine="560" w:firstLineChars="200"/>
        <w:rPr>
          <w:rFonts w:ascii="宋体" w:hAnsi="宋体" w:cs="宋体"/>
          <w:snapToGrid w:val="0"/>
          <w:color w:val="000000" w:themeColor="text1"/>
          <w:kern w:val="0"/>
          <w:sz w:val="28"/>
          <w:szCs w:val="28"/>
          <w14:textFill>
            <w14:solidFill>
              <w14:schemeClr w14:val="tx1"/>
            </w14:solidFill>
          </w14:textFill>
        </w:rPr>
      </w:pPr>
      <w:r>
        <w:rPr>
          <w:rFonts w:hint="eastAsia" w:ascii="宋体" w:hAnsi="宋体" w:cs="宋体"/>
          <w:snapToGrid w:val="0"/>
          <w:color w:val="000000" w:themeColor="text1"/>
          <w:kern w:val="0"/>
          <w:sz w:val="28"/>
          <w:szCs w:val="28"/>
          <w14:textFill>
            <w14:solidFill>
              <w14:schemeClr w14:val="tx1"/>
            </w14:solidFill>
          </w14:textFill>
        </w:rPr>
        <w:t>3）作业场所职业危害防治措施投入和维护保养的费用(如防尘设施、设备防腐等)；</w:t>
      </w:r>
    </w:p>
    <w:p w14:paraId="0C239BC1">
      <w:pPr>
        <w:adjustRightInd w:val="0"/>
        <w:snapToGrid w:val="0"/>
        <w:spacing w:line="500" w:lineRule="exact"/>
        <w:ind w:firstLine="560" w:firstLineChars="200"/>
        <w:rPr>
          <w:rFonts w:ascii="宋体" w:hAnsi="宋体" w:cs="宋体"/>
          <w:snapToGrid w:val="0"/>
          <w:color w:val="000000" w:themeColor="text1"/>
          <w:kern w:val="0"/>
          <w:sz w:val="28"/>
          <w:szCs w:val="28"/>
          <w14:textFill>
            <w14:solidFill>
              <w14:schemeClr w14:val="tx1"/>
            </w14:solidFill>
          </w14:textFill>
        </w:rPr>
      </w:pPr>
      <w:r>
        <w:rPr>
          <w:rFonts w:hint="eastAsia" w:ascii="宋体" w:hAnsi="宋体" w:cs="宋体"/>
          <w:snapToGrid w:val="0"/>
          <w:color w:val="000000" w:themeColor="text1"/>
          <w:kern w:val="0"/>
          <w:sz w:val="28"/>
          <w:szCs w:val="28"/>
          <w14:textFill>
            <w14:solidFill>
              <w14:schemeClr w14:val="tx1"/>
            </w14:solidFill>
          </w14:textFill>
        </w:rPr>
        <w:t>4）事故隐患整改所需费用；</w:t>
      </w:r>
    </w:p>
    <w:p w14:paraId="35D78686">
      <w:pPr>
        <w:adjustRightInd w:val="0"/>
        <w:snapToGrid w:val="0"/>
        <w:spacing w:line="500" w:lineRule="exact"/>
        <w:ind w:firstLine="560" w:firstLineChars="200"/>
        <w:rPr>
          <w:rFonts w:ascii="宋体" w:hAnsi="宋体" w:cs="宋体"/>
          <w:snapToGrid w:val="0"/>
          <w:color w:val="000000" w:themeColor="text1"/>
          <w:kern w:val="0"/>
          <w:sz w:val="28"/>
          <w:szCs w:val="28"/>
          <w14:textFill>
            <w14:solidFill>
              <w14:schemeClr w14:val="tx1"/>
            </w14:solidFill>
          </w14:textFill>
        </w:rPr>
      </w:pPr>
      <w:r>
        <w:rPr>
          <w:rFonts w:hint="eastAsia" w:ascii="宋体" w:hAnsi="宋体" w:cs="宋体"/>
          <w:snapToGrid w:val="0"/>
          <w:color w:val="000000" w:themeColor="text1"/>
          <w:kern w:val="0"/>
          <w:sz w:val="28"/>
          <w:szCs w:val="28"/>
          <w14:textFill>
            <w14:solidFill>
              <w14:schemeClr w14:val="tx1"/>
            </w14:solidFill>
          </w14:textFill>
        </w:rPr>
        <w:t>5）安全检查工作及其有关器材投入得维护保养的费用；</w:t>
      </w:r>
    </w:p>
    <w:p w14:paraId="4EFE0705">
      <w:pPr>
        <w:adjustRightInd w:val="0"/>
        <w:snapToGrid w:val="0"/>
        <w:spacing w:line="500" w:lineRule="exact"/>
        <w:ind w:firstLine="560" w:firstLineChars="200"/>
        <w:rPr>
          <w:rFonts w:ascii="宋体" w:hAnsi="宋体" w:cs="宋体"/>
          <w:snapToGrid w:val="0"/>
          <w:color w:val="000000" w:themeColor="text1"/>
          <w:kern w:val="0"/>
          <w:sz w:val="28"/>
          <w:szCs w:val="28"/>
          <w14:textFill>
            <w14:solidFill>
              <w14:schemeClr w14:val="tx1"/>
            </w14:solidFill>
          </w14:textFill>
        </w:rPr>
      </w:pPr>
      <w:r>
        <w:rPr>
          <w:rFonts w:hint="eastAsia" w:ascii="宋体" w:hAnsi="宋体" w:cs="宋体"/>
          <w:snapToGrid w:val="0"/>
          <w:color w:val="000000" w:themeColor="text1"/>
          <w:kern w:val="0"/>
          <w:sz w:val="28"/>
          <w:szCs w:val="28"/>
          <w14:textFill>
            <w14:solidFill>
              <w14:schemeClr w14:val="tx1"/>
            </w14:solidFill>
          </w14:textFill>
        </w:rPr>
        <w:t>6）事故应急救援器材、设备投入和维护保养的费用；</w:t>
      </w:r>
    </w:p>
    <w:p w14:paraId="6E89CD68">
      <w:pPr>
        <w:adjustRightInd w:val="0"/>
        <w:snapToGrid w:val="0"/>
        <w:spacing w:line="500" w:lineRule="exact"/>
        <w:ind w:firstLine="560" w:firstLineChars="200"/>
        <w:rPr>
          <w:rFonts w:ascii="宋体" w:hAnsi="宋体" w:cs="宋体"/>
          <w:snapToGrid w:val="0"/>
          <w:color w:val="000000" w:themeColor="text1"/>
          <w:kern w:val="0"/>
          <w:sz w:val="28"/>
          <w:szCs w:val="28"/>
          <w14:textFill>
            <w14:solidFill>
              <w14:schemeClr w14:val="tx1"/>
            </w14:solidFill>
          </w14:textFill>
        </w:rPr>
      </w:pPr>
      <w:r>
        <w:rPr>
          <w:rFonts w:hint="eastAsia" w:ascii="宋体" w:hAnsi="宋体" w:cs="宋体"/>
          <w:snapToGrid w:val="0"/>
          <w:color w:val="000000" w:themeColor="text1"/>
          <w:kern w:val="0"/>
          <w:sz w:val="28"/>
          <w:szCs w:val="28"/>
          <w14:textFill>
            <w14:solidFill>
              <w14:schemeClr w14:val="tx1"/>
            </w14:solidFill>
          </w14:textFill>
        </w:rPr>
        <w:t>7）事故应急救援定期演练的费用；</w:t>
      </w:r>
    </w:p>
    <w:p w14:paraId="41509B90">
      <w:pPr>
        <w:adjustRightInd w:val="0"/>
        <w:snapToGrid w:val="0"/>
        <w:spacing w:line="500" w:lineRule="exact"/>
        <w:ind w:firstLine="560" w:firstLineChars="200"/>
        <w:rPr>
          <w:rFonts w:ascii="宋体" w:hAnsi="宋体" w:cs="宋体"/>
          <w:snapToGrid w:val="0"/>
          <w:color w:val="000000" w:themeColor="text1"/>
          <w:kern w:val="0"/>
          <w:sz w:val="28"/>
          <w:szCs w:val="28"/>
          <w14:textFill>
            <w14:solidFill>
              <w14:schemeClr w14:val="tx1"/>
            </w14:solidFill>
          </w14:textFill>
        </w:rPr>
      </w:pPr>
      <w:r>
        <w:rPr>
          <w:rFonts w:hint="eastAsia" w:ascii="宋体" w:hAnsi="宋体" w:cs="宋体"/>
          <w:snapToGrid w:val="0"/>
          <w:color w:val="000000" w:themeColor="text1"/>
          <w:kern w:val="0"/>
          <w:sz w:val="28"/>
          <w:szCs w:val="28"/>
          <w14:textFill>
            <w14:solidFill>
              <w14:schemeClr w14:val="tx1"/>
            </w14:solidFill>
          </w14:textFill>
        </w:rPr>
        <w:t>8）为</w:t>
      </w:r>
      <w:r>
        <w:rPr>
          <w:rFonts w:hint="eastAsia" w:ascii="宋体" w:hAnsi="宋体" w:cs="宋体"/>
          <w:color w:val="000000" w:themeColor="text1"/>
          <w:sz w:val="28"/>
          <w14:textFill>
            <w14:solidFill>
              <w14:schemeClr w14:val="tx1"/>
            </w14:solidFill>
          </w14:textFill>
        </w:rPr>
        <w:t>从业人员</w:t>
      </w:r>
      <w:r>
        <w:rPr>
          <w:rFonts w:hint="eastAsia" w:ascii="宋体" w:hAnsi="宋体" w:cs="宋体"/>
          <w:snapToGrid w:val="0"/>
          <w:color w:val="000000" w:themeColor="text1"/>
          <w:kern w:val="0"/>
          <w:sz w:val="28"/>
          <w:szCs w:val="28"/>
          <w14:textFill>
            <w14:solidFill>
              <w14:schemeClr w14:val="tx1"/>
            </w14:solidFill>
          </w14:textFill>
        </w:rPr>
        <w:t>购买工伤保险等。</w:t>
      </w:r>
    </w:p>
    <w:p w14:paraId="36A969AD">
      <w:pPr>
        <w:numPr>
          <w:ilvl w:val="0"/>
          <w:numId w:val="28"/>
        </w:numPr>
        <w:tabs>
          <w:tab w:val="left" w:pos="0"/>
          <w:tab w:val="left" w:pos="851"/>
          <w:tab w:val="left" w:pos="993"/>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定期为作业人员配发合格的劳动防护用品（劳保服、劳保鞋、安全帽、口罩等），并严格监督作业人员的劳动防护用品佩戴情况，及时更换失效的劳动防护用品。</w:t>
      </w:r>
    </w:p>
    <w:p w14:paraId="2F966C09">
      <w:pPr>
        <w:numPr>
          <w:ilvl w:val="0"/>
          <w:numId w:val="28"/>
        </w:numPr>
        <w:tabs>
          <w:tab w:val="left" w:pos="0"/>
          <w:tab w:val="left" w:pos="851"/>
          <w:tab w:val="left" w:pos="993"/>
          <w:tab w:val="left" w:pos="6720"/>
        </w:tabs>
        <w:adjustRightInd w:val="0"/>
        <w:snapToGrid w:val="0"/>
        <w:spacing w:line="500" w:lineRule="exact"/>
        <w:ind w:left="0" w:firstLine="560" w:firstLineChars="200"/>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企业在购买劳动保护用品时，要购买正规生产厂家生产的产品，并且要有产品合格证，保证产品质量。</w:t>
      </w:r>
    </w:p>
    <w:p w14:paraId="6A6177F5">
      <w:pPr>
        <w:numPr>
          <w:ilvl w:val="0"/>
          <w:numId w:val="28"/>
        </w:numPr>
        <w:tabs>
          <w:tab w:val="left" w:pos="0"/>
          <w:tab w:val="left" w:pos="851"/>
          <w:tab w:val="left" w:pos="993"/>
          <w:tab w:val="left" w:pos="6720"/>
        </w:tabs>
        <w:adjustRightInd w:val="0"/>
        <w:snapToGrid w:val="0"/>
        <w:spacing w:line="500" w:lineRule="exact"/>
        <w:ind w:left="0" w:firstLine="560" w:firstLineChars="200"/>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应按《中华人民共和国安全生产法》第四十三条“生产经营单位必须依法参加工伤社会保险，每年为从业人员缴纳保险费”的规定依法为从业人员缴纳工伤保险。</w:t>
      </w:r>
    </w:p>
    <w:p w14:paraId="40E4C8AE">
      <w:pPr>
        <w:numPr>
          <w:ilvl w:val="0"/>
          <w:numId w:val="28"/>
        </w:numPr>
        <w:tabs>
          <w:tab w:val="left" w:pos="0"/>
          <w:tab w:val="left" w:pos="851"/>
          <w:tab w:val="left" w:pos="993"/>
          <w:tab w:val="left" w:pos="6720"/>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在各作业岗位将相关的安全岗位职责、安全管理制度及安全操作规程上墙；加强现场安全管理，配置现场安全监督检查人员。</w:t>
      </w:r>
    </w:p>
    <w:p w14:paraId="55504A5E">
      <w:pPr>
        <w:numPr>
          <w:ilvl w:val="0"/>
          <w:numId w:val="28"/>
        </w:numPr>
        <w:tabs>
          <w:tab w:val="left" w:pos="0"/>
          <w:tab w:val="left" w:pos="851"/>
          <w:tab w:val="left" w:pos="993"/>
          <w:tab w:val="left" w:pos="6720"/>
        </w:tabs>
        <w:adjustRightInd w:val="0"/>
        <w:snapToGrid w:val="0"/>
        <w:spacing w:line="500" w:lineRule="exact"/>
        <w:ind w:left="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应加强非生产人员安全管理，非工作期间严禁进入生产区域。</w:t>
      </w:r>
    </w:p>
    <w:p w14:paraId="59A247DF">
      <w:pPr>
        <w:pStyle w:val="4"/>
        <w:spacing w:line="360" w:lineRule="auto"/>
        <w:rPr>
          <w:rFonts w:ascii="Times New Roman" w:hAnsi="Times New Roman" w:cs="Times New Roman"/>
          <w:color w:val="000000" w:themeColor="text1"/>
          <w14:textFill>
            <w14:solidFill>
              <w14:schemeClr w14:val="tx1"/>
            </w14:solidFill>
          </w14:textFill>
        </w:rPr>
      </w:pPr>
      <w:bookmarkStart w:id="769" w:name="_Toc211237925"/>
      <w:bookmarkStart w:id="770" w:name="_Toc278151452"/>
      <w:bookmarkStart w:id="771" w:name="_Toc23079"/>
      <w:bookmarkStart w:id="772" w:name="_Toc30001469"/>
      <w:bookmarkStart w:id="773" w:name="_Toc209520699"/>
      <w:bookmarkStart w:id="774" w:name="_Toc61474492"/>
      <w:bookmarkStart w:id="775" w:name="_Toc309682529"/>
      <w:bookmarkStart w:id="776" w:name="_Toc25489"/>
      <w:bookmarkStart w:id="777" w:name="_Toc19570"/>
      <w:r>
        <w:rPr>
          <w:rFonts w:hint="eastAsia" w:ascii="Times New Roman" w:hAnsi="Times New Roman" w:cs="Times New Roman"/>
          <w:color w:val="000000" w:themeColor="text1"/>
          <w14:textFill>
            <w14:solidFill>
              <w14:schemeClr w14:val="tx1"/>
            </w14:solidFill>
          </w14:textFill>
        </w:rPr>
        <w:t>6.</w:t>
      </w:r>
      <w:r>
        <w:rPr>
          <w:rFonts w:hint="eastAsia" w:ascii="Times New Roman" w:hAnsi="Times New Roman" w:cs="Times New Roman"/>
          <w:color w:val="000000" w:themeColor="text1"/>
          <w:lang w:val="en-US" w:eastAsia="zh-CN"/>
          <w14:textFill>
            <w14:solidFill>
              <w14:schemeClr w14:val="tx1"/>
            </w14:solidFill>
          </w14:textFill>
        </w:rPr>
        <w:t>4</w:t>
      </w:r>
      <w:r>
        <w:rPr>
          <w:rFonts w:hint="eastAsia" w:ascii="Times New Roman" w:hAnsi="Times New Roman" w:cs="Times New Roman"/>
          <w:color w:val="000000" w:themeColor="text1"/>
          <w14:textFill>
            <w14:solidFill>
              <w14:schemeClr w14:val="tx1"/>
            </w14:solidFill>
          </w14:textFill>
        </w:rPr>
        <w:t>应急救援</w:t>
      </w:r>
      <w:bookmarkEnd w:id="769"/>
      <w:bookmarkEnd w:id="770"/>
      <w:bookmarkEnd w:id="771"/>
      <w:bookmarkEnd w:id="772"/>
      <w:bookmarkEnd w:id="773"/>
      <w:bookmarkEnd w:id="774"/>
      <w:bookmarkEnd w:id="775"/>
      <w:bookmarkEnd w:id="776"/>
      <w:bookmarkEnd w:id="777"/>
    </w:p>
    <w:p w14:paraId="4B47A216">
      <w:pPr>
        <w:pStyle w:val="320"/>
        <w:keepNext w:val="0"/>
        <w:keepLines w:val="0"/>
        <w:pageBreakBefore w:val="0"/>
        <w:widowControl w:val="0"/>
        <w:numPr>
          <w:ilvl w:val="6"/>
          <w:numId w:val="29"/>
        </w:numPr>
        <w:kinsoku/>
        <w:wordWrap/>
        <w:overflowPunct/>
        <w:topLinePunct w:val="0"/>
        <w:autoSpaceDE/>
        <w:autoSpaceDN/>
        <w:bidi w:val="0"/>
        <w:adjustRightInd/>
        <w:snapToGrid/>
        <w:spacing w:line="500" w:lineRule="exact"/>
        <w:ind w:firstLine="56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结合实际情况，按照《生产经营单位生产安全事故应急预案编制导则》（GB/T 29639-2020）、《生产安全事故应急预案管理办法》（国家安全生产监督管理总局令第88号，</w:t>
      </w:r>
      <w:bookmarkStart w:id="778" w:name="_Hlk51333915"/>
      <w:r>
        <w:rPr>
          <w:color w:val="000000" w:themeColor="text1"/>
          <w:sz w:val="28"/>
          <w:szCs w:val="28"/>
          <w14:textFill>
            <w14:solidFill>
              <w14:schemeClr w14:val="tx1"/>
            </w14:solidFill>
          </w14:textFill>
        </w:rPr>
        <w:t>应急管理部令第2号令修订，自2019年9月1日起施行</w:t>
      </w:r>
      <w:bookmarkEnd w:id="778"/>
      <w:r>
        <w:rPr>
          <w:color w:val="000000" w:themeColor="text1"/>
          <w:sz w:val="28"/>
          <w:szCs w:val="28"/>
          <w14:textFill>
            <w14:solidFill>
              <w14:schemeClr w14:val="tx1"/>
            </w14:solidFill>
          </w14:textFill>
        </w:rPr>
        <w:t>）的要求，制定和不断完善厂内生产安全事故应急预案，使其具备针对性、可操作性和实用性，能对企业的应急救援提供强有力的保障。并定期按照应急救援预案的要求对相关人员进行培训，并进行应急救援预案的演练。</w:t>
      </w:r>
    </w:p>
    <w:p w14:paraId="1F6E9A53">
      <w:pPr>
        <w:pStyle w:val="320"/>
        <w:keepNext w:val="0"/>
        <w:keepLines w:val="0"/>
        <w:pageBreakBefore w:val="0"/>
        <w:widowControl w:val="0"/>
        <w:numPr>
          <w:ilvl w:val="6"/>
          <w:numId w:val="29"/>
        </w:numPr>
        <w:kinsoku/>
        <w:wordWrap/>
        <w:overflowPunct/>
        <w:topLinePunct w:val="0"/>
        <w:autoSpaceDE/>
        <w:autoSpaceDN/>
        <w:bidi w:val="0"/>
        <w:adjustRightInd/>
        <w:snapToGrid/>
        <w:spacing w:line="500" w:lineRule="exact"/>
        <w:ind w:firstLine="56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完善相应的应急救援器材及其他常用的急救药品等，并保证相应的应急器材处于良好有效的状态。</w:t>
      </w:r>
    </w:p>
    <w:p w14:paraId="3414AD06">
      <w:pPr>
        <w:pStyle w:val="320"/>
        <w:keepNext w:val="0"/>
        <w:keepLines w:val="0"/>
        <w:pageBreakBefore w:val="0"/>
        <w:widowControl w:val="0"/>
        <w:numPr>
          <w:ilvl w:val="6"/>
          <w:numId w:val="29"/>
        </w:numPr>
        <w:kinsoku/>
        <w:wordWrap/>
        <w:overflowPunct/>
        <w:topLinePunct w:val="0"/>
        <w:autoSpaceDE/>
        <w:autoSpaceDN/>
        <w:bidi w:val="0"/>
        <w:adjustRightInd/>
        <w:snapToGrid/>
        <w:spacing w:line="500" w:lineRule="exact"/>
        <w:ind w:firstLine="56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加强对应急队伍的建设和应急救援的操作训练，不断提高人员的应急救援水平。</w:t>
      </w:r>
    </w:p>
    <w:p w14:paraId="06A4620D">
      <w:pPr>
        <w:pStyle w:val="320"/>
        <w:keepNext w:val="0"/>
        <w:keepLines w:val="0"/>
        <w:pageBreakBefore w:val="0"/>
        <w:widowControl w:val="0"/>
        <w:numPr>
          <w:ilvl w:val="6"/>
          <w:numId w:val="29"/>
        </w:numPr>
        <w:kinsoku/>
        <w:wordWrap/>
        <w:overflowPunct/>
        <w:topLinePunct w:val="0"/>
        <w:autoSpaceDE/>
        <w:autoSpaceDN/>
        <w:bidi w:val="0"/>
        <w:adjustRightInd/>
        <w:snapToGrid/>
        <w:spacing w:line="500" w:lineRule="exact"/>
        <w:ind w:firstLine="56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定期进行应急救援预案的演练，并做好相关的记录。</w:t>
      </w:r>
    </w:p>
    <w:p w14:paraId="5AC0FE3E">
      <w:pPr>
        <w:pStyle w:val="320"/>
        <w:keepNext w:val="0"/>
        <w:keepLines w:val="0"/>
        <w:pageBreakBefore w:val="0"/>
        <w:widowControl w:val="0"/>
        <w:numPr>
          <w:ilvl w:val="6"/>
          <w:numId w:val="29"/>
        </w:numPr>
        <w:kinsoku/>
        <w:wordWrap/>
        <w:overflowPunct/>
        <w:topLinePunct w:val="0"/>
        <w:autoSpaceDE/>
        <w:autoSpaceDN/>
        <w:bidi w:val="0"/>
        <w:adjustRightInd/>
        <w:snapToGrid/>
        <w:spacing w:line="500" w:lineRule="exact"/>
        <w:ind w:firstLine="56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做好与周边企事业单位的</w:t>
      </w:r>
      <w:r>
        <w:rPr>
          <w:rFonts w:hint="eastAsia"/>
          <w:color w:val="000000" w:themeColor="text1"/>
          <w:sz w:val="28"/>
          <w:szCs w:val="28"/>
          <w:lang w:val="en-US" w:eastAsia="zh-CN"/>
          <w14:textFill>
            <w14:solidFill>
              <w14:schemeClr w14:val="tx1"/>
            </w14:solidFill>
          </w14:textFill>
        </w:rPr>
        <w:t>应急信息</w:t>
      </w:r>
      <w:r>
        <w:rPr>
          <w:color w:val="000000" w:themeColor="text1"/>
          <w:sz w:val="28"/>
          <w:szCs w:val="28"/>
          <w14:textFill>
            <w14:solidFill>
              <w14:schemeClr w14:val="tx1"/>
            </w14:solidFill>
          </w14:textFill>
        </w:rPr>
        <w:t>告知和联动工作。</w:t>
      </w:r>
    </w:p>
    <w:p w14:paraId="21CE4AB8">
      <w:pPr>
        <w:keepNext w:val="0"/>
        <w:keepLines w:val="0"/>
        <w:pageBreakBefore w:val="0"/>
        <w:widowControl w:val="0"/>
        <w:numPr>
          <w:ilvl w:val="0"/>
          <w:numId w:val="0"/>
        </w:numPr>
        <w:tabs>
          <w:tab w:val="left" w:pos="420"/>
          <w:tab w:val="left" w:pos="630"/>
          <w:tab w:val="left" w:pos="993"/>
        </w:tabs>
        <w:kinsoku/>
        <w:wordWrap/>
        <w:overflowPunct/>
        <w:topLinePunct w:val="0"/>
        <w:autoSpaceDE/>
        <w:autoSpaceDN/>
        <w:bidi w:val="0"/>
        <w:adjustRightInd/>
        <w:snapToGrid/>
        <w:spacing w:line="500" w:lineRule="exact"/>
        <w:ind w:leftChars="200"/>
        <w:textAlignment w:val="auto"/>
        <w:rPr>
          <w:rFonts w:hint="eastAsia" w:ascii="宋体" w:hAnsi="宋体" w:eastAsia="宋体" w:cs="宋体"/>
          <w:color w:val="000000" w:themeColor="text1"/>
          <w:sz w:val="28"/>
          <w:szCs w:val="28"/>
          <w14:textFill>
            <w14:solidFill>
              <w14:schemeClr w14:val="tx1"/>
            </w14:solidFill>
          </w14:textFill>
        </w:rPr>
      </w:pPr>
    </w:p>
    <w:bookmarkEnd w:id="760"/>
    <w:p w14:paraId="4AE78FD7">
      <w:pPr>
        <w:rPr>
          <w:rFonts w:ascii="Times New Roman" w:hAnsi="Times New Roman"/>
          <w:color w:val="000000" w:themeColor="text1"/>
          <w14:textFill>
            <w14:solidFill>
              <w14:schemeClr w14:val="tx1"/>
            </w14:solidFill>
          </w14:textFill>
        </w:rPr>
      </w:pPr>
      <w:bookmarkStart w:id="779" w:name="_Toc19231"/>
      <w:bookmarkStart w:id="780" w:name="_Toc3353"/>
      <w:bookmarkStart w:id="781" w:name="_Toc335926320"/>
      <w:bookmarkStart w:id="782" w:name="_Toc10960"/>
      <w:bookmarkStart w:id="783" w:name="_Toc313453636"/>
      <w:r>
        <w:rPr>
          <w:rFonts w:ascii="Times New Roman" w:hAnsi="Times New Roman"/>
          <w:color w:val="000000" w:themeColor="text1"/>
          <w14:textFill>
            <w14:solidFill>
              <w14:schemeClr w14:val="tx1"/>
            </w14:solidFill>
          </w14:textFill>
        </w:rPr>
        <w:br w:type="page"/>
      </w:r>
    </w:p>
    <w:p w14:paraId="3206AAFD">
      <w:pPr>
        <w:pStyle w:val="3"/>
        <w:spacing w:before="165" w:after="165" w:line="360" w:lineRule="auto"/>
        <w:ind w:firstLine="1807" w:firstLineChars="500"/>
        <w:jc w:val="both"/>
        <w:rPr>
          <w:rFonts w:ascii="Times New Roman" w:hAnsi="Times New Roman"/>
          <w:color w:val="000000" w:themeColor="text1"/>
          <w14:textFill>
            <w14:solidFill>
              <w14:schemeClr w14:val="tx1"/>
            </w14:solidFill>
          </w14:textFill>
        </w:rPr>
      </w:pPr>
      <w:bookmarkStart w:id="784" w:name="_Toc1372"/>
      <w:r>
        <w:rPr>
          <w:rFonts w:ascii="Times New Roman" w:hAnsi="Times New Roman"/>
          <w:color w:val="000000" w:themeColor="text1"/>
          <w14:textFill>
            <w14:solidFill>
              <w14:schemeClr w14:val="tx1"/>
            </w14:solidFill>
          </w14:textFill>
        </w:rPr>
        <w:t>第7章  安全现状评价结论</w:t>
      </w:r>
      <w:bookmarkEnd w:id="779"/>
      <w:bookmarkEnd w:id="780"/>
      <w:bookmarkEnd w:id="781"/>
      <w:bookmarkEnd w:id="782"/>
      <w:bookmarkEnd w:id="783"/>
      <w:bookmarkEnd w:id="784"/>
    </w:p>
    <w:p w14:paraId="4E9791A7">
      <w:pPr>
        <w:pStyle w:val="4"/>
        <w:spacing w:line="360" w:lineRule="auto"/>
        <w:rPr>
          <w:rFonts w:ascii="Times New Roman" w:hAnsi="Times New Roman"/>
          <w:color w:val="000000" w:themeColor="text1"/>
          <w14:textFill>
            <w14:solidFill>
              <w14:schemeClr w14:val="tx1"/>
            </w14:solidFill>
          </w14:textFill>
        </w:rPr>
      </w:pPr>
      <w:bookmarkStart w:id="785" w:name="_Toc115119270"/>
      <w:bookmarkStart w:id="786" w:name="_Toc115119082"/>
      <w:bookmarkStart w:id="787" w:name="_Toc2283"/>
      <w:bookmarkStart w:id="788" w:name="_Toc23553"/>
      <w:bookmarkStart w:id="789" w:name="_Toc14445"/>
      <w:bookmarkStart w:id="790" w:name="_Toc115120696"/>
      <w:bookmarkStart w:id="791" w:name="_Toc115119274"/>
      <w:bookmarkStart w:id="792" w:name="_Toc115119086"/>
      <w:bookmarkStart w:id="793" w:name="_Toc115120302"/>
      <w:r>
        <w:rPr>
          <w:rFonts w:ascii="Times New Roman" w:hAnsi="Times New Roman"/>
          <w:color w:val="000000" w:themeColor="text1"/>
          <w14:textFill>
            <w14:solidFill>
              <w14:schemeClr w14:val="tx1"/>
            </w14:solidFill>
          </w14:textFill>
        </w:rPr>
        <w:t>7.1</w:t>
      </w:r>
      <w:bookmarkEnd w:id="785"/>
      <w:bookmarkEnd w:id="786"/>
      <w:r>
        <w:rPr>
          <w:rFonts w:ascii="Times New Roman" w:hAnsi="Times New Roman"/>
          <w:color w:val="000000" w:themeColor="text1"/>
          <w14:textFill>
            <w14:solidFill>
              <w14:schemeClr w14:val="tx1"/>
            </w14:solidFill>
          </w14:textFill>
        </w:rPr>
        <w:t>主要危险、有害因素评价结果</w:t>
      </w:r>
      <w:bookmarkEnd w:id="787"/>
      <w:bookmarkEnd w:id="788"/>
      <w:bookmarkEnd w:id="789"/>
    </w:p>
    <w:p w14:paraId="00532B32">
      <w:pPr>
        <w:pStyle w:val="9"/>
        <w:keepNext w:val="0"/>
        <w:keepLines w:val="0"/>
        <w:pageBreakBefore w:val="0"/>
        <w:widowControl w:val="0"/>
        <w:kinsoku/>
        <w:wordWrap/>
        <w:overflowPunct/>
        <w:topLinePunct w:val="0"/>
        <w:autoSpaceDE/>
        <w:autoSpaceDN/>
        <w:bidi w:val="0"/>
        <w:adjustRightInd/>
        <w:snapToGrid/>
        <w:spacing w:line="50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本项目存在的主要危险、有害因素有：火灾、</w:t>
      </w:r>
      <w:r>
        <w:rPr>
          <w:rFonts w:hint="eastAsia"/>
          <w:color w:val="000000" w:themeColor="text1"/>
          <w:sz w:val="28"/>
          <w:szCs w:val="28"/>
          <w14:textFill>
            <w14:solidFill>
              <w14:schemeClr w14:val="tx1"/>
            </w14:solidFill>
          </w14:textFill>
        </w:rPr>
        <w:t>压力容器爆炸、</w:t>
      </w:r>
      <w:r>
        <w:rPr>
          <w:color w:val="000000" w:themeColor="text1"/>
          <w:sz w:val="28"/>
          <w:szCs w:val="28"/>
          <w14:textFill>
            <w14:solidFill>
              <w14:schemeClr w14:val="tx1"/>
            </w14:solidFill>
          </w14:textFill>
        </w:rPr>
        <w:t>机械伤害</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起重伤害、中毒</w:t>
      </w:r>
      <w:r>
        <w:rPr>
          <w:rFonts w:hint="eastAsia"/>
          <w:color w:val="000000" w:themeColor="text1"/>
          <w:sz w:val="28"/>
          <w:szCs w:val="28"/>
          <w:lang w:val="en-US" w:eastAsia="zh-CN"/>
          <w14:textFill>
            <w14:solidFill>
              <w14:schemeClr w14:val="tx1"/>
            </w14:solidFill>
          </w14:textFill>
        </w:rPr>
        <w:t>和</w:t>
      </w:r>
      <w:r>
        <w:rPr>
          <w:color w:val="000000" w:themeColor="text1"/>
          <w:sz w:val="28"/>
          <w:szCs w:val="28"/>
          <w14:textFill>
            <w14:solidFill>
              <w14:schemeClr w14:val="tx1"/>
            </w14:solidFill>
          </w14:textFill>
        </w:rPr>
        <w:t>窒息、高处坠落、物体打击、触电、车辆伤害、坍塌</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淹溺</w:t>
      </w:r>
      <w:r>
        <w:rPr>
          <w:rFonts w:hint="eastAsia"/>
          <w:color w:val="000000" w:themeColor="text1"/>
          <w:sz w:val="28"/>
          <w:szCs w:val="28"/>
          <w14:textFill>
            <w14:solidFill>
              <w14:schemeClr w14:val="tx1"/>
            </w14:solidFill>
          </w14:textFill>
        </w:rPr>
        <w:t>及其他</w:t>
      </w:r>
      <w:r>
        <w:rPr>
          <w:color w:val="000000" w:themeColor="text1"/>
          <w:sz w:val="28"/>
          <w:szCs w:val="28"/>
          <w14:textFill>
            <w14:solidFill>
              <w14:schemeClr w14:val="tx1"/>
            </w14:solidFill>
          </w14:textFill>
        </w:rPr>
        <w:t>危害等。</w:t>
      </w:r>
      <w:bookmarkStart w:id="794" w:name="_Toc4435"/>
      <w:bookmarkStart w:id="795" w:name="_Toc28992"/>
    </w:p>
    <w:p w14:paraId="5A248C37">
      <w:pPr>
        <w:pStyle w:val="4"/>
        <w:spacing w:line="360" w:lineRule="auto"/>
        <w:rPr>
          <w:rFonts w:ascii="Times New Roman" w:hAnsi="Times New Roman"/>
          <w:color w:val="000000" w:themeColor="text1"/>
          <w14:textFill>
            <w14:solidFill>
              <w14:schemeClr w14:val="tx1"/>
            </w14:solidFill>
          </w14:textFill>
        </w:rPr>
      </w:pPr>
      <w:bookmarkStart w:id="796" w:name="_Toc2489"/>
      <w:r>
        <w:rPr>
          <w:rFonts w:ascii="Times New Roman" w:hAnsi="Times New Roman"/>
          <w:color w:val="000000" w:themeColor="text1"/>
          <w14:textFill>
            <w14:solidFill>
              <w14:schemeClr w14:val="tx1"/>
            </w14:solidFill>
          </w14:textFill>
        </w:rPr>
        <w:t>7.2需要重点防范和控制的危险、有害因素</w:t>
      </w:r>
      <w:bookmarkEnd w:id="794"/>
      <w:bookmarkEnd w:id="795"/>
      <w:bookmarkEnd w:id="796"/>
    </w:p>
    <w:p w14:paraId="4E48A210">
      <w:pPr>
        <w:pStyle w:val="52"/>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Times New Roman" w:eastAsia="宋体" w:cs="Times New Roman"/>
          <w:color w:val="000000" w:themeColor="text1"/>
          <w:kern w:val="2"/>
          <w:sz w:val="28"/>
          <w:szCs w:val="28"/>
          <w:lang w:val="en-US" w:eastAsia="zh-CN" w:bidi="ar-SA"/>
          <w14:textFill>
            <w14:solidFill>
              <w14:schemeClr w14:val="tx1"/>
            </w14:solidFill>
          </w14:textFill>
        </w:rPr>
      </w:pPr>
      <w:r>
        <w:rPr>
          <w:rFonts w:ascii="宋体" w:hAnsi="Times New Roman" w:eastAsia="宋体" w:cs="Times New Roman"/>
          <w:color w:val="000000" w:themeColor="text1"/>
          <w:kern w:val="2"/>
          <w:sz w:val="28"/>
          <w:szCs w:val="28"/>
          <w:lang w:val="en-US" w:eastAsia="zh-CN" w:bidi="ar-SA"/>
          <w14:textFill>
            <w14:solidFill>
              <w14:schemeClr w14:val="tx1"/>
            </w14:solidFill>
          </w14:textFill>
        </w:rPr>
        <w:t>通过本项目厂址、平面布置、生产装置</w:t>
      </w:r>
      <w:r>
        <w:rPr>
          <w:rFonts w:hint="eastAsia" w:ascii="宋体" w:hAnsi="Times New Roman" w:eastAsia="宋体" w:cs="Times New Roman"/>
          <w:color w:val="000000" w:themeColor="text1"/>
          <w:kern w:val="2"/>
          <w:sz w:val="28"/>
          <w:szCs w:val="28"/>
          <w:lang w:val="en-US" w:eastAsia="zh-CN" w:bidi="ar-SA"/>
          <w14:textFill>
            <w14:solidFill>
              <w14:schemeClr w14:val="tx1"/>
            </w14:solidFill>
          </w14:textFill>
        </w:rPr>
        <w:t>、设备</w:t>
      </w:r>
      <w:r>
        <w:rPr>
          <w:rFonts w:ascii="宋体" w:hAnsi="Times New Roman" w:eastAsia="宋体" w:cs="Times New Roman"/>
          <w:color w:val="000000" w:themeColor="text1"/>
          <w:kern w:val="2"/>
          <w:sz w:val="28"/>
          <w:szCs w:val="28"/>
          <w:lang w:val="en-US" w:eastAsia="zh-CN" w:bidi="ar-SA"/>
          <w14:textFill>
            <w14:solidFill>
              <w14:schemeClr w14:val="tx1"/>
            </w14:solidFill>
          </w14:textFill>
        </w:rPr>
        <w:t>设施的危险有害因素分析可知，本项目应重点防范的</w:t>
      </w:r>
      <w:r>
        <w:rPr>
          <w:rFonts w:hint="eastAsia" w:ascii="宋体" w:hAnsi="Times New Roman" w:eastAsia="宋体" w:cs="Times New Roman"/>
          <w:color w:val="000000" w:themeColor="text1"/>
          <w:kern w:val="2"/>
          <w:sz w:val="28"/>
          <w:szCs w:val="28"/>
          <w:lang w:val="en-US" w:eastAsia="zh-CN" w:bidi="ar-SA"/>
          <w14:textFill>
            <w14:solidFill>
              <w14:schemeClr w14:val="tx1"/>
            </w14:solidFill>
          </w14:textFill>
        </w:rPr>
        <w:t>危险、有害因素如下：</w:t>
      </w:r>
    </w:p>
    <w:tbl>
      <w:tblPr>
        <w:tblStyle w:val="5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3545"/>
        <w:gridCol w:w="850"/>
        <w:gridCol w:w="3512"/>
      </w:tblGrid>
      <w:tr w14:paraId="008C7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01AD6D1D">
            <w:pPr>
              <w:spacing w:line="360" w:lineRule="auto"/>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序号</w:t>
            </w:r>
          </w:p>
        </w:tc>
        <w:tc>
          <w:tcPr>
            <w:tcW w:w="2032" w:type="pct"/>
            <w:vAlign w:val="center"/>
          </w:tcPr>
          <w:p w14:paraId="4E8E0962">
            <w:pPr>
              <w:spacing w:line="360" w:lineRule="auto"/>
              <w:jc w:val="center"/>
              <w:rPr>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危险、有害因素</w:t>
            </w:r>
          </w:p>
        </w:tc>
        <w:tc>
          <w:tcPr>
            <w:tcW w:w="487" w:type="pct"/>
            <w:vAlign w:val="center"/>
          </w:tcPr>
          <w:p w14:paraId="04A19668">
            <w:pPr>
              <w:spacing w:line="360" w:lineRule="auto"/>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序号</w:t>
            </w:r>
          </w:p>
        </w:tc>
        <w:tc>
          <w:tcPr>
            <w:tcW w:w="2013" w:type="pct"/>
            <w:vAlign w:val="center"/>
          </w:tcPr>
          <w:p w14:paraId="535A2D5D">
            <w:pPr>
              <w:spacing w:line="360" w:lineRule="auto"/>
              <w:jc w:val="center"/>
              <w:rPr>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危险、有害因素</w:t>
            </w:r>
          </w:p>
        </w:tc>
      </w:tr>
      <w:tr w14:paraId="796F3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0FF3EB02">
            <w:pPr>
              <w:spacing w:line="360" w:lineRule="auto"/>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2032" w:type="pct"/>
            <w:vAlign w:val="center"/>
          </w:tcPr>
          <w:p w14:paraId="7B9C99B0">
            <w:pPr>
              <w:spacing w:line="360" w:lineRule="auto"/>
              <w:jc w:val="center"/>
              <w:rPr>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中毒</w:t>
            </w:r>
            <w:r>
              <w:rPr>
                <w:rFonts w:hint="eastAsia" w:ascii="Times New Roman"/>
                <w:color w:val="000000" w:themeColor="text1"/>
                <w:sz w:val="21"/>
                <w:szCs w:val="21"/>
                <w:lang w:val="en-US" w:eastAsia="zh-CN"/>
                <w14:textFill>
                  <w14:solidFill>
                    <w14:schemeClr w14:val="tx1"/>
                  </w14:solidFill>
                </w14:textFill>
              </w:rPr>
              <w:t>和</w:t>
            </w:r>
            <w:r>
              <w:rPr>
                <w:rFonts w:ascii="Times New Roman"/>
                <w:color w:val="000000" w:themeColor="text1"/>
                <w:sz w:val="21"/>
                <w:szCs w:val="21"/>
                <w14:textFill>
                  <w14:solidFill>
                    <w14:schemeClr w14:val="tx1"/>
                  </w14:solidFill>
                </w14:textFill>
              </w:rPr>
              <w:t>窒息</w:t>
            </w:r>
          </w:p>
        </w:tc>
        <w:tc>
          <w:tcPr>
            <w:tcW w:w="487" w:type="pct"/>
            <w:vAlign w:val="center"/>
          </w:tcPr>
          <w:p w14:paraId="3B5CAC2D">
            <w:pPr>
              <w:spacing w:line="360" w:lineRule="auto"/>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2013" w:type="pct"/>
            <w:vAlign w:val="center"/>
          </w:tcPr>
          <w:p w14:paraId="05C06311">
            <w:pPr>
              <w:spacing w:line="360" w:lineRule="auto"/>
              <w:jc w:val="center"/>
              <w:rPr>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高处坠落</w:t>
            </w:r>
          </w:p>
        </w:tc>
      </w:tr>
      <w:tr w14:paraId="426D0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4002C04F">
            <w:pPr>
              <w:spacing w:line="360" w:lineRule="auto"/>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032" w:type="pct"/>
            <w:vAlign w:val="center"/>
          </w:tcPr>
          <w:p w14:paraId="4D9F03CA">
            <w:pPr>
              <w:spacing w:line="360" w:lineRule="auto"/>
              <w:jc w:val="center"/>
              <w:rPr>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触电</w:t>
            </w:r>
          </w:p>
        </w:tc>
        <w:tc>
          <w:tcPr>
            <w:tcW w:w="487" w:type="pct"/>
            <w:vAlign w:val="center"/>
          </w:tcPr>
          <w:p w14:paraId="3840459D">
            <w:pPr>
              <w:spacing w:line="360" w:lineRule="auto"/>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w:t>
            </w:r>
          </w:p>
        </w:tc>
        <w:tc>
          <w:tcPr>
            <w:tcW w:w="2013" w:type="pct"/>
            <w:vAlign w:val="center"/>
          </w:tcPr>
          <w:p w14:paraId="66EF7B24">
            <w:pPr>
              <w:spacing w:line="360" w:lineRule="auto"/>
              <w:jc w:val="center"/>
              <w:rPr>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火灾</w:t>
            </w:r>
          </w:p>
        </w:tc>
      </w:tr>
      <w:tr w14:paraId="113CA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vAlign w:val="center"/>
          </w:tcPr>
          <w:p w14:paraId="0E957AD5">
            <w:pPr>
              <w:tabs>
                <w:tab w:val="left" w:pos="524"/>
              </w:tabs>
              <w:spacing w:line="360" w:lineRule="auto"/>
              <w:ind w:firstLine="210" w:firstLineChars="10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032" w:type="pct"/>
            <w:vAlign w:val="center"/>
          </w:tcPr>
          <w:p w14:paraId="107A3D88">
            <w:pPr>
              <w:spacing w:line="360" w:lineRule="auto"/>
              <w:jc w:val="center"/>
              <w:rPr>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机械伤害</w:t>
            </w:r>
          </w:p>
        </w:tc>
        <w:tc>
          <w:tcPr>
            <w:tcW w:w="487" w:type="pct"/>
            <w:vAlign w:val="center"/>
          </w:tcPr>
          <w:p w14:paraId="1443D86A">
            <w:pPr>
              <w:spacing w:line="360" w:lineRule="auto"/>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013" w:type="pct"/>
            <w:vAlign w:val="center"/>
          </w:tcPr>
          <w:p w14:paraId="1E546B2E">
            <w:pPr>
              <w:spacing w:line="360" w:lineRule="auto"/>
              <w:jc w:val="center"/>
              <w:rPr>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起重伤害</w:t>
            </w:r>
          </w:p>
        </w:tc>
      </w:tr>
      <w:bookmarkEnd w:id="790"/>
      <w:bookmarkEnd w:id="791"/>
      <w:bookmarkEnd w:id="792"/>
      <w:bookmarkEnd w:id="793"/>
    </w:tbl>
    <w:p w14:paraId="3AC5E92E">
      <w:pPr>
        <w:pStyle w:val="4"/>
        <w:spacing w:line="360" w:lineRule="auto"/>
        <w:rPr>
          <w:rFonts w:asciiTheme="minorEastAsia" w:hAnsiTheme="minorEastAsia" w:eastAsiaTheme="minorEastAsia"/>
          <w:color w:val="000000" w:themeColor="text1"/>
          <w:sz w:val="28"/>
          <w:szCs w:val="28"/>
          <w14:textFill>
            <w14:solidFill>
              <w14:schemeClr w14:val="tx1"/>
            </w14:solidFill>
          </w14:textFill>
        </w:rPr>
      </w:pPr>
      <w:bookmarkStart w:id="797" w:name="_Toc29866"/>
      <w:bookmarkStart w:id="798" w:name="_Toc22567"/>
      <w:bookmarkStart w:id="799" w:name="_Toc2696"/>
      <w:r>
        <w:rPr>
          <w:rFonts w:ascii="Times New Roman" w:hAnsi="Times New Roman"/>
          <w:color w:val="000000" w:themeColor="text1"/>
          <w14:textFill>
            <w14:solidFill>
              <w14:schemeClr w14:val="tx1"/>
            </w14:solidFill>
          </w14:textFill>
        </w:rPr>
        <w:t>7.</w:t>
      </w:r>
      <w:r>
        <w:rPr>
          <w:rFonts w:hint="eastAsia" w:ascii="Times New Roman" w:hAnsi="Times New Roman"/>
          <w:color w:val="000000" w:themeColor="text1"/>
          <w14:textFill>
            <w14:solidFill>
              <w14:schemeClr w14:val="tx1"/>
            </w14:solidFill>
          </w14:textFill>
        </w:rPr>
        <w:t>3</w:t>
      </w:r>
      <w:r>
        <w:rPr>
          <w:rFonts w:ascii="Times New Roman" w:hAnsi="Times New Roman"/>
          <w:color w:val="000000" w:themeColor="text1"/>
          <w14:textFill>
            <w14:solidFill>
              <w14:schemeClr w14:val="tx1"/>
            </w14:solidFill>
          </w14:textFill>
        </w:rPr>
        <w:t>安全评价结论</w:t>
      </w:r>
      <w:bookmarkEnd w:id="797"/>
      <w:bookmarkEnd w:id="798"/>
      <w:bookmarkEnd w:id="799"/>
    </w:p>
    <w:p w14:paraId="126FC1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昭</w:t>
      </w:r>
      <w:r>
        <w:rPr>
          <w:rFonts w:hint="eastAsia" w:ascii="宋体" w:hAnsi="宋体" w:eastAsia="宋体" w:cs="宋体"/>
          <w:color w:val="000000" w:themeColor="text1"/>
          <w:sz w:val="28"/>
          <w:szCs w:val="28"/>
          <w14:textFill>
            <w14:solidFill>
              <w14:schemeClr w14:val="tx1"/>
            </w14:solidFill>
          </w14:textFill>
        </w:rPr>
        <w:t>通市鼎安科技有限公司</w:t>
      </w:r>
      <w:r>
        <w:rPr>
          <w:rFonts w:hint="eastAsia" w:ascii="宋体" w:hAnsi="宋体" w:eastAsia="宋体" w:cs="宋体"/>
          <w:color w:val="000000" w:themeColor="text1"/>
          <w:sz w:val="28"/>
          <w14:textFill>
            <w14:solidFill>
              <w14:schemeClr w14:val="tx1"/>
            </w14:solidFill>
          </w14:textFill>
        </w:rPr>
        <w:t>依据安全评价相关法规，对该项目严格按照安全评价过程控制程序，依据各单元主要危险、有害因素辨识、定性定量分析结果、得出如下安全现状评价综合结论：</w:t>
      </w:r>
    </w:p>
    <w:p w14:paraId="464503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项目平面布置</w:t>
      </w:r>
      <w:r>
        <w:rPr>
          <w:rFonts w:hint="eastAsia" w:ascii="宋体" w:hAnsi="宋体" w:eastAsia="宋体" w:cs="宋体"/>
          <w:color w:val="000000" w:themeColor="text1"/>
          <w:sz w:val="28"/>
          <w:szCs w:val="28"/>
          <w:lang w:val="en-US" w:eastAsia="zh-CN"/>
          <w14:textFill>
            <w14:solidFill>
              <w14:schemeClr w14:val="tx1"/>
            </w14:solidFill>
          </w14:textFill>
        </w:rPr>
        <w:t>符合</w:t>
      </w:r>
      <w:r>
        <w:rPr>
          <w:rFonts w:hint="eastAsia" w:ascii="宋体" w:hAnsi="宋体" w:eastAsia="宋体" w:cs="宋体"/>
          <w:color w:val="000000" w:themeColor="text1"/>
          <w:sz w:val="28"/>
          <w:szCs w:val="28"/>
          <w14:textFill>
            <w14:solidFill>
              <w14:schemeClr w14:val="tx1"/>
            </w14:solidFill>
          </w14:textFill>
        </w:rPr>
        <w:t>《工业企业总平面设计规范》（</w:t>
      </w:r>
      <w:r>
        <w:rPr>
          <w:rFonts w:hint="eastAsia" w:ascii="宋体" w:hAnsi="宋体" w:eastAsia="宋体" w:cs="宋体"/>
          <w:color w:val="000000" w:themeColor="text1"/>
          <w:sz w:val="28"/>
          <w:szCs w:val="28"/>
          <w:lang w:val="zh-CN"/>
          <w14:textFill>
            <w14:solidFill>
              <w14:schemeClr w14:val="tx1"/>
            </w14:solidFill>
          </w14:textFill>
        </w:rPr>
        <w:t>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50187-2012）、《工业企业厂内铁路、道路运输安全规程》（GB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14:textFill>
            <w14:solidFill>
              <w14:schemeClr w14:val="tx1"/>
            </w14:solidFill>
          </w14:textFill>
        </w:rPr>
        <w:t>4387-2008）</w:t>
      </w:r>
      <w:r>
        <w:rPr>
          <w:rFonts w:hint="eastAsia" w:ascii="宋体" w:hAnsi="宋体" w:eastAsia="宋体" w:cs="宋体"/>
          <w:color w:val="000000" w:themeColor="text1"/>
          <w:sz w:val="28"/>
          <w:szCs w:val="28"/>
          <w14:textFill>
            <w14:solidFill>
              <w14:schemeClr w14:val="tx1"/>
            </w14:solidFill>
          </w14:textFill>
        </w:rPr>
        <w:t>和《建筑设计防火规范〔2018版〕》（GB</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50016-2014）中的</w:t>
      </w:r>
      <w:r>
        <w:rPr>
          <w:rFonts w:hint="eastAsia" w:ascii="宋体" w:hAnsi="宋体" w:eastAsia="宋体" w:cs="宋体"/>
          <w:color w:val="000000" w:themeColor="text1"/>
          <w:sz w:val="28"/>
          <w:szCs w:val="28"/>
          <w:lang w:val="en-US" w:eastAsia="zh-CN"/>
          <w14:textFill>
            <w14:solidFill>
              <w14:schemeClr w14:val="tx1"/>
            </w14:solidFill>
          </w14:textFill>
        </w:rPr>
        <w:t>规范要求</w:t>
      </w:r>
      <w:r>
        <w:rPr>
          <w:rFonts w:hint="eastAsia" w:ascii="宋体" w:hAnsi="宋体" w:eastAsia="宋体" w:cs="宋体"/>
          <w:color w:val="000000" w:themeColor="text1"/>
          <w:sz w:val="28"/>
          <w:szCs w:val="28"/>
          <w14:textFill>
            <w14:solidFill>
              <w14:schemeClr w14:val="tx1"/>
            </w14:solidFill>
          </w14:textFill>
        </w:rPr>
        <w:t>。</w:t>
      </w:r>
    </w:p>
    <w:p w14:paraId="77077729">
      <w:pPr>
        <w:adjustRightInd w:val="0"/>
        <w:snapToGrid w:val="0"/>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生产工艺</w:t>
      </w:r>
      <w:r>
        <w:rPr>
          <w:rFonts w:hint="eastAsia" w:ascii="宋体" w:hAnsi="宋体" w:eastAsia="宋体" w:cs="宋体"/>
          <w:color w:val="000000" w:themeColor="text1"/>
          <w:sz w:val="28"/>
          <w:szCs w:val="28"/>
          <w:lang w:val="en-US" w:eastAsia="zh-CN"/>
          <w14:textFill>
            <w14:solidFill>
              <w14:schemeClr w14:val="tx1"/>
            </w14:solidFill>
          </w14:textFill>
        </w:rPr>
        <w:t>及</w:t>
      </w:r>
      <w:r>
        <w:rPr>
          <w:rFonts w:hint="eastAsia" w:ascii="宋体" w:hAnsi="宋体" w:eastAsia="宋体" w:cs="宋体"/>
          <w:color w:val="000000" w:themeColor="text1"/>
          <w:sz w:val="28"/>
          <w:szCs w:val="28"/>
          <w14:textFill>
            <w14:solidFill>
              <w14:schemeClr w14:val="tx1"/>
            </w14:solidFill>
          </w14:textFill>
        </w:rPr>
        <w:t>设施符合《生产设备安全卫生设计总则》（</w:t>
      </w:r>
      <w:r>
        <w:rPr>
          <w:rFonts w:hint="eastAsia" w:ascii="宋体" w:hAnsi="宋体" w:eastAsia="宋体" w:cs="宋体"/>
          <w:color w:val="000000" w:themeColor="text1"/>
          <w:sz w:val="28"/>
          <w:szCs w:val="28"/>
          <w:lang w:eastAsia="zh-CN"/>
          <w14:textFill>
            <w14:solidFill>
              <w14:schemeClr w14:val="tx1"/>
            </w14:solidFill>
          </w14:textFill>
        </w:rPr>
        <w:t>GB5083-2023</w:t>
      </w:r>
      <w:r>
        <w:rPr>
          <w:rFonts w:hint="eastAsia" w:ascii="宋体" w:hAnsi="宋体" w:eastAsia="宋体" w:cs="宋体"/>
          <w:color w:val="000000" w:themeColor="text1"/>
          <w:sz w:val="28"/>
          <w:szCs w:val="28"/>
          <w14:textFill>
            <w14:solidFill>
              <w14:schemeClr w14:val="tx1"/>
            </w14:solidFill>
          </w14:textFill>
        </w:rPr>
        <w:t>）、《生产过程安全卫生要求总则》（GB/T 12801-2008）、《中华人民共和国安全生产法》（中华人民共和国主席令第88号，2021年修订）等相关规范的要求。</w:t>
      </w:r>
    </w:p>
    <w:p w14:paraId="2228BC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项目的安全防护设施符合《安全色》（GB 2893-2008）、《安全标志及其使用导则》（GB 2894-2008）、《固定式钢梯及平台安全</w:t>
      </w:r>
      <w:r>
        <w:rPr>
          <w:rFonts w:hint="eastAsia" w:ascii="宋体" w:hAnsi="宋体" w:eastAsia="宋体" w:cs="宋体"/>
          <w:color w:val="000000" w:themeColor="text1"/>
          <w:sz w:val="28"/>
          <w:szCs w:val="28"/>
          <w14:textFill>
            <w14:solidFill>
              <w14:schemeClr w14:val="tx1"/>
            </w14:solidFill>
          </w14:textFill>
        </w:rPr>
        <w:t>要求第1部分：钢直梯》（GB 4053.1-2009）、《机械安全防护装置固定式和活动式防护装置的设计与制造一般要求》（GB/T 8196-2018）、《机械工业职业安全卫生设计规范》（JBJ 18-2000）等国家相关标准、规范的规定和要求。</w:t>
      </w:r>
    </w:p>
    <w:p w14:paraId="0A2E3C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4.</w:t>
      </w:r>
      <w:r>
        <w:rPr>
          <w:rFonts w:hint="eastAsia"/>
          <w:color w:val="000000" w:themeColor="text1"/>
          <w:sz w:val="28"/>
          <w:szCs w:val="28"/>
          <w14:textFill>
            <w14:solidFill>
              <w14:schemeClr w14:val="tx1"/>
            </w14:solidFill>
          </w14:textFill>
        </w:rPr>
        <w:t>本项目</w:t>
      </w:r>
      <w:r>
        <w:rPr>
          <w:rFonts w:hint="eastAsia"/>
          <w:color w:val="000000" w:themeColor="text1"/>
          <w:sz w:val="28"/>
          <w:szCs w:val="28"/>
          <w:lang w:val="en-US" w:eastAsia="zh-CN"/>
          <w14:textFill>
            <w14:solidFill>
              <w14:schemeClr w14:val="tx1"/>
            </w14:solidFill>
          </w14:textFill>
        </w:rPr>
        <w:t>供配电、给排水、消防设施公用工程和辅助</w:t>
      </w:r>
      <w:r>
        <w:rPr>
          <w:color w:val="000000" w:themeColor="text1"/>
          <w:sz w:val="28"/>
          <w:szCs w:val="28"/>
          <w14:textFill>
            <w14:solidFill>
              <w14:schemeClr w14:val="tx1"/>
            </w14:solidFill>
          </w14:textFill>
        </w:rPr>
        <w:t>设施</w:t>
      </w:r>
      <w:r>
        <w:rPr>
          <w:rFonts w:hint="eastAsia"/>
          <w:color w:val="000000" w:themeColor="text1"/>
          <w:sz w:val="28"/>
          <w:szCs w:val="28"/>
          <w14:textFill>
            <w14:solidFill>
              <w14:schemeClr w14:val="tx1"/>
            </w14:solidFill>
          </w14:textFill>
        </w:rPr>
        <w:t>符合</w:t>
      </w:r>
      <w:r>
        <w:rPr>
          <w:rFonts w:hint="eastAsia"/>
          <w:color w:val="000000" w:themeColor="text1"/>
          <w:sz w:val="28"/>
          <w:szCs w:val="28"/>
          <w:lang w:val="en-US" w:eastAsia="zh-CN"/>
          <w14:textFill>
            <w14:solidFill>
              <w14:schemeClr w14:val="tx1"/>
            </w14:solidFill>
          </w14:textFill>
        </w:rPr>
        <w:t>相关法律规范的</w:t>
      </w:r>
      <w:r>
        <w:rPr>
          <w:rFonts w:hint="eastAsia"/>
          <w:color w:val="000000" w:themeColor="text1"/>
          <w:sz w:val="28"/>
          <w:szCs w:val="28"/>
          <w14:textFill>
            <w14:solidFill>
              <w14:schemeClr w14:val="tx1"/>
            </w14:solidFill>
          </w14:textFill>
        </w:rPr>
        <w:t>要求。</w:t>
      </w:r>
    </w:p>
    <w:p w14:paraId="4122C4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Times New Roman" w:eastAsia="宋体" w:cs="Times New Roman"/>
          <w:color w:val="000000" w:themeColor="text1"/>
          <w:sz w:val="28"/>
          <w:szCs w:val="28"/>
          <w:lang w:val="en-US" w:eastAsia="zh-CN"/>
          <w14:textFill>
            <w14:solidFill>
              <w14:schemeClr w14:val="tx1"/>
            </w14:solidFill>
          </w14:textFill>
        </w:rPr>
      </w:pPr>
      <w:r>
        <w:rPr>
          <w:rFonts w:hint="eastAsia" w:ascii="宋体" w:hAnsi="Times New Roman" w:eastAsia="宋体" w:cs="Times New Roman"/>
          <w:color w:val="000000" w:themeColor="text1"/>
          <w:sz w:val="28"/>
          <w:szCs w:val="28"/>
          <w:lang w:val="en-US" w:eastAsia="zh-CN"/>
          <w14:textFill>
            <w14:solidFill>
              <w14:schemeClr w14:val="tx1"/>
            </w14:solidFill>
          </w14:textFill>
        </w:rPr>
        <w:t>5.企业结合自身实际成立了安全生产领导小组，并任命了专职安全管理人员，建立了全员安全生产责任制、安全管理规章制度、安全操作规程及安全管理台账，为企业职工配发了劳动防护用品。</w:t>
      </w:r>
    </w:p>
    <w:p w14:paraId="4967F0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cs="Times New Roman"/>
          <w:color w:val="000000" w:themeColor="text1"/>
          <w:sz w:val="28"/>
          <w:szCs w:val="28"/>
          <w14:textFill>
            <w14:solidFill>
              <w14:schemeClr w14:val="tx1"/>
            </w14:solidFill>
          </w14:textFill>
        </w:rPr>
      </w:pPr>
      <w:r>
        <w:rPr>
          <w:rFonts w:hint="eastAsia" w:ascii="宋体" w:hAnsi="Times New Roman" w:eastAsia="宋体" w:cs="Times New Roman"/>
          <w:color w:val="000000" w:themeColor="text1"/>
          <w:sz w:val="28"/>
          <w:szCs w:val="28"/>
          <w:lang w:val="en-US" w:eastAsia="zh-CN"/>
          <w14:textFill>
            <w14:solidFill>
              <w14:schemeClr w14:val="tx1"/>
            </w14:solidFill>
          </w14:textFill>
        </w:rPr>
        <w:t>6.企业按照应急预案的规定，编制了应急预案，落实了应急指挥体系、应急救援队伍、应急物资及装备，应急物资、装备进行处于适用状态。企业预案已按要求到南华县应急管理局进行了备案。</w:t>
      </w:r>
    </w:p>
    <w:p w14:paraId="6D46A650">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Theme="minorEastAsia" w:hAnsiTheme="minorEastAsia" w:eastAsiaTheme="minorEastAsia"/>
          <w:b/>
          <w:bCs/>
          <w:snapToGrid w:val="0"/>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经评价认为：</w:t>
      </w:r>
      <w:r>
        <w:rPr>
          <w:rFonts w:hint="eastAsia" w:cs="Times New Roman" w:asciiTheme="minorEastAsia" w:hAnsiTheme="minorEastAsia" w:eastAsiaTheme="minorEastAsia"/>
          <w:b/>
          <w:bCs/>
          <w:color w:val="000000" w:themeColor="text1"/>
          <w:sz w:val="28"/>
          <w:szCs w:val="28"/>
          <w14:textFill>
            <w14:solidFill>
              <w14:schemeClr w14:val="tx1"/>
            </w14:solidFill>
          </w14:textFill>
        </w:rPr>
        <w:t>南华昆轻树脂瓦开发有限公司</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新型PVC树脂瓦及水泥瓦生产线项目</w:t>
      </w:r>
      <w:r>
        <w:rPr>
          <w:rFonts w:hint="eastAsia" w:cs="Times New Roman" w:asciiTheme="minorEastAsia" w:hAnsiTheme="minorEastAsia" w:eastAsiaTheme="minorEastAsia"/>
          <w:b/>
          <w:bCs/>
          <w:color w:val="000000" w:themeColor="text1"/>
          <w:sz w:val="28"/>
          <w:szCs w:val="28"/>
          <w14:textFill>
            <w14:solidFill>
              <w14:schemeClr w14:val="tx1"/>
            </w14:solidFill>
          </w14:textFill>
        </w:rPr>
        <w:t>从安全生</w:t>
      </w:r>
      <w:r>
        <w:rPr>
          <w:rFonts w:hint="eastAsia" w:asciiTheme="minorEastAsia" w:hAnsiTheme="minorEastAsia" w:eastAsiaTheme="minorEastAsia"/>
          <w:b/>
          <w:bCs/>
          <w:color w:val="000000" w:themeColor="text1"/>
          <w:sz w:val="28"/>
          <w:szCs w:val="28"/>
          <w14:textFill>
            <w14:solidFill>
              <w14:schemeClr w14:val="tx1"/>
            </w14:solidFill>
          </w14:textFill>
        </w:rPr>
        <w:t>产角度分析评价符合国家有关法律、法规、标准、规范的要求，现状安全条件满足安全生产要求。</w:t>
      </w:r>
    </w:p>
    <w:p w14:paraId="09DE0E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总之，安全生产是一个不断完善的动态过程，企业应按照本报告提出的对策措施建议进行整改完善。在今后的安全生产过程中，根据安全生产条件的变化和国家法规的进一步要求，不断完善安全技术措施和管理措施，提升安全技术水平，防止生产安全事故的发生，切实保障人民生命和企业财产的安全。</w:t>
      </w:r>
      <w:bookmarkEnd w:id="267"/>
      <w:bookmarkEnd w:id="268"/>
      <w:bookmarkEnd w:id="269"/>
    </w:p>
    <w:p w14:paraId="4F0F0264">
      <w:pPr>
        <w:spacing w:line="600" w:lineRule="exact"/>
        <w:rPr>
          <w:rFonts w:asciiTheme="minorEastAsia" w:hAnsiTheme="minorEastAsia" w:eastAsiaTheme="minorEastAsia"/>
          <w:color w:val="000000" w:themeColor="text1"/>
          <w:sz w:val="28"/>
          <w:szCs w:val="28"/>
          <w14:textFill>
            <w14:solidFill>
              <w14:schemeClr w14:val="tx1"/>
            </w14:solidFill>
          </w14:textFill>
        </w:rPr>
      </w:pPr>
      <w:r>
        <w:rPr>
          <w:color w:val="000000" w:themeColor="text1"/>
          <w14:textFill>
            <w14:solidFill>
              <w14:schemeClr w14:val="tx1"/>
            </w14:solidFill>
          </w14:textFill>
        </w:rPr>
        <w:br w:type="page"/>
      </w:r>
      <w:bookmarkStart w:id="806" w:name="_GoBack"/>
      <w:bookmarkEnd w:id="806"/>
    </w:p>
    <w:p w14:paraId="7E655F48">
      <w:pPr>
        <w:pStyle w:val="3"/>
        <w:spacing w:before="165" w:after="165"/>
        <w:rPr>
          <w:rFonts w:asciiTheme="minorEastAsia" w:hAnsiTheme="minorEastAsia" w:eastAsiaTheme="minorEastAsia"/>
          <w:color w:val="000000" w:themeColor="text1"/>
          <w:sz w:val="28"/>
          <w:szCs w:val="28"/>
          <w14:textFill>
            <w14:solidFill>
              <w14:schemeClr w14:val="tx1"/>
            </w14:solidFill>
          </w14:textFill>
        </w:rPr>
      </w:pPr>
      <w:bookmarkStart w:id="800" w:name="_Toc19830"/>
      <w:r>
        <w:rPr>
          <w:rFonts w:ascii="Times New Roman" w:hAnsi="Times New Roman"/>
          <w:color w:val="000000" w:themeColor="text1"/>
          <w14:textFill>
            <w14:solidFill>
              <w14:schemeClr w14:val="tx1"/>
            </w14:solidFill>
          </w14:textFill>
        </w:rPr>
        <w:t>第</w:t>
      </w:r>
      <w:r>
        <w:rPr>
          <w:rFonts w:hint="eastAsia" w:ascii="Times New Roman" w:hAnsi="Times New Roman"/>
          <w:color w:val="000000" w:themeColor="text1"/>
          <w14:textFill>
            <w14:solidFill>
              <w14:schemeClr w14:val="tx1"/>
            </w14:solidFill>
          </w14:textFill>
        </w:rPr>
        <w:t>8</w:t>
      </w:r>
      <w:r>
        <w:rPr>
          <w:rFonts w:ascii="Times New Roman" w:hAnsi="Times New Roman"/>
          <w:color w:val="000000" w:themeColor="text1"/>
          <w14:textFill>
            <w14:solidFill>
              <w14:schemeClr w14:val="tx1"/>
            </w14:solidFill>
          </w14:textFill>
        </w:rPr>
        <w:t xml:space="preserve">章  </w:t>
      </w:r>
      <w:r>
        <w:rPr>
          <w:rFonts w:hint="eastAsia" w:ascii="Times New Roman" w:hAnsi="Times New Roman"/>
          <w:color w:val="000000" w:themeColor="text1"/>
          <w14:textFill>
            <w14:solidFill>
              <w14:schemeClr w14:val="tx1"/>
            </w14:solidFill>
          </w14:textFill>
        </w:rPr>
        <w:t>与企业交换的意见</w:t>
      </w:r>
      <w:bookmarkEnd w:id="800"/>
    </w:p>
    <w:p w14:paraId="5B58F4C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cs="Times New Roman" w:asciiTheme="minorEastAsia" w:hAnsiTheme="minorEastAsia" w:eastAsiaTheme="minorEastAsia"/>
          <w:b w:val="0"/>
          <w:bCs/>
          <w:color w:val="000000" w:themeColor="text1"/>
          <w:kern w:val="2"/>
          <w:sz w:val="28"/>
          <w:szCs w:val="28"/>
          <w:lang w:val="en-US" w:eastAsia="zh-CN" w:bidi="ar-SA"/>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评价组通过对项目的现场实地调查和评价，在现场向企业负责人指出不符合项目，建议企业今后进行完善，企业已根据评价组出具的意见完成了整改，出具了整改报告。企业应加强《中华人民共和国安全生产法》及其他有关安全生产的法律、法规的学习，加强安全管理，定期组织应急演练，完善演练记录，加强员工的安全教育培训，完善培训记录，制定有限空间作业现场处置方案，按规定组织演练，并进行演练效果评估。尽快创建安全生产标准化，提高安全生产水平，确保安全生产。企业负责人表示会加强有关安全生产的法律、法规的学习，</w:t>
      </w:r>
      <w:r>
        <w:rPr>
          <w:rFonts w:hint="eastAsia" w:asciiTheme="minorEastAsia" w:hAnsiTheme="minorEastAsia" w:eastAsiaTheme="minorEastAsia"/>
          <w:color w:val="0000FF"/>
          <w:sz w:val="28"/>
          <w:szCs w:val="28"/>
          <w:lang w:val="en-US" w:eastAsia="zh-CN"/>
        </w:rPr>
        <w:t>尽快</w:t>
      </w:r>
      <w:r>
        <w:rPr>
          <w:rFonts w:hint="eastAsia" w:asciiTheme="minorEastAsia" w:hAnsiTheme="minorEastAsia" w:eastAsiaTheme="minorEastAsia"/>
          <w:color w:val="0000FF"/>
          <w:sz w:val="28"/>
          <w:szCs w:val="28"/>
        </w:rPr>
        <w:t>依法参加工伤保险，为从业人员缴纳保险费。</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加强安全管理，进一步完善应急演练、安全教育培训、安全管理制度建设等管理内容，进一步抓好现场管理，</w:t>
      </w:r>
      <w:r>
        <w:rPr>
          <w:rFonts w:hint="eastAsia" w:cs="Times New Roman" w:asciiTheme="minorEastAsia" w:hAnsiTheme="minorEastAsia" w:eastAsiaTheme="minorEastAsia"/>
          <w:b w:val="0"/>
          <w:bCs/>
          <w:color w:val="000000" w:themeColor="text1"/>
          <w:kern w:val="2"/>
          <w:sz w:val="28"/>
          <w:szCs w:val="28"/>
          <w:lang w:val="en-US" w:eastAsia="zh-CN" w:bidi="ar-SA"/>
          <w14:textFill>
            <w14:solidFill>
              <w14:schemeClr w14:val="tx1"/>
            </w14:solidFill>
          </w14:textFill>
        </w:rPr>
        <w:t>完善各类安全管理台账资料，进一步提高安全生产水平。</w:t>
      </w:r>
    </w:p>
    <w:p w14:paraId="5AE4CA88">
      <w:pPr>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br w:type="page"/>
      </w:r>
    </w:p>
    <w:p w14:paraId="4E867BB9">
      <w:pPr>
        <w:pStyle w:val="4"/>
        <w:spacing w:beforeLines="50" w:afterLines="50" w:line="500" w:lineRule="exact"/>
        <w:rPr>
          <w:rFonts w:ascii="宋体" w:hAnsi="宋体" w:eastAsia="宋体" w:cs="宋体"/>
          <w:color w:val="000000" w:themeColor="text1"/>
          <w:sz w:val="28"/>
          <w:szCs w:val="28"/>
          <w14:textFill>
            <w14:solidFill>
              <w14:schemeClr w14:val="tx1"/>
            </w14:solidFill>
          </w14:textFill>
        </w:rPr>
      </w:pPr>
      <w:bookmarkStart w:id="801" w:name="_Toc314238312"/>
      <w:bookmarkStart w:id="802" w:name="_Toc24852"/>
      <w:bookmarkStart w:id="803" w:name="_Toc2637"/>
      <w:bookmarkStart w:id="804" w:name="_Toc9127"/>
      <w:r>
        <w:rPr>
          <w:rFonts w:hint="eastAsia" w:ascii="宋体" w:hAnsi="宋体" w:eastAsia="宋体" w:cs="宋体"/>
          <w:color w:val="000000" w:themeColor="text1"/>
          <w:sz w:val="28"/>
          <w:szCs w:val="28"/>
          <w14:textFill>
            <w14:solidFill>
              <w14:schemeClr w14:val="tx1"/>
            </w14:solidFill>
          </w14:textFill>
        </w:rPr>
        <w:t>附件</w:t>
      </w:r>
      <w:bookmarkEnd w:id="801"/>
      <w:bookmarkEnd w:id="802"/>
      <w:bookmarkEnd w:id="803"/>
    </w:p>
    <w:p w14:paraId="4EBD7FC7">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1.委托书、承诺书</w:t>
      </w:r>
    </w:p>
    <w:p w14:paraId="4936E500">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2.营业执照</w:t>
      </w:r>
    </w:p>
    <w:p w14:paraId="107E88C4">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3.投资备案证</w:t>
      </w:r>
    </w:p>
    <w:p w14:paraId="3523747B">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4.土地租用合同</w:t>
      </w:r>
    </w:p>
    <w:p w14:paraId="5FB9F1EB">
      <w:pPr>
        <w:pStyle w:val="71"/>
        <w:adjustRightInd/>
        <w:spacing w:line="500" w:lineRule="exact"/>
        <w:ind w:firstLine="560" w:firstLineChars="200"/>
        <w:rPr>
          <w:rFonts w:hint="default" w:ascii="宋体" w:hAnsi="宋体" w:eastAsia="宋体" w:cs="宋体"/>
          <w:b w:val="0"/>
          <w:bCs/>
          <w:color w:val="000000" w:themeColor="text1"/>
          <w:sz w:val="28"/>
          <w:szCs w:val="28"/>
          <w:lang w:val="en-US"/>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5.安全领导小组成立文件、安全</w:t>
      </w:r>
      <w:r>
        <w:rPr>
          <w:rFonts w:hint="eastAsia" w:ascii="宋体" w:hAnsi="宋体" w:eastAsia="宋体" w:cs="宋体"/>
          <w:b w:val="0"/>
          <w:bCs/>
          <w:color w:val="000000" w:themeColor="text1"/>
          <w:sz w:val="28"/>
          <w:szCs w:val="28"/>
          <w:lang w:val="en-US" w:eastAsia="zh-CN"/>
          <w14:textFill>
            <w14:solidFill>
              <w14:schemeClr w14:val="tx1"/>
            </w14:solidFill>
          </w14:textFill>
        </w:rPr>
        <w:t>管理人员任命文件</w:t>
      </w:r>
    </w:p>
    <w:p w14:paraId="1D20684D">
      <w:pPr>
        <w:pStyle w:val="71"/>
        <w:adjustRightInd/>
        <w:spacing w:line="500" w:lineRule="exact"/>
        <w:ind w:firstLine="560" w:firstLineChars="200"/>
        <w:rPr>
          <w:rFonts w:hint="eastAsia"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6</w:t>
      </w:r>
      <w:r>
        <w:rPr>
          <w:rFonts w:hint="eastAsia" w:ascii="宋体" w:hAnsi="宋体" w:eastAsia="宋体" w:cs="宋体"/>
          <w:b w:val="0"/>
          <w:bCs/>
          <w:color w:val="000000" w:themeColor="text1"/>
          <w:sz w:val="28"/>
          <w:szCs w:val="28"/>
          <w14:textFill>
            <w14:solidFill>
              <w14:schemeClr w14:val="tx1"/>
            </w14:solidFill>
          </w14:textFill>
        </w:rPr>
        <w:t>.主要负责人、</w:t>
      </w:r>
      <w:r>
        <w:rPr>
          <w:rFonts w:hint="eastAsia" w:ascii="宋体" w:hAnsi="宋体" w:eastAsia="宋体" w:cs="宋体"/>
          <w:b w:val="0"/>
          <w:bCs/>
          <w:color w:val="000000" w:themeColor="text1"/>
          <w:sz w:val="28"/>
          <w:szCs w:val="28"/>
          <w:lang w:val="en-US" w:eastAsia="zh-CN"/>
          <w14:textFill>
            <w14:solidFill>
              <w14:schemeClr w14:val="tx1"/>
            </w14:solidFill>
          </w14:textFill>
        </w:rPr>
        <w:t xml:space="preserve">安全管理人员合格证复印件  </w:t>
      </w:r>
    </w:p>
    <w:p w14:paraId="389F4158">
      <w:pPr>
        <w:pStyle w:val="71"/>
        <w:adjustRightInd/>
        <w:spacing w:line="500" w:lineRule="exact"/>
        <w:ind w:firstLine="560" w:firstLineChars="200"/>
        <w:rPr>
          <w:rFonts w:hint="default" w:ascii="宋体" w:hAnsi="宋体" w:eastAsia="宋体" w:cs="宋体"/>
          <w:b w:val="0"/>
          <w:bCs/>
          <w:color w:val="000000" w:themeColor="text1"/>
          <w:sz w:val="28"/>
          <w:szCs w:val="28"/>
          <w:lang w:val="en-US" w:eastAsia="zh-CN"/>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7.特种作业操作证复印件</w:t>
      </w:r>
    </w:p>
    <w:p w14:paraId="3DF2A474">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8</w:t>
      </w:r>
      <w:r>
        <w:rPr>
          <w:rFonts w:hint="eastAsia" w:ascii="宋体" w:hAnsi="宋体" w:eastAsia="宋体" w:cs="宋体"/>
          <w:b w:val="0"/>
          <w:bCs/>
          <w:color w:val="000000" w:themeColor="text1"/>
          <w:sz w:val="28"/>
          <w:szCs w:val="28"/>
          <w14:textFill>
            <w14:solidFill>
              <w14:schemeClr w14:val="tx1"/>
            </w14:solidFill>
          </w14:textFill>
        </w:rPr>
        <w:t>.</w:t>
      </w:r>
      <w:r>
        <w:rPr>
          <w:rFonts w:hint="default" w:ascii="宋体" w:hAnsi="宋体" w:eastAsia="宋体" w:cs="宋体"/>
          <w:b w:val="0"/>
          <w:bCs/>
          <w:color w:val="000000" w:themeColor="text1"/>
          <w:sz w:val="28"/>
          <w:szCs w:val="28"/>
          <w14:textFill>
            <w14:solidFill>
              <w14:schemeClr w14:val="tx1"/>
            </w14:solidFill>
          </w14:textFill>
        </w:rPr>
        <w:t>安全管理制度、安全生产责任制、操作规程</w:t>
      </w:r>
      <w:r>
        <w:rPr>
          <w:rFonts w:hint="eastAsia" w:ascii="宋体" w:hAnsi="宋体" w:eastAsia="宋体" w:cs="宋体"/>
          <w:b w:val="0"/>
          <w:bCs/>
          <w:color w:val="000000" w:themeColor="text1"/>
          <w:sz w:val="28"/>
          <w:szCs w:val="28"/>
          <w:lang w:val="en-US" w:eastAsia="zh-CN"/>
          <w14:textFill>
            <w14:solidFill>
              <w14:schemeClr w14:val="tx1"/>
            </w14:solidFill>
          </w14:textFill>
        </w:rPr>
        <w:t>封面、</w:t>
      </w:r>
      <w:r>
        <w:rPr>
          <w:rFonts w:hint="default" w:ascii="宋体" w:hAnsi="宋体" w:eastAsia="宋体" w:cs="宋体"/>
          <w:b w:val="0"/>
          <w:bCs/>
          <w:color w:val="000000" w:themeColor="text1"/>
          <w:sz w:val="28"/>
          <w:szCs w:val="28"/>
          <w14:textFill>
            <w14:solidFill>
              <w14:schemeClr w14:val="tx1"/>
            </w14:solidFill>
          </w14:textFill>
        </w:rPr>
        <w:t>目录</w:t>
      </w:r>
    </w:p>
    <w:p w14:paraId="65A4F281">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9</w:t>
      </w:r>
      <w:r>
        <w:rPr>
          <w:rFonts w:hint="eastAsia" w:ascii="宋体" w:hAnsi="宋体" w:eastAsia="宋体" w:cs="宋体"/>
          <w:b w:val="0"/>
          <w:bCs/>
          <w:color w:val="000000" w:themeColor="text1"/>
          <w:sz w:val="28"/>
          <w:szCs w:val="28"/>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团体意外伤害</w:t>
      </w:r>
      <w:r>
        <w:rPr>
          <w:rFonts w:hint="eastAsia" w:ascii="宋体" w:hAnsi="宋体" w:eastAsia="宋体" w:cs="宋体"/>
          <w:b w:val="0"/>
          <w:bCs/>
          <w:color w:val="000000" w:themeColor="text1"/>
          <w:sz w:val="28"/>
          <w:szCs w:val="28"/>
          <w14:textFill>
            <w14:solidFill>
              <w14:schemeClr w14:val="tx1"/>
            </w14:solidFill>
          </w14:textFill>
        </w:rPr>
        <w:t>保险凭证</w:t>
      </w:r>
    </w:p>
    <w:p w14:paraId="5AB6D152">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10.</w:t>
      </w:r>
      <w:r>
        <w:rPr>
          <w:rFonts w:hint="eastAsia" w:ascii="宋体" w:hAnsi="宋体" w:eastAsia="宋体" w:cs="宋体"/>
          <w:b w:val="0"/>
          <w:bCs/>
          <w:color w:val="000000" w:themeColor="text1"/>
          <w:sz w:val="28"/>
          <w:szCs w:val="28"/>
          <w14:textFill>
            <w14:solidFill>
              <w14:schemeClr w14:val="tx1"/>
            </w14:solidFill>
          </w14:textFill>
        </w:rPr>
        <w:t>购买工伤保险承诺</w:t>
      </w:r>
    </w:p>
    <w:p w14:paraId="3D9CB12C">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lang w:val="en-US" w:eastAsia="zh-CN"/>
          <w14:textFill>
            <w14:solidFill>
              <w14:schemeClr w14:val="tx1"/>
            </w14:solidFill>
          </w14:textFill>
        </w:rPr>
        <w:t>11</w:t>
      </w:r>
      <w:r>
        <w:rPr>
          <w:rFonts w:hint="eastAsia" w:ascii="宋体" w:hAnsi="宋体" w:eastAsia="宋体" w:cs="宋体"/>
          <w:b w:val="0"/>
          <w:bCs/>
          <w:color w:val="000000" w:themeColor="text1"/>
          <w:sz w:val="28"/>
          <w:szCs w:val="28"/>
          <w14:textFill>
            <w14:solidFill>
              <w14:schemeClr w14:val="tx1"/>
            </w14:solidFill>
          </w14:textFill>
        </w:rPr>
        <w:t>.劳动防护用品发放记录</w:t>
      </w:r>
    </w:p>
    <w:p w14:paraId="279422CE">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1</w:t>
      </w:r>
      <w:r>
        <w:rPr>
          <w:rFonts w:hint="eastAsia" w:ascii="宋体" w:hAnsi="宋体" w:cs="宋体"/>
          <w:b w:val="0"/>
          <w:bCs/>
          <w:color w:val="000000" w:themeColor="text1"/>
          <w:sz w:val="28"/>
          <w:szCs w:val="28"/>
          <w:lang w:val="en-US" w:eastAsia="zh-CN"/>
          <w14:textFill>
            <w14:solidFill>
              <w14:schemeClr w14:val="tx1"/>
            </w14:solidFill>
          </w14:textFill>
        </w:rPr>
        <w:t>2</w:t>
      </w:r>
      <w:r>
        <w:rPr>
          <w:rFonts w:hint="eastAsia" w:ascii="宋体" w:hAnsi="宋体" w:eastAsia="宋体" w:cs="宋体"/>
          <w:b w:val="0"/>
          <w:bCs/>
          <w:color w:val="000000" w:themeColor="text1"/>
          <w:sz w:val="28"/>
          <w:szCs w:val="28"/>
          <w14:textFill>
            <w14:solidFill>
              <w14:schemeClr w14:val="tx1"/>
            </w14:solidFill>
          </w14:textFill>
        </w:rPr>
        <w:t>.安全培训记录</w:t>
      </w:r>
    </w:p>
    <w:p w14:paraId="58F57DA8">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1</w:t>
      </w:r>
      <w:r>
        <w:rPr>
          <w:rFonts w:hint="eastAsia" w:ascii="宋体" w:hAnsi="宋体" w:cs="宋体"/>
          <w:b w:val="0"/>
          <w:bCs/>
          <w:color w:val="000000" w:themeColor="text1"/>
          <w:sz w:val="28"/>
          <w:szCs w:val="28"/>
          <w:lang w:val="en-US" w:eastAsia="zh-CN"/>
          <w14:textFill>
            <w14:solidFill>
              <w14:schemeClr w14:val="tx1"/>
            </w14:solidFill>
          </w14:textFill>
        </w:rPr>
        <w:t>3</w:t>
      </w:r>
      <w:r>
        <w:rPr>
          <w:rFonts w:hint="eastAsia" w:ascii="宋体" w:hAnsi="宋体" w:eastAsia="宋体" w:cs="宋体"/>
          <w:b w:val="0"/>
          <w:bCs/>
          <w:color w:val="000000" w:themeColor="text1"/>
          <w:sz w:val="28"/>
          <w:szCs w:val="28"/>
          <w14:textFill>
            <w14:solidFill>
              <w14:schemeClr w14:val="tx1"/>
            </w14:solidFill>
          </w14:textFill>
        </w:rPr>
        <w:t>.特种设备使用登记证、检验报告</w:t>
      </w:r>
    </w:p>
    <w:p w14:paraId="44618B5A">
      <w:pPr>
        <w:pStyle w:val="71"/>
        <w:adjustRightInd/>
        <w:spacing w:line="500" w:lineRule="exact"/>
        <w:ind w:firstLine="560" w:firstLineChars="200"/>
        <w:rPr>
          <w:rFonts w:hint="default"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1</w:t>
      </w:r>
      <w:r>
        <w:rPr>
          <w:rFonts w:hint="eastAsia" w:ascii="宋体" w:hAnsi="宋体" w:cs="宋体"/>
          <w:b w:val="0"/>
          <w:bCs/>
          <w:color w:val="000000" w:themeColor="text1"/>
          <w:sz w:val="28"/>
          <w:szCs w:val="28"/>
          <w:lang w:val="en-US" w:eastAsia="zh-CN"/>
          <w14:textFill>
            <w14:solidFill>
              <w14:schemeClr w14:val="tx1"/>
            </w14:solidFill>
          </w14:textFill>
        </w:rPr>
        <w:t>4</w:t>
      </w:r>
      <w:r>
        <w:rPr>
          <w:rFonts w:hint="eastAsia" w:ascii="宋体" w:hAnsi="宋体" w:eastAsia="宋体" w:cs="宋体"/>
          <w:b w:val="0"/>
          <w:bCs/>
          <w:color w:val="000000" w:themeColor="text1"/>
          <w:sz w:val="28"/>
          <w:szCs w:val="28"/>
          <w14:textFill>
            <w14:solidFill>
              <w14:schemeClr w14:val="tx1"/>
            </w14:solidFill>
          </w14:textFill>
        </w:rPr>
        <w:t>.</w:t>
      </w:r>
      <w:r>
        <w:rPr>
          <w:rFonts w:hint="eastAsia" w:ascii="宋体" w:hAnsi="宋体" w:eastAsia="宋体" w:cs="宋体"/>
          <w:b w:val="0"/>
          <w:bCs/>
          <w:color w:val="000000" w:themeColor="text1"/>
          <w:sz w:val="28"/>
          <w:szCs w:val="28"/>
          <w:lang w:eastAsia="zh-CN"/>
          <w14:textFill>
            <w14:solidFill>
              <w14:schemeClr w14:val="tx1"/>
            </w14:solidFill>
          </w14:textFill>
        </w:rPr>
        <w:t>生产安全事故</w:t>
      </w:r>
      <w:r>
        <w:rPr>
          <w:rFonts w:hint="default" w:ascii="宋体" w:hAnsi="宋体" w:eastAsia="宋体" w:cs="宋体"/>
          <w:b w:val="0"/>
          <w:bCs/>
          <w:color w:val="000000" w:themeColor="text1"/>
          <w:sz w:val="28"/>
          <w:szCs w:val="28"/>
          <w14:textFill>
            <w14:solidFill>
              <w14:schemeClr w14:val="tx1"/>
            </w14:solidFill>
          </w14:textFill>
        </w:rPr>
        <w:t>应急预案封面及备案登记表</w:t>
      </w:r>
    </w:p>
    <w:p w14:paraId="7068534B">
      <w:pPr>
        <w:pStyle w:val="71"/>
        <w:adjustRightInd/>
        <w:spacing w:line="500" w:lineRule="exact"/>
        <w:ind w:firstLine="560" w:firstLineChars="200"/>
        <w:rPr>
          <w:rFonts w:hint="default"/>
          <w:color w:val="000000" w:themeColor="text1"/>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1</w:t>
      </w:r>
      <w:r>
        <w:rPr>
          <w:rFonts w:hint="eastAsia" w:ascii="宋体" w:hAnsi="宋体" w:eastAsia="宋体" w:cs="宋体"/>
          <w:b w:val="0"/>
          <w:bCs/>
          <w:color w:val="000000" w:themeColor="text1"/>
          <w:sz w:val="28"/>
          <w:szCs w:val="28"/>
          <w:lang w:val="en-US" w:eastAsia="zh-CN"/>
          <w14:textFill>
            <w14:solidFill>
              <w14:schemeClr w14:val="tx1"/>
            </w14:solidFill>
          </w14:textFill>
        </w:rPr>
        <w:t>5</w:t>
      </w:r>
      <w:r>
        <w:rPr>
          <w:rFonts w:hint="eastAsia" w:ascii="宋体" w:hAnsi="宋体" w:eastAsia="宋体" w:cs="宋体"/>
          <w:b w:val="0"/>
          <w:bCs/>
          <w:color w:val="000000" w:themeColor="text1"/>
          <w:sz w:val="28"/>
          <w:szCs w:val="28"/>
          <w14:textFill>
            <w14:solidFill>
              <w14:schemeClr w14:val="tx1"/>
            </w14:solidFill>
          </w14:textFill>
        </w:rPr>
        <w:t>.</w:t>
      </w:r>
      <w:r>
        <w:rPr>
          <w:rFonts w:hint="eastAsia" w:ascii="宋体" w:hAnsi="宋体" w:eastAsia="宋体" w:cs="宋体"/>
          <w:b w:val="0"/>
          <w:bCs/>
          <w:color w:val="000000" w:themeColor="text1"/>
          <w:sz w:val="28"/>
          <w:szCs w:val="28"/>
          <w:lang w:val="en-US" w:eastAsia="zh-CN"/>
          <w14:textFill>
            <w14:solidFill>
              <w14:schemeClr w14:val="tx1"/>
            </w14:solidFill>
          </w14:textFill>
        </w:rPr>
        <w:t>防雷检测</w:t>
      </w:r>
      <w:r>
        <w:rPr>
          <w:rFonts w:hint="eastAsia" w:ascii="宋体" w:hAnsi="宋体" w:eastAsia="宋体" w:cs="宋体"/>
          <w:b w:val="0"/>
          <w:bCs/>
          <w:color w:val="000000" w:themeColor="text1"/>
          <w:sz w:val="28"/>
          <w:szCs w:val="28"/>
          <w14:textFill>
            <w14:solidFill>
              <w14:schemeClr w14:val="tx1"/>
            </w14:solidFill>
          </w14:textFill>
        </w:rPr>
        <w:t>报告</w:t>
      </w:r>
    </w:p>
    <w:p w14:paraId="25240453">
      <w:pPr>
        <w:pStyle w:val="71"/>
        <w:adjustRightInd/>
        <w:spacing w:line="500" w:lineRule="exact"/>
        <w:ind w:firstLine="560" w:firstLineChars="200"/>
        <w:rPr>
          <w:rFonts w:hint="eastAsia" w:ascii="宋体" w:hAnsi="宋体" w:eastAsia="宋体" w:cs="宋体"/>
          <w:b w:val="0"/>
          <w:bCs/>
          <w:color w:val="000000" w:themeColor="text1"/>
          <w:sz w:val="28"/>
          <w:szCs w:val="28"/>
          <w14:textFill>
            <w14:solidFill>
              <w14:schemeClr w14:val="tx1"/>
            </w14:solidFill>
          </w14:textFill>
        </w:rPr>
      </w:pPr>
      <w:r>
        <w:rPr>
          <w:rFonts w:hint="eastAsia" w:ascii="宋体" w:hAnsi="宋体" w:eastAsia="宋体" w:cs="宋体"/>
          <w:b w:val="0"/>
          <w:bCs/>
          <w:color w:val="000000" w:themeColor="text1"/>
          <w:sz w:val="28"/>
          <w:szCs w:val="28"/>
          <w14:textFill>
            <w14:solidFill>
              <w14:schemeClr w14:val="tx1"/>
            </w14:solidFill>
          </w14:textFill>
        </w:rPr>
        <w:t>1</w:t>
      </w:r>
      <w:r>
        <w:rPr>
          <w:rFonts w:hint="eastAsia" w:ascii="宋体" w:hAnsi="宋体" w:cs="宋体"/>
          <w:b w:val="0"/>
          <w:bCs/>
          <w:color w:val="000000" w:themeColor="text1"/>
          <w:sz w:val="28"/>
          <w:szCs w:val="28"/>
          <w:lang w:val="en-US" w:eastAsia="zh-CN"/>
          <w14:textFill>
            <w14:solidFill>
              <w14:schemeClr w14:val="tx1"/>
            </w14:solidFill>
          </w14:textFill>
        </w:rPr>
        <w:t>6</w:t>
      </w:r>
      <w:r>
        <w:rPr>
          <w:rFonts w:hint="eastAsia" w:ascii="宋体" w:hAnsi="宋体" w:eastAsia="宋体" w:cs="宋体"/>
          <w:b w:val="0"/>
          <w:bCs/>
          <w:color w:val="000000" w:themeColor="text1"/>
          <w:sz w:val="28"/>
          <w:szCs w:val="28"/>
          <w14:textFill>
            <w14:solidFill>
              <w14:schemeClr w14:val="tx1"/>
            </w14:solidFill>
          </w14:textFill>
        </w:rPr>
        <w:t>.整改报告</w:t>
      </w:r>
    </w:p>
    <w:p w14:paraId="7751828A">
      <w:pPr>
        <w:pStyle w:val="4"/>
        <w:spacing w:beforeLines="50" w:afterLines="50" w:line="500" w:lineRule="exact"/>
        <w:ind w:firstLine="281" w:firstLineChars="100"/>
        <w:rPr>
          <w:rFonts w:ascii="宋体" w:hAnsi="宋体" w:eastAsia="宋体" w:cs="宋体"/>
          <w:color w:val="000000" w:themeColor="text1"/>
          <w:sz w:val="28"/>
          <w:szCs w:val="28"/>
          <w14:textFill>
            <w14:solidFill>
              <w14:schemeClr w14:val="tx1"/>
            </w14:solidFill>
          </w14:textFill>
        </w:rPr>
      </w:pPr>
      <w:bookmarkStart w:id="805" w:name="_Toc464"/>
      <w:r>
        <w:rPr>
          <w:rFonts w:hint="eastAsia" w:ascii="宋体" w:hAnsi="宋体" w:eastAsia="宋体" w:cs="宋体"/>
          <w:color w:val="000000" w:themeColor="text1"/>
          <w:sz w:val="28"/>
          <w:szCs w:val="28"/>
          <w14:textFill>
            <w14:solidFill>
              <w14:schemeClr w14:val="tx1"/>
            </w14:solidFill>
          </w14:textFill>
        </w:rPr>
        <w:t>附图</w:t>
      </w:r>
      <w:bookmarkEnd w:id="804"/>
      <w:bookmarkEnd w:id="805"/>
    </w:p>
    <w:p w14:paraId="68DF1DED">
      <w:pPr>
        <w:ind w:firstLine="560" w:firstLineChars="200"/>
        <w:rPr>
          <w:rFonts w:hint="eastAsia" w:eastAsia="宋体"/>
          <w:color w:val="000000" w:themeColor="text1"/>
          <w:lang w:val="en-US" w:eastAsia="zh-CN"/>
          <w14:textFill>
            <w14:solidFill>
              <w14:schemeClr w14:val="tx1"/>
            </w14:solidFill>
          </w14:textFill>
        </w:rPr>
      </w:pPr>
      <w:r>
        <w:rPr>
          <w:rFonts w:hint="eastAsia" w:hAnsi="宋体" w:cs="宋体"/>
          <w:color w:val="000000" w:themeColor="text1"/>
          <w:sz w:val="28"/>
          <w:szCs w:val="28"/>
          <w14:textFill>
            <w14:solidFill>
              <w14:schemeClr w14:val="tx1"/>
            </w14:solidFill>
          </w14:textFill>
        </w:rPr>
        <w:t>1.总平面布置</w:t>
      </w:r>
      <w:r>
        <w:rPr>
          <w:rFonts w:hint="eastAsia" w:hAnsi="宋体" w:cs="宋体"/>
          <w:color w:val="000000" w:themeColor="text1"/>
          <w:sz w:val="28"/>
          <w:szCs w:val="28"/>
          <w:lang w:val="en-US" w:eastAsia="zh-CN"/>
          <w14:textFill>
            <w14:solidFill>
              <w14:schemeClr w14:val="tx1"/>
            </w14:solidFill>
          </w14:textFill>
        </w:rPr>
        <w:t>图</w:t>
      </w:r>
    </w:p>
    <w:sectPr>
      <w:footerReference r:id="rId9" w:type="default"/>
      <w:pgSz w:w="11906" w:h="16838"/>
      <w:pgMar w:top="1587" w:right="1701" w:bottom="1701" w:left="1701" w:header="851" w:footer="992" w:gutter="0"/>
      <w:pgNumType w:fmt="decimal"/>
      <w:cols w:space="720" w:num="1"/>
      <w:docGrid w:type="lines" w:linePitch="33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monospace">
    <w:altName w:val="Segoe Print"/>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rebuchet MS">
    <w:panose1 w:val="020B0603020202020204"/>
    <w:charset w:val="00"/>
    <w:family w:val="swiss"/>
    <w:pitch w:val="default"/>
    <w:sig w:usb0="00000687" w:usb1="00000000" w:usb2="00000000" w:usb3="00000000" w:csb0="2000009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 w:name="Angsana New">
    <w:altName w:val="Times New Roman"/>
    <w:panose1 w:val="02020603050405020304"/>
    <w:charset w:val="00"/>
    <w:family w:val="roman"/>
    <w:pitch w:val="default"/>
    <w:sig w:usb0="00000000" w:usb1="00000000" w:usb2="00000000" w:usb3="00000000" w:csb0="00010001"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 w:name="FzBookMaker1DlFont10536870998">
    <w:altName w:val="AMGDT"/>
    <w:panose1 w:val="00000000000000000000"/>
    <w:charset w:val="00"/>
    <w:family w:val="auto"/>
    <w:pitch w:val="default"/>
    <w:sig w:usb0="00000000" w:usb1="00000000" w:usb2="00000000" w:usb3="00000000" w:csb0="00000000" w:csb1="00000000"/>
  </w:font>
  <w:font w:name="FzBookMaker3DlFont30536870999">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FzBookMaker2DlFont20536870997">
    <w:altName w:val="AMGD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DC10D">
    <w:pPr>
      <w:pStyle w:val="34"/>
      <w:tabs>
        <w:tab w:val="center" w:pos="4252"/>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D5DFA4">
                          <w:pPr>
                            <w:pStyle w:val="34"/>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CD5DFA4">
                    <w:pPr>
                      <w:pStyle w:val="34"/>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1A79C">
    <w:pPr>
      <w:pStyle w:val="34"/>
      <w:tabs>
        <w:tab w:val="center" w:pos="4252"/>
        <w:tab w:val="clear" w:pos="4153"/>
      </w:tabs>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D1022">
                          <w:pPr>
                            <w:pStyle w:val="34"/>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AAD1022">
                    <w:pPr>
                      <w:pStyle w:val="34"/>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昭通市鼎安科技有限公司</w: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6B5AE">
    <w:pPr>
      <w:pStyle w:val="34"/>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FF84A5">
                          <w:pPr>
                            <w:pStyle w:val="34"/>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01FF84A5">
                    <w:pPr>
                      <w:pStyle w:val="34"/>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昭通市鼎安科技有限公司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0B32B">
    <w:pPr>
      <w:pStyle w:val="3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E99DB9">
                          <w:pPr>
                            <w:pStyle w:val="34"/>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6BE99DB9">
                    <w:pPr>
                      <w:pStyle w:val="34"/>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昭通市鼎安</w:t>
    </w:r>
    <w:r>
      <w:rPr>
        <w:rFonts w:hint="eastAsia" w:hAnsi="宋体"/>
      </w:rPr>
      <w:t>科技有限公司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2549A">
    <w:pPr>
      <w:widowControl w:val="0"/>
      <w:tabs>
        <w:tab w:val="center" w:pos="4153"/>
      </w:tabs>
      <w:snapToGrid w:val="0"/>
      <w:spacing w:line="240" w:lineRule="auto"/>
      <w:ind w:firstLine="0" w:firstLineChars="0"/>
      <w:rPr>
        <w:sz w:val="21"/>
        <w:szCs w:val="21"/>
      </w:rPr>
    </w:pPr>
    <w:r>
      <w:rPr>
        <w:sz w:val="21"/>
      </w:rPr>
      <mc:AlternateContent>
        <mc:Choice Requires="wps">
          <w:drawing>
            <wp:anchor distT="0" distB="0" distL="114300" distR="114300" simplePos="0" relativeHeight="251669504" behindDoc="0" locked="0" layoutInCell="1" allowOverlap="1">
              <wp:simplePos x="0" y="0"/>
              <wp:positionH relativeFrom="margin">
                <wp:posOffset>2291080</wp:posOffset>
              </wp:positionH>
              <wp:positionV relativeFrom="paragraph">
                <wp:posOffset>-151130</wp:posOffset>
              </wp:positionV>
              <wp:extent cx="692150" cy="47625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692150"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4B36C9">
                          <w:pPr>
                            <w:pStyle w:val="34"/>
                          </w:pPr>
                          <w:r>
                            <w:t xml:space="preserve">第 </w:t>
                          </w:r>
                          <w:r>
                            <w:fldChar w:fldCharType="begin"/>
                          </w:r>
                          <w:r>
                            <w:instrText xml:space="preserve"> PAGE  \* MERGEFORMAT </w:instrText>
                          </w:r>
                          <w:r>
                            <w:fldChar w:fldCharType="separate"/>
                          </w:r>
                          <w:r>
                            <w:t>13</w:t>
                          </w:r>
                          <w:r>
                            <w:fldChar w:fldCharType="end"/>
                          </w:r>
                          <w: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80.4pt;margin-top:-11.9pt;height:37.5pt;width:54.5pt;mso-position-horizontal-relative:margin;z-index:251669504;mso-width-relative:page;mso-height-relative:page;" filled="f" stroked="f" coordsize="21600,21600" o:gfxdata="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7W7Sv2QAAAAoBAAAPAAAAAAAAAAEAIAAAACIAAABkcnMvZG93bnJl&#10;di54bWxQSwECFAAUAAAACACHTuJAzxjsMzUCAABjBAAADgAAAAAAAAABACAAAAAoAQAAZHJzL2Uy&#10;b0RvYy54bWxQSwUGAAAAAAYABgBZAQAAzwUAAAAA&#10;">
              <v:fill on="f" focussize="0,0"/>
              <v:stroke on="f" weight="0.5pt"/>
              <v:imagedata o:title=""/>
              <o:lock v:ext="edit" aspectratio="f"/>
              <v:textbox inset="0mm,0mm,0mm,0mm">
                <w:txbxContent>
                  <w:p w14:paraId="3A4B36C9">
                    <w:pPr>
                      <w:pStyle w:val="34"/>
                    </w:pPr>
                    <w:r>
                      <w:t xml:space="preserve">第 </w:t>
                    </w:r>
                    <w:r>
                      <w:fldChar w:fldCharType="begin"/>
                    </w:r>
                    <w:r>
                      <w:instrText xml:space="preserve"> PAGE  \* MERGEFORMAT </w:instrText>
                    </w:r>
                    <w:r>
                      <w:fldChar w:fldCharType="separate"/>
                    </w:r>
                    <w:r>
                      <w:t>13</w:t>
                    </w:r>
                    <w:r>
                      <w:fldChar w:fldCharType="end"/>
                    </w:r>
                    <w:r>
                      <w:t xml:space="preserve"> 页</w:t>
                    </w:r>
                  </w:p>
                </w:txbxContent>
              </v:textbox>
            </v:shape>
          </w:pict>
        </mc:Fallback>
      </mc:AlternateContent>
    </w:r>
    <w:r>
      <w:rPr>
        <w:sz w:val="21"/>
        <w:szCs w:val="21"/>
      </w:rPr>
      <w:t>昭通市鼎安科技有限公司</w:t>
    </w:r>
    <w:r>
      <w:rPr>
        <w:rFonts w:ascii="宋体" w:hAnsi="宋体" w:eastAsia="宋体" w:cs="Times New Roman"/>
        <w:kern w:val="2"/>
        <w:sz w:val="18"/>
        <w:szCs w:val="18"/>
        <w:lang w:val="en-US" w:eastAsia="zh-CN" w:bidi="ar-S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75946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759460" cy="1828800"/>
                      </a:xfrm>
                      <a:prstGeom prst="rect">
                        <a:avLst/>
                      </a:prstGeom>
                      <a:noFill/>
                      <a:ln>
                        <a:noFill/>
                      </a:ln>
                    </wps:spPr>
                    <wps:txbx>
                      <w:txbxContent>
                        <w:p w14:paraId="106EBD75">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wps:txbx>
                    <wps:bodyPr wrap="square" lIns="0" tIns="0" rIns="0" bIns="0" upright="0">
                      <a:spAutoFit/>
                    </wps:bodyPr>
                  </wps:wsp>
                </a:graphicData>
              </a:graphic>
            </wp:anchor>
          </w:drawing>
        </mc:Choice>
        <mc:Fallback>
          <w:pict>
            <v:shape id="_x0000_s1026" o:spid="_x0000_s1026" o:spt="202" type="#_x0000_t202" style="position:absolute;left:0pt;margin-top:0pt;height:144pt;width:59.8pt;mso-position-horizontal:center;mso-position-horizontal-relative:margin;z-index:251668480;mso-width-relative:page;mso-height-relative:page;" filled="f" stroked="f" coordsize="21600,21600" o:gfxdata="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&#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JnED4DTAAAABQEAAA8AAAAAAAAAAQAgAAAAIgAAAGRy&#10;cy9kb3ducmV2LnhtbFBLAQIUABQAAAAIAIdO4kBj0myy0QEAAJwDAAAOAAAAAAAAAAEAIAAAACIB&#10;AABkcnMvZTJvRG9jLnhtbFBLBQYAAAAABgAGAFkBAABlBQAAAAA=&#10;">
              <v:fill on="f" focussize="0,0"/>
              <v:stroke on="f"/>
              <v:imagedata o:title=""/>
              <o:lock v:ext="edit" aspectratio="f"/>
              <v:textbox inset="0mm,0mm,0mm,0mm" style="mso-fit-shape-to-text:t;">
                <w:txbxContent>
                  <w:p w14:paraId="106EBD75">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0C313">
    <w:pPr>
      <w:pStyle w:val="3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822F6D">
                          <w:pPr>
                            <w:pStyle w:val="34"/>
                          </w:pPr>
                          <w:r>
                            <w:fldChar w:fldCharType="begin"/>
                          </w:r>
                          <w:r>
                            <w:instrText xml:space="preserve"> PAGE  \* MERGEFORMAT </w:instrText>
                          </w:r>
                          <w:r>
                            <w:fldChar w:fldCharType="separate"/>
                          </w:r>
                          <w:r>
                            <w:t>lxxxii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27822F6D">
                    <w:pPr>
                      <w:pStyle w:val="34"/>
                    </w:pPr>
                    <w:r>
                      <w:fldChar w:fldCharType="begin"/>
                    </w:r>
                    <w:r>
                      <w:instrText xml:space="preserve"> PAGE  \* MERGEFORMAT </w:instrText>
                    </w:r>
                    <w:r>
                      <w:fldChar w:fldCharType="separate"/>
                    </w:r>
                    <w:r>
                      <w:t>lxxxii</w:t>
                    </w:r>
                    <w:r>
                      <w:fldChar w:fldCharType="end"/>
                    </w:r>
                  </w:p>
                </w:txbxContent>
              </v:textbox>
            </v:shape>
          </w:pict>
        </mc:Fallback>
      </mc:AlternateContent>
    </w:r>
    <w:r>
      <w:rPr>
        <w:rFonts w:hint="eastAsia"/>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3227C">
    <w:pPr>
      <w:pStyle w:val="35"/>
      <w:rPr>
        <w:sz w:val="21"/>
        <w:szCs w:val="21"/>
      </w:rPr>
    </w:pPr>
    <w:r>
      <w:rPr>
        <w:rFonts w:hint="eastAsia"/>
        <w:sz w:val="21"/>
        <w:szCs w:val="21"/>
        <w:lang w:val="en-US" w:eastAsia="zh-CN"/>
      </w:rPr>
      <w:t>南华昆轻</w:t>
    </w:r>
    <w:r>
      <w:rPr>
        <w:rFonts w:hint="eastAsia" w:ascii="宋体" w:hAnsi="Times New Roman" w:eastAsia="宋体" w:cs="Times New Roman"/>
        <w:sz w:val="21"/>
        <w:szCs w:val="21"/>
        <w:lang w:val="en-US" w:eastAsia="zh-CN"/>
      </w:rPr>
      <w:t>树脂瓦开发有限公司新型PVC树脂瓦及水泥瓦生产线项目安全现状评价报告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6B644F"/>
    <w:multiLevelType w:val="singleLevel"/>
    <w:tmpl w:val="866B644F"/>
    <w:lvl w:ilvl="0" w:tentative="0">
      <w:start w:val="1"/>
      <w:numFmt w:val="decimal"/>
      <w:suff w:val="nothing"/>
      <w:lvlText w:val="%1．"/>
      <w:lvlJc w:val="left"/>
      <w:pPr>
        <w:ind w:left="0" w:firstLine="400"/>
      </w:pPr>
      <w:rPr>
        <w:rFonts w:hint="default"/>
      </w:rPr>
    </w:lvl>
  </w:abstractNum>
  <w:abstractNum w:abstractNumId="1">
    <w:nsid w:val="992E5E0A"/>
    <w:multiLevelType w:val="singleLevel"/>
    <w:tmpl w:val="992E5E0A"/>
    <w:lvl w:ilvl="0" w:tentative="0">
      <w:start w:val="1"/>
      <w:numFmt w:val="bullet"/>
      <w:pStyle w:val="29"/>
      <w:lvlText w:val=""/>
      <w:lvlJc w:val="left"/>
      <w:pPr>
        <w:tabs>
          <w:tab w:val="left" w:pos="2040"/>
        </w:tabs>
        <w:ind w:left="2040" w:hanging="360"/>
      </w:pPr>
      <w:rPr>
        <w:rFonts w:hint="default" w:ascii="Wingdings" w:hAnsi="Wingdings"/>
      </w:rPr>
    </w:lvl>
  </w:abstractNum>
  <w:abstractNum w:abstractNumId="2">
    <w:nsid w:val="A2C7D846"/>
    <w:multiLevelType w:val="multilevel"/>
    <w:tmpl w:val="A2C7D846"/>
    <w:lvl w:ilvl="0" w:tentative="0">
      <w:start w:val="1"/>
      <w:numFmt w:val="decimal"/>
      <w:suff w:val="nothing"/>
      <w:lvlText w:val="%1"/>
      <w:lvlJc w:val="left"/>
      <w:pPr>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C6C0DB08"/>
    <w:multiLevelType w:val="singleLevel"/>
    <w:tmpl w:val="C6C0DB08"/>
    <w:lvl w:ilvl="0" w:tentative="0">
      <w:start w:val="1"/>
      <w:numFmt w:val="decimal"/>
      <w:suff w:val="nothing"/>
      <w:lvlText w:val="%1．"/>
      <w:lvlJc w:val="left"/>
      <w:pPr>
        <w:ind w:left="0" w:firstLine="400"/>
      </w:pPr>
      <w:rPr>
        <w:rFonts w:hint="default"/>
      </w:rPr>
    </w:lvl>
  </w:abstractNum>
  <w:abstractNum w:abstractNumId="4">
    <w:nsid w:val="DFE98135"/>
    <w:multiLevelType w:val="singleLevel"/>
    <w:tmpl w:val="DFE98135"/>
    <w:lvl w:ilvl="0" w:tentative="0">
      <w:start w:val="1"/>
      <w:numFmt w:val="decimal"/>
      <w:suff w:val="space"/>
      <w:lvlText w:val="(%1)"/>
      <w:lvlJc w:val="left"/>
      <w:pPr>
        <w:ind w:left="425" w:hanging="425"/>
      </w:pPr>
      <w:rPr>
        <w:rFonts w:hint="default"/>
      </w:rPr>
    </w:lvl>
  </w:abstractNum>
  <w:abstractNum w:abstractNumId="5">
    <w:nsid w:val="00000003"/>
    <w:multiLevelType w:val="singleLevel"/>
    <w:tmpl w:val="00000003"/>
    <w:lvl w:ilvl="0" w:tentative="0">
      <w:start w:val="1"/>
      <w:numFmt w:val="decimal"/>
      <w:suff w:val="nothing"/>
      <w:lvlText w:val="%1．"/>
      <w:lvlJc w:val="left"/>
      <w:rPr>
        <w:rFonts w:ascii="宋体" w:hAnsi="宋体" w:eastAsia="宋体"/>
      </w:rPr>
    </w:lvl>
  </w:abstractNum>
  <w:abstractNum w:abstractNumId="6">
    <w:nsid w:val="00000005"/>
    <w:multiLevelType w:val="multilevel"/>
    <w:tmpl w:val="00000005"/>
    <w:lvl w:ilvl="0" w:tentative="0">
      <w:start w:val="1"/>
      <w:numFmt w:val="decimal"/>
      <w:lvlText w:val="%1."/>
      <w:lvlJc w:val="left"/>
      <w:pPr>
        <w:tabs>
          <w:tab w:val="left" w:pos="420"/>
        </w:tabs>
        <w:ind w:left="66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0E"/>
    <w:multiLevelType w:val="multilevel"/>
    <w:tmpl w:val="0000000E"/>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4"/>
    <w:multiLevelType w:val="multilevel"/>
    <w:tmpl w:val="00000014"/>
    <w:lvl w:ilvl="0" w:tentative="0">
      <w:start w:val="1"/>
      <w:numFmt w:val="decimal"/>
      <w:suff w:val="nothing"/>
      <w:lvlText w:val="%1"/>
      <w:lvlJc w:val="center"/>
      <w:pPr>
        <w:ind w:left="180" w:firstLine="0"/>
      </w:pPr>
      <w:rPr>
        <w:rFonts w:hint="eastAsia"/>
      </w:rPr>
    </w:lvl>
    <w:lvl w:ilvl="1" w:tentative="0">
      <w:start w:val="1"/>
      <w:numFmt w:val="lowerLetter"/>
      <w:lvlText w:val="%2)"/>
      <w:lvlJc w:val="left"/>
      <w:pPr>
        <w:tabs>
          <w:tab w:val="left" w:pos="1020"/>
        </w:tabs>
        <w:ind w:left="1020" w:hanging="420"/>
      </w:pPr>
      <w:rPr>
        <w:rFonts w:hint="eastAsia"/>
      </w:rPr>
    </w:lvl>
    <w:lvl w:ilvl="2" w:tentative="0">
      <w:start w:val="1"/>
      <w:numFmt w:val="lowerRoman"/>
      <w:lvlText w:val="%3."/>
      <w:lvlJc w:val="right"/>
      <w:pPr>
        <w:tabs>
          <w:tab w:val="left" w:pos="1440"/>
        </w:tabs>
        <w:ind w:left="1440" w:hanging="420"/>
      </w:pPr>
      <w:rPr>
        <w:rFonts w:hint="eastAsia"/>
      </w:rPr>
    </w:lvl>
    <w:lvl w:ilvl="3" w:tentative="0">
      <w:start w:val="1"/>
      <w:numFmt w:val="decimal"/>
      <w:lvlText w:val="%4."/>
      <w:lvlJc w:val="left"/>
      <w:pPr>
        <w:tabs>
          <w:tab w:val="left" w:pos="1860"/>
        </w:tabs>
        <w:ind w:left="1860" w:hanging="420"/>
      </w:pPr>
      <w:rPr>
        <w:rFonts w:hint="eastAsia"/>
      </w:rPr>
    </w:lvl>
    <w:lvl w:ilvl="4" w:tentative="0">
      <w:start w:val="1"/>
      <w:numFmt w:val="lowerLetter"/>
      <w:lvlText w:val="%5)"/>
      <w:lvlJc w:val="left"/>
      <w:pPr>
        <w:tabs>
          <w:tab w:val="left" w:pos="2280"/>
        </w:tabs>
        <w:ind w:left="2280" w:hanging="420"/>
      </w:pPr>
      <w:rPr>
        <w:rFonts w:hint="eastAsia"/>
      </w:rPr>
    </w:lvl>
    <w:lvl w:ilvl="5" w:tentative="0">
      <w:start w:val="1"/>
      <w:numFmt w:val="lowerRoman"/>
      <w:lvlText w:val="%6."/>
      <w:lvlJc w:val="right"/>
      <w:pPr>
        <w:tabs>
          <w:tab w:val="left" w:pos="2700"/>
        </w:tabs>
        <w:ind w:left="2700" w:hanging="420"/>
      </w:pPr>
      <w:rPr>
        <w:rFonts w:hint="eastAsia"/>
      </w:rPr>
    </w:lvl>
    <w:lvl w:ilvl="6" w:tentative="0">
      <w:start w:val="1"/>
      <w:numFmt w:val="decimal"/>
      <w:lvlText w:val="%7."/>
      <w:lvlJc w:val="left"/>
      <w:pPr>
        <w:tabs>
          <w:tab w:val="left" w:pos="3120"/>
        </w:tabs>
        <w:ind w:left="3120" w:hanging="420"/>
      </w:pPr>
      <w:rPr>
        <w:rFonts w:hint="eastAsia"/>
      </w:rPr>
    </w:lvl>
    <w:lvl w:ilvl="7" w:tentative="0">
      <w:start w:val="1"/>
      <w:numFmt w:val="lowerLetter"/>
      <w:lvlText w:val="%8)"/>
      <w:lvlJc w:val="left"/>
      <w:pPr>
        <w:tabs>
          <w:tab w:val="left" w:pos="3540"/>
        </w:tabs>
        <w:ind w:left="3540" w:hanging="420"/>
      </w:pPr>
      <w:rPr>
        <w:rFonts w:hint="eastAsia"/>
      </w:rPr>
    </w:lvl>
    <w:lvl w:ilvl="8" w:tentative="0">
      <w:start w:val="1"/>
      <w:numFmt w:val="lowerRoman"/>
      <w:lvlText w:val="%9."/>
      <w:lvlJc w:val="right"/>
      <w:pPr>
        <w:tabs>
          <w:tab w:val="left" w:pos="3960"/>
        </w:tabs>
        <w:ind w:left="3960" w:hanging="420"/>
      </w:pPr>
      <w:rPr>
        <w:rFonts w:hint="eastAsia"/>
      </w:rPr>
    </w:lvl>
  </w:abstractNum>
  <w:abstractNum w:abstractNumId="9">
    <w:nsid w:val="0000001A"/>
    <w:multiLevelType w:val="multilevel"/>
    <w:tmpl w:val="0000001A"/>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20"/>
    <w:multiLevelType w:val="multilevel"/>
    <w:tmpl w:val="00000020"/>
    <w:lvl w:ilvl="0" w:tentative="0">
      <w:start w:val="1"/>
      <w:numFmt w:val="decimal"/>
      <w:pStyle w:val="246"/>
      <w:lvlText w:val="%1）"/>
      <w:lvlJc w:val="left"/>
      <w:pPr>
        <w:tabs>
          <w:tab w:val="left" w:pos="0"/>
        </w:tabs>
        <w:ind w:left="0" w:firstLine="420"/>
      </w:pPr>
      <w:rPr>
        <w:rFonts w:hint="default" w:ascii="Times New Roman" w:hAnsi="Times New Roman" w:eastAsia="仿宋_GB2312"/>
        <w:b w:val="0"/>
        <w:i w:val="0"/>
        <w:color w:val="auto"/>
        <w:sz w:val="28"/>
        <w:szCs w:val="28"/>
      </w:rPr>
    </w:lvl>
    <w:lvl w:ilvl="1" w:tentative="0">
      <w:start w:val="1"/>
      <w:numFmt w:val="decimal"/>
      <w:lvlText w:val="（%2）"/>
      <w:lvlJc w:val="left"/>
      <w:pPr>
        <w:tabs>
          <w:tab w:val="left" w:pos="1980"/>
        </w:tabs>
        <w:ind w:left="198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23"/>
    <w:multiLevelType w:val="multilevel"/>
    <w:tmpl w:val="00000023"/>
    <w:lvl w:ilvl="0" w:tentative="0">
      <w:start w:val="1"/>
      <w:numFmt w:val="decimal"/>
      <w:lvlText w:val="%1."/>
      <w:lvlJc w:val="left"/>
      <w:pPr>
        <w:tabs>
          <w:tab w:val="left" w:pos="5665"/>
        </w:tabs>
        <w:ind w:left="5665" w:hanging="420"/>
      </w:pPr>
      <w:rPr>
        <w:rFonts w:hint="default" w:ascii="宋体" w:hAnsi="宋体" w:eastAsia="宋体" w:cs="宋体"/>
        <w:sz w:val="28"/>
        <w:szCs w:val="28"/>
      </w:rPr>
    </w:lvl>
    <w:lvl w:ilvl="1" w:tentative="0">
      <w:start w:val="1"/>
      <w:numFmt w:val="decimal"/>
      <w:lvlText w:val="%2．"/>
      <w:lvlJc w:val="left"/>
      <w:pPr>
        <w:tabs>
          <w:tab w:val="left" w:pos="6025"/>
        </w:tabs>
        <w:ind w:left="6025" w:hanging="360"/>
      </w:pPr>
      <w:rPr>
        <w:rFonts w:hint="default"/>
      </w:rPr>
    </w:lvl>
    <w:lvl w:ilvl="2" w:tentative="0">
      <w:start w:val="1"/>
      <w:numFmt w:val="decimal"/>
      <w:lvlText w:val="%3、"/>
      <w:lvlJc w:val="left"/>
      <w:pPr>
        <w:tabs>
          <w:tab w:val="left" w:pos="6805"/>
        </w:tabs>
        <w:ind w:left="6805" w:hanging="720"/>
      </w:pPr>
      <w:rPr>
        <w:rFonts w:hint="default"/>
      </w:rPr>
    </w:lvl>
    <w:lvl w:ilvl="3" w:tentative="0">
      <w:start w:val="1"/>
      <w:numFmt w:val="decimal"/>
      <w:lvlText w:val="%4."/>
      <w:lvlJc w:val="left"/>
      <w:pPr>
        <w:tabs>
          <w:tab w:val="left" w:pos="6925"/>
        </w:tabs>
        <w:ind w:left="6925" w:hanging="420"/>
      </w:pPr>
      <w:rPr>
        <w:rFonts w:hint="eastAsia"/>
      </w:rPr>
    </w:lvl>
    <w:lvl w:ilvl="4" w:tentative="0">
      <w:start w:val="1"/>
      <w:numFmt w:val="lowerLetter"/>
      <w:lvlText w:val="%5)"/>
      <w:lvlJc w:val="left"/>
      <w:pPr>
        <w:tabs>
          <w:tab w:val="left" w:pos="7345"/>
        </w:tabs>
        <w:ind w:left="7345" w:hanging="420"/>
      </w:pPr>
      <w:rPr>
        <w:rFonts w:hint="eastAsia"/>
      </w:rPr>
    </w:lvl>
    <w:lvl w:ilvl="5" w:tentative="0">
      <w:start w:val="1"/>
      <w:numFmt w:val="lowerRoman"/>
      <w:lvlText w:val="%6."/>
      <w:lvlJc w:val="right"/>
      <w:pPr>
        <w:tabs>
          <w:tab w:val="left" w:pos="7765"/>
        </w:tabs>
        <w:ind w:left="7765" w:hanging="420"/>
      </w:pPr>
      <w:rPr>
        <w:rFonts w:hint="eastAsia"/>
      </w:rPr>
    </w:lvl>
    <w:lvl w:ilvl="6" w:tentative="0">
      <w:start w:val="1"/>
      <w:numFmt w:val="decimal"/>
      <w:lvlText w:val="%7."/>
      <w:lvlJc w:val="left"/>
      <w:pPr>
        <w:tabs>
          <w:tab w:val="left" w:pos="8185"/>
        </w:tabs>
        <w:ind w:left="8185" w:hanging="420"/>
      </w:pPr>
      <w:rPr>
        <w:rFonts w:hint="eastAsia"/>
      </w:rPr>
    </w:lvl>
    <w:lvl w:ilvl="7" w:tentative="0">
      <w:start w:val="1"/>
      <w:numFmt w:val="lowerLetter"/>
      <w:lvlText w:val="%8)"/>
      <w:lvlJc w:val="left"/>
      <w:pPr>
        <w:tabs>
          <w:tab w:val="left" w:pos="8605"/>
        </w:tabs>
        <w:ind w:left="8605" w:hanging="420"/>
      </w:pPr>
      <w:rPr>
        <w:rFonts w:hint="eastAsia"/>
      </w:rPr>
    </w:lvl>
    <w:lvl w:ilvl="8" w:tentative="0">
      <w:start w:val="1"/>
      <w:numFmt w:val="lowerRoman"/>
      <w:lvlText w:val="%9."/>
      <w:lvlJc w:val="right"/>
      <w:pPr>
        <w:tabs>
          <w:tab w:val="left" w:pos="9025"/>
        </w:tabs>
        <w:ind w:left="9025" w:hanging="420"/>
      </w:pPr>
      <w:rPr>
        <w:rFonts w:hint="eastAsia"/>
      </w:rPr>
    </w:lvl>
  </w:abstractNum>
  <w:abstractNum w:abstractNumId="12">
    <w:nsid w:val="0CA2892E"/>
    <w:multiLevelType w:val="singleLevel"/>
    <w:tmpl w:val="0CA2892E"/>
    <w:lvl w:ilvl="0" w:tentative="0">
      <w:start w:val="1"/>
      <w:numFmt w:val="decimal"/>
      <w:suff w:val="nothing"/>
      <w:lvlText w:val="%1．"/>
      <w:lvlJc w:val="left"/>
      <w:pPr>
        <w:ind w:left="0" w:firstLine="400"/>
      </w:pPr>
      <w:rPr>
        <w:rFonts w:hint="default"/>
      </w:rPr>
    </w:lvl>
  </w:abstractNum>
  <w:abstractNum w:abstractNumId="13">
    <w:nsid w:val="140B64ED"/>
    <w:multiLevelType w:val="singleLevel"/>
    <w:tmpl w:val="140B64ED"/>
    <w:lvl w:ilvl="0" w:tentative="0">
      <w:start w:val="1"/>
      <w:numFmt w:val="decimal"/>
      <w:suff w:val="nothing"/>
      <w:lvlText w:val="%1．"/>
      <w:lvlJc w:val="left"/>
      <w:pPr>
        <w:ind w:left="0" w:firstLine="400"/>
      </w:pPr>
      <w:rPr>
        <w:rFonts w:hint="default"/>
      </w:rPr>
    </w:lvl>
  </w:abstractNum>
  <w:abstractNum w:abstractNumId="14">
    <w:nsid w:val="168DFD9A"/>
    <w:multiLevelType w:val="singleLevel"/>
    <w:tmpl w:val="168DFD9A"/>
    <w:lvl w:ilvl="0" w:tentative="0">
      <w:start w:val="1"/>
      <w:numFmt w:val="decimal"/>
      <w:suff w:val="nothing"/>
      <w:lvlText w:val="%1．"/>
      <w:lvlJc w:val="left"/>
      <w:pPr>
        <w:ind w:left="0" w:firstLine="400"/>
      </w:pPr>
      <w:rPr>
        <w:rFonts w:hint="default"/>
      </w:rPr>
    </w:lvl>
  </w:abstractNum>
  <w:abstractNum w:abstractNumId="15">
    <w:nsid w:val="1A5409BF"/>
    <w:multiLevelType w:val="singleLevel"/>
    <w:tmpl w:val="1A5409BF"/>
    <w:lvl w:ilvl="0" w:tentative="0">
      <w:start w:val="1"/>
      <w:numFmt w:val="decimal"/>
      <w:suff w:val="nothing"/>
      <w:lvlText w:val="%1．"/>
      <w:lvlJc w:val="left"/>
      <w:pPr>
        <w:ind w:left="0" w:firstLine="400"/>
      </w:pPr>
      <w:rPr>
        <w:rFonts w:hint="default"/>
      </w:rPr>
    </w:lvl>
  </w:abstractNum>
  <w:abstractNum w:abstractNumId="16">
    <w:nsid w:val="252E1631"/>
    <w:multiLevelType w:val="multilevel"/>
    <w:tmpl w:val="252E163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suff w:val="nothing"/>
      <w:lvlText w:val="%7."/>
      <w:lvlJc w:val="left"/>
      <w:pPr>
        <w:ind w:left="0" w:firstLine="0"/>
      </w:pPr>
      <w:rPr>
        <w:rFonts w:hint="eastAsia"/>
      </w:r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3DB984ED"/>
    <w:multiLevelType w:val="singleLevel"/>
    <w:tmpl w:val="3DB984ED"/>
    <w:lvl w:ilvl="0" w:tentative="0">
      <w:start w:val="1"/>
      <w:numFmt w:val="decimal"/>
      <w:suff w:val="nothing"/>
      <w:lvlText w:val="%1．"/>
      <w:lvlJc w:val="left"/>
      <w:pPr>
        <w:ind w:left="168" w:firstLine="400"/>
      </w:pPr>
      <w:rPr>
        <w:rFonts w:hint="default"/>
      </w:rPr>
    </w:lvl>
  </w:abstractNum>
  <w:abstractNum w:abstractNumId="18">
    <w:nsid w:val="40C4232A"/>
    <w:multiLevelType w:val="singleLevel"/>
    <w:tmpl w:val="40C4232A"/>
    <w:lvl w:ilvl="0" w:tentative="0">
      <w:start w:val="1"/>
      <w:numFmt w:val="decimal"/>
      <w:suff w:val="space"/>
      <w:lvlText w:val="(%1)"/>
      <w:lvlJc w:val="left"/>
      <w:pPr>
        <w:ind w:left="425" w:hanging="425"/>
      </w:pPr>
      <w:rPr>
        <w:rFonts w:hint="default"/>
      </w:rPr>
    </w:lvl>
  </w:abstractNum>
  <w:abstractNum w:abstractNumId="19">
    <w:nsid w:val="4E4DCE24"/>
    <w:multiLevelType w:val="multilevel"/>
    <w:tmpl w:val="4E4DCE24"/>
    <w:lvl w:ilvl="0" w:tentative="0">
      <w:start w:val="1"/>
      <w:numFmt w:val="decimal"/>
      <w:lvlText w:val="%1."/>
      <w:lvlJc w:val="left"/>
      <w:pPr>
        <w:tabs>
          <w:tab w:val="left" w:pos="5665"/>
        </w:tabs>
        <w:ind w:left="5665" w:hanging="420"/>
      </w:pPr>
      <w:rPr>
        <w:rFonts w:hint="default" w:ascii="宋体" w:hAnsi="宋体" w:eastAsia="宋体" w:cs="宋体"/>
        <w:sz w:val="28"/>
        <w:szCs w:val="28"/>
      </w:rPr>
    </w:lvl>
    <w:lvl w:ilvl="1" w:tentative="0">
      <w:start w:val="1"/>
      <w:numFmt w:val="decimal"/>
      <w:lvlText w:val="%2．"/>
      <w:lvlJc w:val="left"/>
      <w:pPr>
        <w:tabs>
          <w:tab w:val="left" w:pos="6025"/>
        </w:tabs>
        <w:ind w:left="6025" w:hanging="360"/>
      </w:pPr>
      <w:rPr>
        <w:rFonts w:hint="default"/>
      </w:rPr>
    </w:lvl>
    <w:lvl w:ilvl="2" w:tentative="0">
      <w:start w:val="1"/>
      <w:numFmt w:val="decimal"/>
      <w:lvlText w:val="%3、"/>
      <w:lvlJc w:val="left"/>
      <w:pPr>
        <w:tabs>
          <w:tab w:val="left" w:pos="6805"/>
        </w:tabs>
        <w:ind w:left="6805" w:hanging="720"/>
      </w:pPr>
      <w:rPr>
        <w:rFonts w:hint="default"/>
      </w:rPr>
    </w:lvl>
    <w:lvl w:ilvl="3" w:tentative="0">
      <w:start w:val="1"/>
      <w:numFmt w:val="decimal"/>
      <w:lvlText w:val="%4."/>
      <w:lvlJc w:val="left"/>
      <w:pPr>
        <w:tabs>
          <w:tab w:val="left" w:pos="6925"/>
        </w:tabs>
        <w:ind w:left="6925" w:hanging="420"/>
      </w:pPr>
      <w:rPr>
        <w:rFonts w:hint="eastAsia"/>
      </w:rPr>
    </w:lvl>
    <w:lvl w:ilvl="4" w:tentative="0">
      <w:start w:val="1"/>
      <w:numFmt w:val="lowerLetter"/>
      <w:lvlText w:val="%5)"/>
      <w:lvlJc w:val="left"/>
      <w:pPr>
        <w:tabs>
          <w:tab w:val="left" w:pos="7345"/>
        </w:tabs>
        <w:ind w:left="7345" w:hanging="420"/>
      </w:pPr>
      <w:rPr>
        <w:rFonts w:hint="eastAsia"/>
      </w:rPr>
    </w:lvl>
    <w:lvl w:ilvl="5" w:tentative="0">
      <w:start w:val="1"/>
      <w:numFmt w:val="lowerRoman"/>
      <w:lvlText w:val="%6."/>
      <w:lvlJc w:val="right"/>
      <w:pPr>
        <w:tabs>
          <w:tab w:val="left" w:pos="7765"/>
        </w:tabs>
        <w:ind w:left="7765" w:hanging="420"/>
      </w:pPr>
      <w:rPr>
        <w:rFonts w:hint="eastAsia"/>
      </w:rPr>
    </w:lvl>
    <w:lvl w:ilvl="6" w:tentative="0">
      <w:start w:val="1"/>
      <w:numFmt w:val="decimal"/>
      <w:lvlText w:val="%7."/>
      <w:lvlJc w:val="left"/>
      <w:pPr>
        <w:tabs>
          <w:tab w:val="left" w:pos="8185"/>
        </w:tabs>
        <w:ind w:left="8185" w:hanging="420"/>
      </w:pPr>
      <w:rPr>
        <w:rFonts w:hint="eastAsia"/>
      </w:rPr>
    </w:lvl>
    <w:lvl w:ilvl="7" w:tentative="0">
      <w:start w:val="1"/>
      <w:numFmt w:val="lowerLetter"/>
      <w:lvlText w:val="%8)"/>
      <w:lvlJc w:val="left"/>
      <w:pPr>
        <w:tabs>
          <w:tab w:val="left" w:pos="8605"/>
        </w:tabs>
        <w:ind w:left="8605" w:hanging="420"/>
      </w:pPr>
      <w:rPr>
        <w:rFonts w:hint="eastAsia"/>
      </w:rPr>
    </w:lvl>
    <w:lvl w:ilvl="8" w:tentative="0">
      <w:start w:val="1"/>
      <w:numFmt w:val="lowerRoman"/>
      <w:lvlText w:val="%9."/>
      <w:lvlJc w:val="right"/>
      <w:pPr>
        <w:tabs>
          <w:tab w:val="left" w:pos="9025"/>
        </w:tabs>
        <w:ind w:left="9025" w:hanging="420"/>
      </w:pPr>
      <w:rPr>
        <w:rFonts w:hint="eastAsia"/>
      </w:rPr>
    </w:lvl>
  </w:abstractNum>
  <w:abstractNum w:abstractNumId="20">
    <w:nsid w:val="54E373E2"/>
    <w:multiLevelType w:val="multilevel"/>
    <w:tmpl w:val="54E373E2"/>
    <w:lvl w:ilvl="0" w:tentative="0">
      <w:start w:val="1"/>
      <w:numFmt w:val="decimal"/>
      <w:suff w:val="nothing"/>
      <w:lvlText w:val="%1."/>
      <w:lvlJc w:val="left"/>
      <w:pPr>
        <w:ind w:left="0" w:firstLine="567"/>
      </w:pPr>
      <w:rPr>
        <w:rFonts w:hint="default" w:ascii="宋体" w:hAnsi="宋体" w:eastAsia="宋体" w:cs="宋体"/>
      </w:rPr>
    </w:lvl>
    <w:lvl w:ilvl="1" w:tentative="0">
      <w:start w:val="1"/>
      <w:numFmt w:val="lowerLetter"/>
      <w:lvlText w:val="%2)"/>
      <w:lvlJc w:val="left"/>
      <w:pPr>
        <w:ind w:left="1407" w:hanging="420"/>
      </w:pPr>
      <w:rPr>
        <w:rFonts w:hint="eastAsia"/>
      </w:rPr>
    </w:lvl>
    <w:lvl w:ilvl="2" w:tentative="0">
      <w:start w:val="1"/>
      <w:numFmt w:val="lowerRoman"/>
      <w:lvlText w:val="%3."/>
      <w:lvlJc w:val="right"/>
      <w:pPr>
        <w:ind w:left="1827" w:hanging="420"/>
      </w:pPr>
      <w:rPr>
        <w:rFonts w:hint="eastAsia"/>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21">
    <w:nsid w:val="56D609D0"/>
    <w:multiLevelType w:val="singleLevel"/>
    <w:tmpl w:val="56D609D0"/>
    <w:lvl w:ilvl="0" w:tentative="0">
      <w:start w:val="1"/>
      <w:numFmt w:val="decimalEnclosedCircleChinese"/>
      <w:suff w:val="nothing"/>
      <w:lvlText w:val="%1　"/>
      <w:lvlJc w:val="left"/>
      <w:pPr>
        <w:ind w:left="0" w:firstLine="400"/>
      </w:pPr>
      <w:rPr>
        <w:rFonts w:hint="eastAsia"/>
      </w:rPr>
    </w:lvl>
  </w:abstractNum>
  <w:abstractNum w:abstractNumId="22">
    <w:nsid w:val="5FF20BB5"/>
    <w:multiLevelType w:val="multilevel"/>
    <w:tmpl w:val="5FF20BB5"/>
    <w:lvl w:ilvl="0" w:tentative="0">
      <w:start w:val="1"/>
      <w:numFmt w:val="decimal"/>
      <w:suff w:val="space"/>
      <w:lvlText w:val="表4-%1"/>
      <w:lvlJc w:val="left"/>
      <w:pPr>
        <w:ind w:left="0" w:firstLine="0"/>
      </w:pPr>
      <w:rPr>
        <w:rFonts w:hint="default" w:ascii="Times New Roman" w:hAnsi="Times New Roman" w:eastAsia="宋体"/>
        <w:b w:val="0"/>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4293BCC"/>
    <w:multiLevelType w:val="multilevel"/>
    <w:tmpl w:val="64293BCC"/>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4">
    <w:nsid w:val="65855B19"/>
    <w:multiLevelType w:val="multilevel"/>
    <w:tmpl w:val="65855B19"/>
    <w:lvl w:ilvl="0" w:tentative="0">
      <w:start w:val="1"/>
      <w:numFmt w:val="decimal"/>
      <w:suff w:val="nothing"/>
      <w:lvlText w:val="%1"/>
      <w:lvlJc w:val="left"/>
      <w:pPr>
        <w:ind w:left="0" w:firstLine="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6BE6238A"/>
    <w:multiLevelType w:val="multilevel"/>
    <w:tmpl w:val="6BE6238A"/>
    <w:lvl w:ilvl="0" w:tentative="0">
      <w:start w:val="1"/>
      <w:numFmt w:val="decimal"/>
      <w:suff w:val="nothing"/>
      <w:lvlText w:val="%1"/>
      <w:lvlJc w:val="left"/>
      <w:pPr>
        <w:ind w:left="0" w:firstLine="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276220"/>
    <w:multiLevelType w:val="multilevel"/>
    <w:tmpl w:val="6C276220"/>
    <w:lvl w:ilvl="0" w:tentative="0">
      <w:start w:val="1"/>
      <w:numFmt w:val="decimal"/>
      <w:suff w:val="nothing"/>
      <w:lvlText w:val="%1."/>
      <w:lvlJc w:val="left"/>
      <w:pPr>
        <w:ind w:left="0" w:firstLine="567"/>
      </w:pPr>
      <w:rPr>
        <w:rFonts w:hint="default" w:ascii="宋体" w:hAnsi="宋体" w:eastAsia="宋体" w:cs="宋体"/>
        <w:sz w:val="28"/>
        <w:szCs w:val="28"/>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27">
    <w:nsid w:val="6F915F1C"/>
    <w:multiLevelType w:val="multilevel"/>
    <w:tmpl w:val="6F915F1C"/>
    <w:lvl w:ilvl="0" w:tentative="0">
      <w:start w:val="1"/>
      <w:numFmt w:val="decimal"/>
      <w:lvlText w:val="%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67E0ED0"/>
    <w:multiLevelType w:val="multilevel"/>
    <w:tmpl w:val="767E0ED0"/>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10"/>
  </w:num>
  <w:num w:numId="3">
    <w:abstractNumId w:val="17"/>
  </w:num>
  <w:num w:numId="4">
    <w:abstractNumId w:val="14"/>
  </w:num>
  <w:num w:numId="5">
    <w:abstractNumId w:val="13"/>
  </w:num>
  <w:num w:numId="6">
    <w:abstractNumId w:val="26"/>
  </w:num>
  <w:num w:numId="7">
    <w:abstractNumId w:val="12"/>
  </w:num>
  <w:num w:numId="8">
    <w:abstractNumId w:val="7"/>
  </w:num>
  <w:num w:numId="9">
    <w:abstractNumId w:val="9"/>
  </w:num>
  <w:num w:numId="10">
    <w:abstractNumId w:val="6"/>
  </w:num>
  <w:num w:numId="11">
    <w:abstractNumId w:val="8"/>
  </w:num>
  <w:num w:numId="12">
    <w:abstractNumId w:val="18"/>
  </w:num>
  <w:num w:numId="13">
    <w:abstractNumId w:val="21"/>
  </w:num>
  <w:num w:numId="14">
    <w:abstractNumId w:val="4"/>
  </w:num>
  <w:num w:numId="15">
    <w:abstractNumId w:val="15"/>
  </w:num>
  <w:num w:numId="16">
    <w:abstractNumId w:val="28"/>
  </w:num>
  <w:num w:numId="17">
    <w:abstractNumId w:val="0"/>
  </w:num>
  <w:num w:numId="18">
    <w:abstractNumId w:val="20"/>
  </w:num>
  <w:num w:numId="19">
    <w:abstractNumId w:val="22"/>
  </w:num>
  <w:num w:numId="20">
    <w:abstractNumId w:val="24"/>
  </w:num>
  <w:num w:numId="21">
    <w:abstractNumId w:val="27"/>
  </w:num>
  <w:num w:numId="22">
    <w:abstractNumId w:val="25"/>
  </w:num>
  <w:num w:numId="23">
    <w:abstractNumId w:val="2"/>
  </w:num>
  <w:num w:numId="24">
    <w:abstractNumId w:val="5"/>
  </w:num>
  <w:num w:numId="25">
    <w:abstractNumId w:val="23"/>
  </w:num>
  <w:num w:numId="26">
    <w:abstractNumId w:val="3"/>
  </w:num>
  <w:num w:numId="27">
    <w:abstractNumId w:val="11"/>
  </w:num>
  <w:num w:numId="28">
    <w:abstractNumId w:val="19"/>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hideSpellingErrors/>
  <w:documentProtection w:enforcement="0"/>
  <w:defaultTabStop w:val="420"/>
  <w:drawingGridHorizontalSpacing w:val="240"/>
  <w:drawingGridVerticalSpacing w:val="165"/>
  <w:displayHorizontalDrawingGridEvery w:val="1"/>
  <w:displayVerticalDrawingGridEvery w:val="1"/>
  <w:noPunctuationKerning w:val="1"/>
  <w:characterSpacingControl w:val="compressPunctuation"/>
  <w:doNotValidateAgainstSchema/>
  <w:doNotDemarcateInvalidXml/>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NmU1OTY3NjI3MzJkNjE2MWQ5NWQzNDQ5ZGE5ODAifQ=="/>
  </w:docVars>
  <w:rsids>
    <w:rsidRoot w:val="00172A27"/>
    <w:rsid w:val="00006998"/>
    <w:rsid w:val="00011BEB"/>
    <w:rsid w:val="000143CE"/>
    <w:rsid w:val="00015AA4"/>
    <w:rsid w:val="00015B9B"/>
    <w:rsid w:val="00033D39"/>
    <w:rsid w:val="00035388"/>
    <w:rsid w:val="00037F16"/>
    <w:rsid w:val="0004299A"/>
    <w:rsid w:val="000610B4"/>
    <w:rsid w:val="0006434A"/>
    <w:rsid w:val="00064C81"/>
    <w:rsid w:val="00064EB2"/>
    <w:rsid w:val="00072B27"/>
    <w:rsid w:val="0008014A"/>
    <w:rsid w:val="0008228B"/>
    <w:rsid w:val="0009074E"/>
    <w:rsid w:val="000954E0"/>
    <w:rsid w:val="000A18AF"/>
    <w:rsid w:val="000A2387"/>
    <w:rsid w:val="000A2CCF"/>
    <w:rsid w:val="000A520F"/>
    <w:rsid w:val="000A7803"/>
    <w:rsid w:val="000B23A6"/>
    <w:rsid w:val="000D23AB"/>
    <w:rsid w:val="000D5390"/>
    <w:rsid w:val="000E03C6"/>
    <w:rsid w:val="000E1AE4"/>
    <w:rsid w:val="000E345A"/>
    <w:rsid w:val="000E5020"/>
    <w:rsid w:val="000E5C5F"/>
    <w:rsid w:val="000F7106"/>
    <w:rsid w:val="001015B6"/>
    <w:rsid w:val="0011146C"/>
    <w:rsid w:val="00160700"/>
    <w:rsid w:val="00172A27"/>
    <w:rsid w:val="001755BE"/>
    <w:rsid w:val="0018057B"/>
    <w:rsid w:val="001944A8"/>
    <w:rsid w:val="00196E91"/>
    <w:rsid w:val="00197933"/>
    <w:rsid w:val="001A2703"/>
    <w:rsid w:val="001B3083"/>
    <w:rsid w:val="001C0913"/>
    <w:rsid w:val="001C2ED8"/>
    <w:rsid w:val="001D5B4F"/>
    <w:rsid w:val="001E6710"/>
    <w:rsid w:val="001F09DF"/>
    <w:rsid w:val="001F5D69"/>
    <w:rsid w:val="001F6F48"/>
    <w:rsid w:val="00204047"/>
    <w:rsid w:val="00214E72"/>
    <w:rsid w:val="00217987"/>
    <w:rsid w:val="00223C4A"/>
    <w:rsid w:val="00225986"/>
    <w:rsid w:val="00237123"/>
    <w:rsid w:val="00246C63"/>
    <w:rsid w:val="00251A66"/>
    <w:rsid w:val="00260F08"/>
    <w:rsid w:val="00265537"/>
    <w:rsid w:val="002661BB"/>
    <w:rsid w:val="00270D65"/>
    <w:rsid w:val="00284A57"/>
    <w:rsid w:val="00297846"/>
    <w:rsid w:val="002A7D93"/>
    <w:rsid w:val="002B7B97"/>
    <w:rsid w:val="002C09B5"/>
    <w:rsid w:val="002D2180"/>
    <w:rsid w:val="002D51A5"/>
    <w:rsid w:val="002E7238"/>
    <w:rsid w:val="002F09D4"/>
    <w:rsid w:val="002F401D"/>
    <w:rsid w:val="0032329B"/>
    <w:rsid w:val="00323885"/>
    <w:rsid w:val="00325284"/>
    <w:rsid w:val="00327FEC"/>
    <w:rsid w:val="003371AB"/>
    <w:rsid w:val="00350136"/>
    <w:rsid w:val="00353D5B"/>
    <w:rsid w:val="003640A7"/>
    <w:rsid w:val="003706BC"/>
    <w:rsid w:val="003858AF"/>
    <w:rsid w:val="00397087"/>
    <w:rsid w:val="003A1F96"/>
    <w:rsid w:val="003B6FD7"/>
    <w:rsid w:val="003D0C2A"/>
    <w:rsid w:val="003E17E6"/>
    <w:rsid w:val="003E4818"/>
    <w:rsid w:val="003F4328"/>
    <w:rsid w:val="003F7E18"/>
    <w:rsid w:val="004051C2"/>
    <w:rsid w:val="00407006"/>
    <w:rsid w:val="00417F32"/>
    <w:rsid w:val="00434F01"/>
    <w:rsid w:val="00436850"/>
    <w:rsid w:val="004378CB"/>
    <w:rsid w:val="004404CC"/>
    <w:rsid w:val="00443CC1"/>
    <w:rsid w:val="00443E56"/>
    <w:rsid w:val="0044573C"/>
    <w:rsid w:val="0045018E"/>
    <w:rsid w:val="00451609"/>
    <w:rsid w:val="004545C5"/>
    <w:rsid w:val="00460F0D"/>
    <w:rsid w:val="004757D3"/>
    <w:rsid w:val="00477680"/>
    <w:rsid w:val="00483D92"/>
    <w:rsid w:val="0048477C"/>
    <w:rsid w:val="004904B4"/>
    <w:rsid w:val="004968C7"/>
    <w:rsid w:val="004A2A83"/>
    <w:rsid w:val="004C32B0"/>
    <w:rsid w:val="004D0AD8"/>
    <w:rsid w:val="004D583E"/>
    <w:rsid w:val="004E21E3"/>
    <w:rsid w:val="004F4166"/>
    <w:rsid w:val="004F5A97"/>
    <w:rsid w:val="005065AA"/>
    <w:rsid w:val="00515485"/>
    <w:rsid w:val="0051778E"/>
    <w:rsid w:val="00526491"/>
    <w:rsid w:val="005411F7"/>
    <w:rsid w:val="00544AB3"/>
    <w:rsid w:val="00553419"/>
    <w:rsid w:val="005634E5"/>
    <w:rsid w:val="0056508E"/>
    <w:rsid w:val="00567437"/>
    <w:rsid w:val="00570C7A"/>
    <w:rsid w:val="0057294C"/>
    <w:rsid w:val="00576E8F"/>
    <w:rsid w:val="00581B39"/>
    <w:rsid w:val="00591CB0"/>
    <w:rsid w:val="005A0120"/>
    <w:rsid w:val="005A3222"/>
    <w:rsid w:val="005D445B"/>
    <w:rsid w:val="005E1F9C"/>
    <w:rsid w:val="005F01F2"/>
    <w:rsid w:val="005F03D0"/>
    <w:rsid w:val="005F3A4B"/>
    <w:rsid w:val="0060058A"/>
    <w:rsid w:val="006025E5"/>
    <w:rsid w:val="00607C2B"/>
    <w:rsid w:val="00614EB6"/>
    <w:rsid w:val="0062600C"/>
    <w:rsid w:val="00642A43"/>
    <w:rsid w:val="006474E3"/>
    <w:rsid w:val="00650B22"/>
    <w:rsid w:val="00655FD9"/>
    <w:rsid w:val="00662EA8"/>
    <w:rsid w:val="00666A5B"/>
    <w:rsid w:val="0067327A"/>
    <w:rsid w:val="00674498"/>
    <w:rsid w:val="00683C0A"/>
    <w:rsid w:val="00691B1D"/>
    <w:rsid w:val="006932DB"/>
    <w:rsid w:val="00694D1A"/>
    <w:rsid w:val="006A2346"/>
    <w:rsid w:val="006A49D1"/>
    <w:rsid w:val="006A6EDC"/>
    <w:rsid w:val="006A728F"/>
    <w:rsid w:val="006E3D40"/>
    <w:rsid w:val="006E5045"/>
    <w:rsid w:val="006F6192"/>
    <w:rsid w:val="00702BEA"/>
    <w:rsid w:val="00703D35"/>
    <w:rsid w:val="007110CE"/>
    <w:rsid w:val="00713E40"/>
    <w:rsid w:val="00730FE3"/>
    <w:rsid w:val="007321D3"/>
    <w:rsid w:val="007327FA"/>
    <w:rsid w:val="00745521"/>
    <w:rsid w:val="00746EC0"/>
    <w:rsid w:val="007479A6"/>
    <w:rsid w:val="00755EF4"/>
    <w:rsid w:val="00756378"/>
    <w:rsid w:val="00761457"/>
    <w:rsid w:val="0076215F"/>
    <w:rsid w:val="00766723"/>
    <w:rsid w:val="0078195B"/>
    <w:rsid w:val="00782F11"/>
    <w:rsid w:val="007862F5"/>
    <w:rsid w:val="00787931"/>
    <w:rsid w:val="0079072F"/>
    <w:rsid w:val="007A44B3"/>
    <w:rsid w:val="007B7D90"/>
    <w:rsid w:val="007C462A"/>
    <w:rsid w:val="007D1143"/>
    <w:rsid w:val="007E7F6F"/>
    <w:rsid w:val="007F2206"/>
    <w:rsid w:val="00805446"/>
    <w:rsid w:val="00810BA7"/>
    <w:rsid w:val="00812882"/>
    <w:rsid w:val="00842672"/>
    <w:rsid w:val="00842840"/>
    <w:rsid w:val="00853783"/>
    <w:rsid w:val="00853F61"/>
    <w:rsid w:val="00855449"/>
    <w:rsid w:val="00856F20"/>
    <w:rsid w:val="0087242D"/>
    <w:rsid w:val="0088517F"/>
    <w:rsid w:val="00895439"/>
    <w:rsid w:val="008B0AD9"/>
    <w:rsid w:val="008B6AA8"/>
    <w:rsid w:val="008B6D0D"/>
    <w:rsid w:val="008C3E45"/>
    <w:rsid w:val="008D2021"/>
    <w:rsid w:val="008D468B"/>
    <w:rsid w:val="008F050D"/>
    <w:rsid w:val="009222AF"/>
    <w:rsid w:val="00940599"/>
    <w:rsid w:val="00942F19"/>
    <w:rsid w:val="00955B61"/>
    <w:rsid w:val="00956514"/>
    <w:rsid w:val="00961FC7"/>
    <w:rsid w:val="009650E6"/>
    <w:rsid w:val="00965890"/>
    <w:rsid w:val="00970A06"/>
    <w:rsid w:val="00972065"/>
    <w:rsid w:val="00977D0B"/>
    <w:rsid w:val="00980477"/>
    <w:rsid w:val="00987505"/>
    <w:rsid w:val="00992C8C"/>
    <w:rsid w:val="009B24BA"/>
    <w:rsid w:val="009B64CB"/>
    <w:rsid w:val="009D1CE6"/>
    <w:rsid w:val="009D20D4"/>
    <w:rsid w:val="009D7320"/>
    <w:rsid w:val="009D7483"/>
    <w:rsid w:val="009E4433"/>
    <w:rsid w:val="009E6509"/>
    <w:rsid w:val="009F4461"/>
    <w:rsid w:val="00A02BF1"/>
    <w:rsid w:val="00A031C2"/>
    <w:rsid w:val="00A0425E"/>
    <w:rsid w:val="00A13FEF"/>
    <w:rsid w:val="00A1626A"/>
    <w:rsid w:val="00A20146"/>
    <w:rsid w:val="00A23BB5"/>
    <w:rsid w:val="00A35E77"/>
    <w:rsid w:val="00A36296"/>
    <w:rsid w:val="00A376CD"/>
    <w:rsid w:val="00A43301"/>
    <w:rsid w:val="00A465FF"/>
    <w:rsid w:val="00A529A5"/>
    <w:rsid w:val="00A530DF"/>
    <w:rsid w:val="00A544FE"/>
    <w:rsid w:val="00A57A90"/>
    <w:rsid w:val="00A62827"/>
    <w:rsid w:val="00A65EA8"/>
    <w:rsid w:val="00A66388"/>
    <w:rsid w:val="00A66CBF"/>
    <w:rsid w:val="00A673D9"/>
    <w:rsid w:val="00A941FA"/>
    <w:rsid w:val="00A9636D"/>
    <w:rsid w:val="00A97D66"/>
    <w:rsid w:val="00AA0E7A"/>
    <w:rsid w:val="00AB0905"/>
    <w:rsid w:val="00AB2651"/>
    <w:rsid w:val="00AB40CF"/>
    <w:rsid w:val="00AC3843"/>
    <w:rsid w:val="00AD09AD"/>
    <w:rsid w:val="00AD16FB"/>
    <w:rsid w:val="00AD31D3"/>
    <w:rsid w:val="00AD3809"/>
    <w:rsid w:val="00AD4A2D"/>
    <w:rsid w:val="00AE0893"/>
    <w:rsid w:val="00AE0B3A"/>
    <w:rsid w:val="00AE44C0"/>
    <w:rsid w:val="00AE57E4"/>
    <w:rsid w:val="00AF4C1A"/>
    <w:rsid w:val="00B02BD5"/>
    <w:rsid w:val="00B03D8B"/>
    <w:rsid w:val="00B141ED"/>
    <w:rsid w:val="00B14B11"/>
    <w:rsid w:val="00B14B66"/>
    <w:rsid w:val="00B21671"/>
    <w:rsid w:val="00B24E07"/>
    <w:rsid w:val="00B25EB4"/>
    <w:rsid w:val="00B3251C"/>
    <w:rsid w:val="00B32A57"/>
    <w:rsid w:val="00B35E9D"/>
    <w:rsid w:val="00B42914"/>
    <w:rsid w:val="00B50860"/>
    <w:rsid w:val="00B508CA"/>
    <w:rsid w:val="00B60C1C"/>
    <w:rsid w:val="00B6332F"/>
    <w:rsid w:val="00B646D6"/>
    <w:rsid w:val="00B7472D"/>
    <w:rsid w:val="00B76CB2"/>
    <w:rsid w:val="00B8198E"/>
    <w:rsid w:val="00B83A30"/>
    <w:rsid w:val="00B922D8"/>
    <w:rsid w:val="00B92AB1"/>
    <w:rsid w:val="00B9523B"/>
    <w:rsid w:val="00B968F1"/>
    <w:rsid w:val="00BA09EA"/>
    <w:rsid w:val="00BA21EA"/>
    <w:rsid w:val="00BA45E8"/>
    <w:rsid w:val="00BA6489"/>
    <w:rsid w:val="00BA77CE"/>
    <w:rsid w:val="00BB2ED8"/>
    <w:rsid w:val="00BB5868"/>
    <w:rsid w:val="00BC1DA7"/>
    <w:rsid w:val="00BE11FD"/>
    <w:rsid w:val="00BE1BB5"/>
    <w:rsid w:val="00BE3BA8"/>
    <w:rsid w:val="00C0077A"/>
    <w:rsid w:val="00C00999"/>
    <w:rsid w:val="00C1110A"/>
    <w:rsid w:val="00C1387E"/>
    <w:rsid w:val="00C16E32"/>
    <w:rsid w:val="00C24145"/>
    <w:rsid w:val="00C277D1"/>
    <w:rsid w:val="00C27FDE"/>
    <w:rsid w:val="00C33C6A"/>
    <w:rsid w:val="00C45AC4"/>
    <w:rsid w:val="00C54DF0"/>
    <w:rsid w:val="00C617ED"/>
    <w:rsid w:val="00C623D7"/>
    <w:rsid w:val="00C62B76"/>
    <w:rsid w:val="00C701FC"/>
    <w:rsid w:val="00C805FE"/>
    <w:rsid w:val="00C84F39"/>
    <w:rsid w:val="00C85CFB"/>
    <w:rsid w:val="00CB2669"/>
    <w:rsid w:val="00CB2BFB"/>
    <w:rsid w:val="00CB3A3A"/>
    <w:rsid w:val="00CC78DB"/>
    <w:rsid w:val="00CC7F51"/>
    <w:rsid w:val="00CD5491"/>
    <w:rsid w:val="00CD781F"/>
    <w:rsid w:val="00CE463D"/>
    <w:rsid w:val="00CE615B"/>
    <w:rsid w:val="00D20610"/>
    <w:rsid w:val="00D4269E"/>
    <w:rsid w:val="00D46FBD"/>
    <w:rsid w:val="00D54656"/>
    <w:rsid w:val="00D551EA"/>
    <w:rsid w:val="00D604FE"/>
    <w:rsid w:val="00D740B1"/>
    <w:rsid w:val="00D77120"/>
    <w:rsid w:val="00D7762F"/>
    <w:rsid w:val="00D87881"/>
    <w:rsid w:val="00D91D05"/>
    <w:rsid w:val="00D95CCA"/>
    <w:rsid w:val="00DA5875"/>
    <w:rsid w:val="00DB1868"/>
    <w:rsid w:val="00DC572B"/>
    <w:rsid w:val="00DC69A9"/>
    <w:rsid w:val="00DC7109"/>
    <w:rsid w:val="00DD7C38"/>
    <w:rsid w:val="00DD7FEB"/>
    <w:rsid w:val="00DE4F09"/>
    <w:rsid w:val="00DF0390"/>
    <w:rsid w:val="00E01A7E"/>
    <w:rsid w:val="00E05B51"/>
    <w:rsid w:val="00E06887"/>
    <w:rsid w:val="00E11DB5"/>
    <w:rsid w:val="00E1404C"/>
    <w:rsid w:val="00E55FF5"/>
    <w:rsid w:val="00E625CC"/>
    <w:rsid w:val="00E860B8"/>
    <w:rsid w:val="00EA0BD2"/>
    <w:rsid w:val="00EA2DC4"/>
    <w:rsid w:val="00EA514F"/>
    <w:rsid w:val="00EA6C70"/>
    <w:rsid w:val="00EB5C4E"/>
    <w:rsid w:val="00EB7535"/>
    <w:rsid w:val="00F005B8"/>
    <w:rsid w:val="00F062A9"/>
    <w:rsid w:val="00F11034"/>
    <w:rsid w:val="00F260C8"/>
    <w:rsid w:val="00F31847"/>
    <w:rsid w:val="00F3393C"/>
    <w:rsid w:val="00F34369"/>
    <w:rsid w:val="00F55394"/>
    <w:rsid w:val="00F576E6"/>
    <w:rsid w:val="00F57B5F"/>
    <w:rsid w:val="00F61EDD"/>
    <w:rsid w:val="00F65CE2"/>
    <w:rsid w:val="00F67AA2"/>
    <w:rsid w:val="00F70E24"/>
    <w:rsid w:val="00F714BA"/>
    <w:rsid w:val="00F91962"/>
    <w:rsid w:val="00F97B1F"/>
    <w:rsid w:val="00FC2249"/>
    <w:rsid w:val="00FC446B"/>
    <w:rsid w:val="00FC53AF"/>
    <w:rsid w:val="00FD245D"/>
    <w:rsid w:val="00FD305C"/>
    <w:rsid w:val="00FD46A2"/>
    <w:rsid w:val="00FD5E43"/>
    <w:rsid w:val="00FE4B7D"/>
    <w:rsid w:val="01041A68"/>
    <w:rsid w:val="01100787"/>
    <w:rsid w:val="01203386"/>
    <w:rsid w:val="015A56E8"/>
    <w:rsid w:val="01686513"/>
    <w:rsid w:val="017E1140"/>
    <w:rsid w:val="01896662"/>
    <w:rsid w:val="018D75B8"/>
    <w:rsid w:val="018F0C57"/>
    <w:rsid w:val="01A55EC7"/>
    <w:rsid w:val="01A957BF"/>
    <w:rsid w:val="02021E22"/>
    <w:rsid w:val="02321934"/>
    <w:rsid w:val="027613FB"/>
    <w:rsid w:val="02802564"/>
    <w:rsid w:val="02804562"/>
    <w:rsid w:val="0282713E"/>
    <w:rsid w:val="028C4DC0"/>
    <w:rsid w:val="02906A49"/>
    <w:rsid w:val="02B52903"/>
    <w:rsid w:val="02C65EE3"/>
    <w:rsid w:val="032E25F6"/>
    <w:rsid w:val="0351020E"/>
    <w:rsid w:val="03830AE2"/>
    <w:rsid w:val="03885E0E"/>
    <w:rsid w:val="03B21148"/>
    <w:rsid w:val="03B253BC"/>
    <w:rsid w:val="03D12E12"/>
    <w:rsid w:val="03DA6992"/>
    <w:rsid w:val="04155891"/>
    <w:rsid w:val="04165713"/>
    <w:rsid w:val="042F3B61"/>
    <w:rsid w:val="0447116D"/>
    <w:rsid w:val="04480A30"/>
    <w:rsid w:val="044B757D"/>
    <w:rsid w:val="04810847"/>
    <w:rsid w:val="0489209E"/>
    <w:rsid w:val="04922D68"/>
    <w:rsid w:val="04955AAA"/>
    <w:rsid w:val="049F0013"/>
    <w:rsid w:val="04AE46C9"/>
    <w:rsid w:val="04BD2FC6"/>
    <w:rsid w:val="04BF17A7"/>
    <w:rsid w:val="04CC794F"/>
    <w:rsid w:val="04D02DDE"/>
    <w:rsid w:val="04EC69E9"/>
    <w:rsid w:val="05007B28"/>
    <w:rsid w:val="05013149"/>
    <w:rsid w:val="050E47A2"/>
    <w:rsid w:val="05182F14"/>
    <w:rsid w:val="051B5A9C"/>
    <w:rsid w:val="05922F3D"/>
    <w:rsid w:val="059670A5"/>
    <w:rsid w:val="05AE2600"/>
    <w:rsid w:val="05DA4531"/>
    <w:rsid w:val="05DD7851"/>
    <w:rsid w:val="05F63529"/>
    <w:rsid w:val="05FC5E54"/>
    <w:rsid w:val="060C7532"/>
    <w:rsid w:val="06191969"/>
    <w:rsid w:val="0625765B"/>
    <w:rsid w:val="06367DD0"/>
    <w:rsid w:val="06464D53"/>
    <w:rsid w:val="0668359C"/>
    <w:rsid w:val="067542EB"/>
    <w:rsid w:val="068E11E5"/>
    <w:rsid w:val="069A2C83"/>
    <w:rsid w:val="06C21663"/>
    <w:rsid w:val="06C62B81"/>
    <w:rsid w:val="06E73EB9"/>
    <w:rsid w:val="06F4797F"/>
    <w:rsid w:val="06F506AF"/>
    <w:rsid w:val="070B34B2"/>
    <w:rsid w:val="071E7015"/>
    <w:rsid w:val="0778601E"/>
    <w:rsid w:val="07903D90"/>
    <w:rsid w:val="07906FC5"/>
    <w:rsid w:val="079C3E00"/>
    <w:rsid w:val="07A1335C"/>
    <w:rsid w:val="07B34AE8"/>
    <w:rsid w:val="07B62903"/>
    <w:rsid w:val="07CD2295"/>
    <w:rsid w:val="08180BAF"/>
    <w:rsid w:val="082B1E7E"/>
    <w:rsid w:val="083263AF"/>
    <w:rsid w:val="083B7DCD"/>
    <w:rsid w:val="0847795F"/>
    <w:rsid w:val="084C5496"/>
    <w:rsid w:val="08530016"/>
    <w:rsid w:val="08733284"/>
    <w:rsid w:val="0874169B"/>
    <w:rsid w:val="087C0779"/>
    <w:rsid w:val="088E5CA1"/>
    <w:rsid w:val="08A31D37"/>
    <w:rsid w:val="08DF5426"/>
    <w:rsid w:val="08ED7E01"/>
    <w:rsid w:val="08F94C8B"/>
    <w:rsid w:val="08FE7CA7"/>
    <w:rsid w:val="09093D4F"/>
    <w:rsid w:val="091142A9"/>
    <w:rsid w:val="09336C5F"/>
    <w:rsid w:val="095E599C"/>
    <w:rsid w:val="09672D58"/>
    <w:rsid w:val="09920739"/>
    <w:rsid w:val="09A47E25"/>
    <w:rsid w:val="09A54EB9"/>
    <w:rsid w:val="09AA4255"/>
    <w:rsid w:val="09AC7F46"/>
    <w:rsid w:val="09B06439"/>
    <w:rsid w:val="09B32C89"/>
    <w:rsid w:val="09BE593A"/>
    <w:rsid w:val="09EF5D47"/>
    <w:rsid w:val="09FF0D49"/>
    <w:rsid w:val="0A043A3E"/>
    <w:rsid w:val="0A5D606F"/>
    <w:rsid w:val="0A6E1B6F"/>
    <w:rsid w:val="0A7D1A76"/>
    <w:rsid w:val="0A9676C0"/>
    <w:rsid w:val="0A9A32E0"/>
    <w:rsid w:val="0A9D6014"/>
    <w:rsid w:val="0AC44A4A"/>
    <w:rsid w:val="0AC57FA1"/>
    <w:rsid w:val="0AE603C2"/>
    <w:rsid w:val="0AEA04A1"/>
    <w:rsid w:val="0AF65D7F"/>
    <w:rsid w:val="0AFB1189"/>
    <w:rsid w:val="0B0D235D"/>
    <w:rsid w:val="0B2A136B"/>
    <w:rsid w:val="0B2D7303"/>
    <w:rsid w:val="0B304DD2"/>
    <w:rsid w:val="0B3E2BB6"/>
    <w:rsid w:val="0B686454"/>
    <w:rsid w:val="0B7050C6"/>
    <w:rsid w:val="0B823419"/>
    <w:rsid w:val="0BA20AD4"/>
    <w:rsid w:val="0BC01E71"/>
    <w:rsid w:val="0BE27F74"/>
    <w:rsid w:val="0BF746B9"/>
    <w:rsid w:val="0BFE0645"/>
    <w:rsid w:val="0C0872B2"/>
    <w:rsid w:val="0C310F3E"/>
    <w:rsid w:val="0C78475F"/>
    <w:rsid w:val="0C8A6ACC"/>
    <w:rsid w:val="0C9364E7"/>
    <w:rsid w:val="0CA149E9"/>
    <w:rsid w:val="0CA92EAB"/>
    <w:rsid w:val="0CAF3A93"/>
    <w:rsid w:val="0CB932A9"/>
    <w:rsid w:val="0CEA78E1"/>
    <w:rsid w:val="0D2D7395"/>
    <w:rsid w:val="0D3F3B82"/>
    <w:rsid w:val="0D596071"/>
    <w:rsid w:val="0D6813B0"/>
    <w:rsid w:val="0D72069E"/>
    <w:rsid w:val="0D730691"/>
    <w:rsid w:val="0D735CCB"/>
    <w:rsid w:val="0D863EA9"/>
    <w:rsid w:val="0D877299"/>
    <w:rsid w:val="0DB431F0"/>
    <w:rsid w:val="0DDA6109"/>
    <w:rsid w:val="0DE03350"/>
    <w:rsid w:val="0DE70DEB"/>
    <w:rsid w:val="0E0228E0"/>
    <w:rsid w:val="0E0D1A36"/>
    <w:rsid w:val="0E12718F"/>
    <w:rsid w:val="0E35158B"/>
    <w:rsid w:val="0E3F1FBF"/>
    <w:rsid w:val="0E4017C4"/>
    <w:rsid w:val="0E682E12"/>
    <w:rsid w:val="0E6A4F53"/>
    <w:rsid w:val="0E6C2D30"/>
    <w:rsid w:val="0E72386F"/>
    <w:rsid w:val="0E960849"/>
    <w:rsid w:val="0EB866F3"/>
    <w:rsid w:val="0EC55945"/>
    <w:rsid w:val="0ED2525D"/>
    <w:rsid w:val="0EE554BE"/>
    <w:rsid w:val="0EE814A1"/>
    <w:rsid w:val="0EF347E6"/>
    <w:rsid w:val="0EF55889"/>
    <w:rsid w:val="0F0859E8"/>
    <w:rsid w:val="0F0A5A66"/>
    <w:rsid w:val="0F1017DE"/>
    <w:rsid w:val="0F1D4EE8"/>
    <w:rsid w:val="0F57773D"/>
    <w:rsid w:val="0F62376E"/>
    <w:rsid w:val="0FA5649A"/>
    <w:rsid w:val="0FAA2FD3"/>
    <w:rsid w:val="0FBA0DE9"/>
    <w:rsid w:val="0FC2663E"/>
    <w:rsid w:val="0FC921E2"/>
    <w:rsid w:val="0FDB4006"/>
    <w:rsid w:val="0FDF3A23"/>
    <w:rsid w:val="0FED099E"/>
    <w:rsid w:val="1015087A"/>
    <w:rsid w:val="10231906"/>
    <w:rsid w:val="102A32DC"/>
    <w:rsid w:val="10384DFD"/>
    <w:rsid w:val="10400162"/>
    <w:rsid w:val="10595CA8"/>
    <w:rsid w:val="105B0C88"/>
    <w:rsid w:val="106328A6"/>
    <w:rsid w:val="106B01AD"/>
    <w:rsid w:val="10876A93"/>
    <w:rsid w:val="108B4417"/>
    <w:rsid w:val="10A90F7C"/>
    <w:rsid w:val="10C25EDE"/>
    <w:rsid w:val="10E020F3"/>
    <w:rsid w:val="10F1473B"/>
    <w:rsid w:val="112B17C4"/>
    <w:rsid w:val="11326ECE"/>
    <w:rsid w:val="113A623D"/>
    <w:rsid w:val="113C4C01"/>
    <w:rsid w:val="11417822"/>
    <w:rsid w:val="116B7F9F"/>
    <w:rsid w:val="11AF1E55"/>
    <w:rsid w:val="11BA61AF"/>
    <w:rsid w:val="11D933EC"/>
    <w:rsid w:val="11F27097"/>
    <w:rsid w:val="11FB3903"/>
    <w:rsid w:val="12016620"/>
    <w:rsid w:val="12036659"/>
    <w:rsid w:val="12070870"/>
    <w:rsid w:val="1208092E"/>
    <w:rsid w:val="12227E62"/>
    <w:rsid w:val="122C3E57"/>
    <w:rsid w:val="128D58B4"/>
    <w:rsid w:val="12D51A90"/>
    <w:rsid w:val="12E5186E"/>
    <w:rsid w:val="12EC3FFB"/>
    <w:rsid w:val="130800FC"/>
    <w:rsid w:val="1314127C"/>
    <w:rsid w:val="135C16A3"/>
    <w:rsid w:val="13636AB7"/>
    <w:rsid w:val="13724978"/>
    <w:rsid w:val="13757F47"/>
    <w:rsid w:val="13761EC1"/>
    <w:rsid w:val="137B1545"/>
    <w:rsid w:val="138136B6"/>
    <w:rsid w:val="13932807"/>
    <w:rsid w:val="13962E0D"/>
    <w:rsid w:val="13966E84"/>
    <w:rsid w:val="13A27EB9"/>
    <w:rsid w:val="13C3075C"/>
    <w:rsid w:val="13CB7BC1"/>
    <w:rsid w:val="13F54E08"/>
    <w:rsid w:val="140B2C6D"/>
    <w:rsid w:val="14196B0B"/>
    <w:rsid w:val="141F5F4D"/>
    <w:rsid w:val="14487711"/>
    <w:rsid w:val="145442B4"/>
    <w:rsid w:val="14576A89"/>
    <w:rsid w:val="145B47E8"/>
    <w:rsid w:val="146F2311"/>
    <w:rsid w:val="14752314"/>
    <w:rsid w:val="147632FB"/>
    <w:rsid w:val="148A32A8"/>
    <w:rsid w:val="14A118AA"/>
    <w:rsid w:val="14A55CDE"/>
    <w:rsid w:val="14AA6703"/>
    <w:rsid w:val="14C16118"/>
    <w:rsid w:val="14CC47C2"/>
    <w:rsid w:val="14E05AD6"/>
    <w:rsid w:val="153A13C2"/>
    <w:rsid w:val="153E5059"/>
    <w:rsid w:val="15692F96"/>
    <w:rsid w:val="157317D8"/>
    <w:rsid w:val="15AA3EEC"/>
    <w:rsid w:val="15AA4AC9"/>
    <w:rsid w:val="15CC0FDB"/>
    <w:rsid w:val="15EE7FF3"/>
    <w:rsid w:val="15FC41F7"/>
    <w:rsid w:val="16236608"/>
    <w:rsid w:val="162A02B0"/>
    <w:rsid w:val="162A2DAC"/>
    <w:rsid w:val="164D6569"/>
    <w:rsid w:val="165D523E"/>
    <w:rsid w:val="166152EA"/>
    <w:rsid w:val="166168BB"/>
    <w:rsid w:val="1665255F"/>
    <w:rsid w:val="167409DD"/>
    <w:rsid w:val="168B31EB"/>
    <w:rsid w:val="16A40A8A"/>
    <w:rsid w:val="16B46547"/>
    <w:rsid w:val="16C110EB"/>
    <w:rsid w:val="16C938AA"/>
    <w:rsid w:val="16D52525"/>
    <w:rsid w:val="16D81E59"/>
    <w:rsid w:val="16EF3F6B"/>
    <w:rsid w:val="16FE75C5"/>
    <w:rsid w:val="17140366"/>
    <w:rsid w:val="171620C1"/>
    <w:rsid w:val="171A0296"/>
    <w:rsid w:val="17222F77"/>
    <w:rsid w:val="17234A7C"/>
    <w:rsid w:val="172A38A1"/>
    <w:rsid w:val="17365DB5"/>
    <w:rsid w:val="173D5762"/>
    <w:rsid w:val="175756C4"/>
    <w:rsid w:val="17770683"/>
    <w:rsid w:val="177A2852"/>
    <w:rsid w:val="17841ABB"/>
    <w:rsid w:val="17C537E6"/>
    <w:rsid w:val="17C72E4B"/>
    <w:rsid w:val="17D41571"/>
    <w:rsid w:val="17F361EF"/>
    <w:rsid w:val="17FC1068"/>
    <w:rsid w:val="1808607A"/>
    <w:rsid w:val="182F4479"/>
    <w:rsid w:val="184D73A6"/>
    <w:rsid w:val="184E0B03"/>
    <w:rsid w:val="185D2F4B"/>
    <w:rsid w:val="18774B9A"/>
    <w:rsid w:val="189E1F0E"/>
    <w:rsid w:val="18D5553D"/>
    <w:rsid w:val="190D1D60"/>
    <w:rsid w:val="193E4785"/>
    <w:rsid w:val="195F3FE5"/>
    <w:rsid w:val="19604F1F"/>
    <w:rsid w:val="19723451"/>
    <w:rsid w:val="19850AD0"/>
    <w:rsid w:val="19883955"/>
    <w:rsid w:val="19B47967"/>
    <w:rsid w:val="19BD6823"/>
    <w:rsid w:val="19CA34CE"/>
    <w:rsid w:val="19CD039D"/>
    <w:rsid w:val="19D91EF5"/>
    <w:rsid w:val="19E84E2F"/>
    <w:rsid w:val="1A0D1849"/>
    <w:rsid w:val="1A350559"/>
    <w:rsid w:val="1A496483"/>
    <w:rsid w:val="1A4F45BE"/>
    <w:rsid w:val="1A56173E"/>
    <w:rsid w:val="1A5C56BC"/>
    <w:rsid w:val="1A654C5F"/>
    <w:rsid w:val="1A843DCE"/>
    <w:rsid w:val="1AAC2B20"/>
    <w:rsid w:val="1AC97AC8"/>
    <w:rsid w:val="1ACC0EDD"/>
    <w:rsid w:val="1AD71B8B"/>
    <w:rsid w:val="1AE91F42"/>
    <w:rsid w:val="1B0C332A"/>
    <w:rsid w:val="1B162E8B"/>
    <w:rsid w:val="1B173233"/>
    <w:rsid w:val="1B57078C"/>
    <w:rsid w:val="1B680130"/>
    <w:rsid w:val="1B856EE4"/>
    <w:rsid w:val="1B8F15AC"/>
    <w:rsid w:val="1BB30658"/>
    <w:rsid w:val="1BB87C59"/>
    <w:rsid w:val="1BE678F6"/>
    <w:rsid w:val="1BFE1B10"/>
    <w:rsid w:val="1C114DF5"/>
    <w:rsid w:val="1C12775C"/>
    <w:rsid w:val="1C182814"/>
    <w:rsid w:val="1C602DB1"/>
    <w:rsid w:val="1C607DB2"/>
    <w:rsid w:val="1C735B0F"/>
    <w:rsid w:val="1C7875BB"/>
    <w:rsid w:val="1C7E211D"/>
    <w:rsid w:val="1C8030E0"/>
    <w:rsid w:val="1C8300C0"/>
    <w:rsid w:val="1CA80D4F"/>
    <w:rsid w:val="1CA92652"/>
    <w:rsid w:val="1CAA5352"/>
    <w:rsid w:val="1CBE7EBE"/>
    <w:rsid w:val="1CD549AD"/>
    <w:rsid w:val="1CD8633F"/>
    <w:rsid w:val="1CF30FF7"/>
    <w:rsid w:val="1CF4490D"/>
    <w:rsid w:val="1CF70595"/>
    <w:rsid w:val="1CFF3061"/>
    <w:rsid w:val="1D061E52"/>
    <w:rsid w:val="1D5447CD"/>
    <w:rsid w:val="1D664B1F"/>
    <w:rsid w:val="1DA31A08"/>
    <w:rsid w:val="1DDA1333"/>
    <w:rsid w:val="1DE60DC1"/>
    <w:rsid w:val="1DEB5E7F"/>
    <w:rsid w:val="1DF57099"/>
    <w:rsid w:val="1E236E15"/>
    <w:rsid w:val="1E3A221B"/>
    <w:rsid w:val="1E3C498C"/>
    <w:rsid w:val="1E473ECB"/>
    <w:rsid w:val="1E614412"/>
    <w:rsid w:val="1EA07DF4"/>
    <w:rsid w:val="1EA7740E"/>
    <w:rsid w:val="1EAB11CE"/>
    <w:rsid w:val="1EB42AC3"/>
    <w:rsid w:val="1ED42437"/>
    <w:rsid w:val="1EFA240F"/>
    <w:rsid w:val="1EFC47D5"/>
    <w:rsid w:val="1F1B731B"/>
    <w:rsid w:val="1F201FD9"/>
    <w:rsid w:val="1F38023E"/>
    <w:rsid w:val="1F4C49E8"/>
    <w:rsid w:val="1F807720"/>
    <w:rsid w:val="1F824F9B"/>
    <w:rsid w:val="1FB27398"/>
    <w:rsid w:val="1FB369B2"/>
    <w:rsid w:val="203027B7"/>
    <w:rsid w:val="2056209C"/>
    <w:rsid w:val="20606CE3"/>
    <w:rsid w:val="20807DB5"/>
    <w:rsid w:val="209B34FE"/>
    <w:rsid w:val="20B53428"/>
    <w:rsid w:val="20B81304"/>
    <w:rsid w:val="20BA44AC"/>
    <w:rsid w:val="20EC5802"/>
    <w:rsid w:val="211966AF"/>
    <w:rsid w:val="2129343F"/>
    <w:rsid w:val="216002CA"/>
    <w:rsid w:val="216E7970"/>
    <w:rsid w:val="217A307F"/>
    <w:rsid w:val="217A686A"/>
    <w:rsid w:val="217B67FD"/>
    <w:rsid w:val="219700F9"/>
    <w:rsid w:val="21AA44D0"/>
    <w:rsid w:val="21B11C37"/>
    <w:rsid w:val="21C271A8"/>
    <w:rsid w:val="21DA364A"/>
    <w:rsid w:val="21EC7E43"/>
    <w:rsid w:val="21F77CA1"/>
    <w:rsid w:val="220953A0"/>
    <w:rsid w:val="221809AB"/>
    <w:rsid w:val="223C337E"/>
    <w:rsid w:val="22505469"/>
    <w:rsid w:val="225F4CC7"/>
    <w:rsid w:val="2269591C"/>
    <w:rsid w:val="228C7754"/>
    <w:rsid w:val="22B16C1D"/>
    <w:rsid w:val="22B40633"/>
    <w:rsid w:val="22C36F8E"/>
    <w:rsid w:val="22C62C1E"/>
    <w:rsid w:val="22CA7849"/>
    <w:rsid w:val="22D911C5"/>
    <w:rsid w:val="22E77A55"/>
    <w:rsid w:val="22E9703E"/>
    <w:rsid w:val="22F66CD9"/>
    <w:rsid w:val="23241C21"/>
    <w:rsid w:val="233F7420"/>
    <w:rsid w:val="238033BC"/>
    <w:rsid w:val="23926885"/>
    <w:rsid w:val="23A16E72"/>
    <w:rsid w:val="23AB06F3"/>
    <w:rsid w:val="23DD3AD5"/>
    <w:rsid w:val="23E51D45"/>
    <w:rsid w:val="23F03365"/>
    <w:rsid w:val="241243F0"/>
    <w:rsid w:val="241870B4"/>
    <w:rsid w:val="244E05BB"/>
    <w:rsid w:val="245562DC"/>
    <w:rsid w:val="246178B1"/>
    <w:rsid w:val="248668D4"/>
    <w:rsid w:val="24896F28"/>
    <w:rsid w:val="248F3E4A"/>
    <w:rsid w:val="24A3256E"/>
    <w:rsid w:val="24BA4FF7"/>
    <w:rsid w:val="24BF5D9A"/>
    <w:rsid w:val="24D86764"/>
    <w:rsid w:val="24F124D1"/>
    <w:rsid w:val="24FA598E"/>
    <w:rsid w:val="2510610D"/>
    <w:rsid w:val="25292DCA"/>
    <w:rsid w:val="252A7D7C"/>
    <w:rsid w:val="253E4680"/>
    <w:rsid w:val="25400295"/>
    <w:rsid w:val="254E5479"/>
    <w:rsid w:val="258E2C60"/>
    <w:rsid w:val="259049AF"/>
    <w:rsid w:val="25977C6F"/>
    <w:rsid w:val="25A00842"/>
    <w:rsid w:val="25B9230D"/>
    <w:rsid w:val="25DE0EA9"/>
    <w:rsid w:val="25FE1013"/>
    <w:rsid w:val="260C6A77"/>
    <w:rsid w:val="260F65B3"/>
    <w:rsid w:val="2624097D"/>
    <w:rsid w:val="264919C2"/>
    <w:rsid w:val="26636B4C"/>
    <w:rsid w:val="266F5A14"/>
    <w:rsid w:val="267034EE"/>
    <w:rsid w:val="2687307F"/>
    <w:rsid w:val="26916261"/>
    <w:rsid w:val="26935D08"/>
    <w:rsid w:val="26BA36B6"/>
    <w:rsid w:val="26C012BC"/>
    <w:rsid w:val="26C143CC"/>
    <w:rsid w:val="26CB1565"/>
    <w:rsid w:val="26D21C8A"/>
    <w:rsid w:val="26D66CAB"/>
    <w:rsid w:val="26DD38D2"/>
    <w:rsid w:val="26DD53C1"/>
    <w:rsid w:val="26F314BB"/>
    <w:rsid w:val="27011F8E"/>
    <w:rsid w:val="27020053"/>
    <w:rsid w:val="27356E9C"/>
    <w:rsid w:val="277D6B0D"/>
    <w:rsid w:val="277F2035"/>
    <w:rsid w:val="27A15C5A"/>
    <w:rsid w:val="27A3048F"/>
    <w:rsid w:val="27A71F79"/>
    <w:rsid w:val="27A9718A"/>
    <w:rsid w:val="27DD0E7D"/>
    <w:rsid w:val="27DF2071"/>
    <w:rsid w:val="27E44C2E"/>
    <w:rsid w:val="27E65C32"/>
    <w:rsid w:val="2814683C"/>
    <w:rsid w:val="2833710D"/>
    <w:rsid w:val="28403C4D"/>
    <w:rsid w:val="28430989"/>
    <w:rsid w:val="2888726E"/>
    <w:rsid w:val="289C7722"/>
    <w:rsid w:val="28B90EAB"/>
    <w:rsid w:val="28C90E8B"/>
    <w:rsid w:val="28CD09A0"/>
    <w:rsid w:val="28E80FE6"/>
    <w:rsid w:val="29324CE1"/>
    <w:rsid w:val="29366B6F"/>
    <w:rsid w:val="29405AC6"/>
    <w:rsid w:val="29724367"/>
    <w:rsid w:val="297405E4"/>
    <w:rsid w:val="29851D80"/>
    <w:rsid w:val="29891DA7"/>
    <w:rsid w:val="29B12947"/>
    <w:rsid w:val="29B54574"/>
    <w:rsid w:val="29BD4E25"/>
    <w:rsid w:val="29BE4A5E"/>
    <w:rsid w:val="29CF4845"/>
    <w:rsid w:val="29D967E6"/>
    <w:rsid w:val="2A0848EE"/>
    <w:rsid w:val="2A164181"/>
    <w:rsid w:val="2A1E7C9C"/>
    <w:rsid w:val="2A3110E4"/>
    <w:rsid w:val="2A3D47EE"/>
    <w:rsid w:val="2A676756"/>
    <w:rsid w:val="2A882831"/>
    <w:rsid w:val="2A88675A"/>
    <w:rsid w:val="2AAC770B"/>
    <w:rsid w:val="2AB5269D"/>
    <w:rsid w:val="2ABC7334"/>
    <w:rsid w:val="2ABE3F5E"/>
    <w:rsid w:val="2ABF496E"/>
    <w:rsid w:val="2AC43995"/>
    <w:rsid w:val="2AC92342"/>
    <w:rsid w:val="2ACF1B94"/>
    <w:rsid w:val="2AEC34B6"/>
    <w:rsid w:val="2AEE28AB"/>
    <w:rsid w:val="2AF31787"/>
    <w:rsid w:val="2B07215F"/>
    <w:rsid w:val="2B3B749F"/>
    <w:rsid w:val="2B561E69"/>
    <w:rsid w:val="2B613650"/>
    <w:rsid w:val="2B63237E"/>
    <w:rsid w:val="2B6F6423"/>
    <w:rsid w:val="2B715D85"/>
    <w:rsid w:val="2B882EDE"/>
    <w:rsid w:val="2BA67A9D"/>
    <w:rsid w:val="2BA67C10"/>
    <w:rsid w:val="2BAD312E"/>
    <w:rsid w:val="2BCE7B74"/>
    <w:rsid w:val="2BEA6A79"/>
    <w:rsid w:val="2BF73E95"/>
    <w:rsid w:val="2C0120AF"/>
    <w:rsid w:val="2C097516"/>
    <w:rsid w:val="2C116933"/>
    <w:rsid w:val="2C2E58AC"/>
    <w:rsid w:val="2C5B7B14"/>
    <w:rsid w:val="2C680FED"/>
    <w:rsid w:val="2C6D003B"/>
    <w:rsid w:val="2C9302B4"/>
    <w:rsid w:val="2CA67B87"/>
    <w:rsid w:val="2CB23105"/>
    <w:rsid w:val="2CBF0ACE"/>
    <w:rsid w:val="2CE20CEC"/>
    <w:rsid w:val="2CF37C9A"/>
    <w:rsid w:val="2D1D3656"/>
    <w:rsid w:val="2D54656E"/>
    <w:rsid w:val="2D705841"/>
    <w:rsid w:val="2D7203FA"/>
    <w:rsid w:val="2D772CCC"/>
    <w:rsid w:val="2DC26CE1"/>
    <w:rsid w:val="2DE35A2B"/>
    <w:rsid w:val="2DE43620"/>
    <w:rsid w:val="2E002B8F"/>
    <w:rsid w:val="2E197069"/>
    <w:rsid w:val="2E1A5BF7"/>
    <w:rsid w:val="2E1C0F9C"/>
    <w:rsid w:val="2E463A1E"/>
    <w:rsid w:val="2E497D45"/>
    <w:rsid w:val="2E5761EC"/>
    <w:rsid w:val="2E821A9D"/>
    <w:rsid w:val="2E860791"/>
    <w:rsid w:val="2E9B38AE"/>
    <w:rsid w:val="2E9C43C4"/>
    <w:rsid w:val="2EB15F26"/>
    <w:rsid w:val="2ED22917"/>
    <w:rsid w:val="2EDD4CC4"/>
    <w:rsid w:val="2EE928C2"/>
    <w:rsid w:val="2EE95B22"/>
    <w:rsid w:val="2F0403D6"/>
    <w:rsid w:val="2F0B4905"/>
    <w:rsid w:val="2F0B5733"/>
    <w:rsid w:val="2F17454E"/>
    <w:rsid w:val="2F185BE6"/>
    <w:rsid w:val="2F25154B"/>
    <w:rsid w:val="2F402A20"/>
    <w:rsid w:val="2F4E73B6"/>
    <w:rsid w:val="2F610443"/>
    <w:rsid w:val="2F73308C"/>
    <w:rsid w:val="2F7847BC"/>
    <w:rsid w:val="2F7D4AA4"/>
    <w:rsid w:val="2F8D2156"/>
    <w:rsid w:val="2FA70E13"/>
    <w:rsid w:val="2FAA4280"/>
    <w:rsid w:val="2FB56933"/>
    <w:rsid w:val="2FD95536"/>
    <w:rsid w:val="2FE93118"/>
    <w:rsid w:val="2FF72A7E"/>
    <w:rsid w:val="2FFA53AB"/>
    <w:rsid w:val="30097396"/>
    <w:rsid w:val="3015269A"/>
    <w:rsid w:val="303332CD"/>
    <w:rsid w:val="304436A5"/>
    <w:rsid w:val="306D180B"/>
    <w:rsid w:val="307257D6"/>
    <w:rsid w:val="30965955"/>
    <w:rsid w:val="3096694C"/>
    <w:rsid w:val="30B05F05"/>
    <w:rsid w:val="30C13EE0"/>
    <w:rsid w:val="30C61231"/>
    <w:rsid w:val="30E83C20"/>
    <w:rsid w:val="30F30D62"/>
    <w:rsid w:val="30FA3EE4"/>
    <w:rsid w:val="31075C91"/>
    <w:rsid w:val="311F2B74"/>
    <w:rsid w:val="312F13C1"/>
    <w:rsid w:val="314927B6"/>
    <w:rsid w:val="314C6AD4"/>
    <w:rsid w:val="317E2572"/>
    <w:rsid w:val="31992619"/>
    <w:rsid w:val="319B4DA4"/>
    <w:rsid w:val="31EE3B02"/>
    <w:rsid w:val="31EE3B71"/>
    <w:rsid w:val="31F51D37"/>
    <w:rsid w:val="31F648CB"/>
    <w:rsid w:val="320D5477"/>
    <w:rsid w:val="321E1ABC"/>
    <w:rsid w:val="32204AB2"/>
    <w:rsid w:val="323C2C9A"/>
    <w:rsid w:val="324C4E43"/>
    <w:rsid w:val="32553979"/>
    <w:rsid w:val="32634D0C"/>
    <w:rsid w:val="326B69E1"/>
    <w:rsid w:val="326F3B62"/>
    <w:rsid w:val="327A56E6"/>
    <w:rsid w:val="32852D86"/>
    <w:rsid w:val="3292430E"/>
    <w:rsid w:val="32A305A5"/>
    <w:rsid w:val="32CA5A05"/>
    <w:rsid w:val="32D248E7"/>
    <w:rsid w:val="32F40684"/>
    <w:rsid w:val="330074F8"/>
    <w:rsid w:val="334657EF"/>
    <w:rsid w:val="33523A42"/>
    <w:rsid w:val="338A6C1B"/>
    <w:rsid w:val="338C6DE1"/>
    <w:rsid w:val="33A05736"/>
    <w:rsid w:val="33CB54BD"/>
    <w:rsid w:val="33ED5662"/>
    <w:rsid w:val="33EF626B"/>
    <w:rsid w:val="340F7C58"/>
    <w:rsid w:val="341E12AB"/>
    <w:rsid w:val="34433678"/>
    <w:rsid w:val="34442B09"/>
    <w:rsid w:val="3483309A"/>
    <w:rsid w:val="348D4612"/>
    <w:rsid w:val="34A764F4"/>
    <w:rsid w:val="34C204B3"/>
    <w:rsid w:val="34C44AB9"/>
    <w:rsid w:val="34D81C33"/>
    <w:rsid w:val="34E35AB7"/>
    <w:rsid w:val="35500B16"/>
    <w:rsid w:val="3557183E"/>
    <w:rsid w:val="35732525"/>
    <w:rsid w:val="357A4836"/>
    <w:rsid w:val="358822F8"/>
    <w:rsid w:val="35902E27"/>
    <w:rsid w:val="35C068B4"/>
    <w:rsid w:val="35DE6806"/>
    <w:rsid w:val="36251147"/>
    <w:rsid w:val="36334AB4"/>
    <w:rsid w:val="36446795"/>
    <w:rsid w:val="36CF74EF"/>
    <w:rsid w:val="36D325FA"/>
    <w:rsid w:val="36D72F4A"/>
    <w:rsid w:val="370319D2"/>
    <w:rsid w:val="37091F1C"/>
    <w:rsid w:val="37531470"/>
    <w:rsid w:val="37696E1C"/>
    <w:rsid w:val="379F2E22"/>
    <w:rsid w:val="37A100E0"/>
    <w:rsid w:val="37A17F88"/>
    <w:rsid w:val="37A473CE"/>
    <w:rsid w:val="37A6440E"/>
    <w:rsid w:val="37B42580"/>
    <w:rsid w:val="37D1201D"/>
    <w:rsid w:val="37F43DF4"/>
    <w:rsid w:val="37F838B4"/>
    <w:rsid w:val="381F7BCF"/>
    <w:rsid w:val="38356C0B"/>
    <w:rsid w:val="38447D39"/>
    <w:rsid w:val="38842289"/>
    <w:rsid w:val="388A3F6C"/>
    <w:rsid w:val="389534A7"/>
    <w:rsid w:val="389C6DD6"/>
    <w:rsid w:val="38A54184"/>
    <w:rsid w:val="38B5233E"/>
    <w:rsid w:val="38B54C5C"/>
    <w:rsid w:val="38BD3AE8"/>
    <w:rsid w:val="38C32489"/>
    <w:rsid w:val="38D611E9"/>
    <w:rsid w:val="38DC4235"/>
    <w:rsid w:val="38E3175F"/>
    <w:rsid w:val="38E9171C"/>
    <w:rsid w:val="38FC20FB"/>
    <w:rsid w:val="392652D7"/>
    <w:rsid w:val="392B5B1F"/>
    <w:rsid w:val="39393547"/>
    <w:rsid w:val="39395588"/>
    <w:rsid w:val="3939799A"/>
    <w:rsid w:val="395D59D1"/>
    <w:rsid w:val="39673D68"/>
    <w:rsid w:val="398341B0"/>
    <w:rsid w:val="39841B90"/>
    <w:rsid w:val="3991089E"/>
    <w:rsid w:val="39956A2B"/>
    <w:rsid w:val="39DC1276"/>
    <w:rsid w:val="39E870D4"/>
    <w:rsid w:val="39EE3703"/>
    <w:rsid w:val="39FD5C0D"/>
    <w:rsid w:val="3A0D4245"/>
    <w:rsid w:val="3A453AEC"/>
    <w:rsid w:val="3A475008"/>
    <w:rsid w:val="3A6B40FE"/>
    <w:rsid w:val="3A804DA2"/>
    <w:rsid w:val="3A9E2B3F"/>
    <w:rsid w:val="3AC15CEB"/>
    <w:rsid w:val="3AD204F1"/>
    <w:rsid w:val="3AF12B8B"/>
    <w:rsid w:val="3AF325E2"/>
    <w:rsid w:val="3AF7223B"/>
    <w:rsid w:val="3AF82650"/>
    <w:rsid w:val="3AFF51C2"/>
    <w:rsid w:val="3B0D0A0F"/>
    <w:rsid w:val="3B132755"/>
    <w:rsid w:val="3B1A2538"/>
    <w:rsid w:val="3B1E74C2"/>
    <w:rsid w:val="3B2E7D22"/>
    <w:rsid w:val="3B356E3A"/>
    <w:rsid w:val="3B4074BC"/>
    <w:rsid w:val="3B55066F"/>
    <w:rsid w:val="3B620FC3"/>
    <w:rsid w:val="3B66018F"/>
    <w:rsid w:val="3B66327D"/>
    <w:rsid w:val="3B9E44E5"/>
    <w:rsid w:val="3BE829D7"/>
    <w:rsid w:val="3BEB0D56"/>
    <w:rsid w:val="3C0942E3"/>
    <w:rsid w:val="3C207409"/>
    <w:rsid w:val="3C7C006A"/>
    <w:rsid w:val="3C9D53B1"/>
    <w:rsid w:val="3CA571E3"/>
    <w:rsid w:val="3D10476F"/>
    <w:rsid w:val="3D31004E"/>
    <w:rsid w:val="3D437643"/>
    <w:rsid w:val="3D610AE0"/>
    <w:rsid w:val="3D6910FF"/>
    <w:rsid w:val="3DA94FF8"/>
    <w:rsid w:val="3DB47994"/>
    <w:rsid w:val="3DBE4DD3"/>
    <w:rsid w:val="3DC87A9B"/>
    <w:rsid w:val="3DCD6892"/>
    <w:rsid w:val="3DF17B5D"/>
    <w:rsid w:val="3DFF2AF0"/>
    <w:rsid w:val="3E055EC9"/>
    <w:rsid w:val="3E295A7A"/>
    <w:rsid w:val="3E3A670B"/>
    <w:rsid w:val="3E4615FA"/>
    <w:rsid w:val="3E4C57ED"/>
    <w:rsid w:val="3E571B49"/>
    <w:rsid w:val="3E8E2048"/>
    <w:rsid w:val="3E925718"/>
    <w:rsid w:val="3EC214C4"/>
    <w:rsid w:val="3EE82A79"/>
    <w:rsid w:val="3F193689"/>
    <w:rsid w:val="3F32648D"/>
    <w:rsid w:val="3F685049"/>
    <w:rsid w:val="3F705E6A"/>
    <w:rsid w:val="3FB614E6"/>
    <w:rsid w:val="3FC60A60"/>
    <w:rsid w:val="3FDF0FA7"/>
    <w:rsid w:val="3FF2282A"/>
    <w:rsid w:val="40027F51"/>
    <w:rsid w:val="400852D8"/>
    <w:rsid w:val="40231D69"/>
    <w:rsid w:val="40276226"/>
    <w:rsid w:val="403F6F41"/>
    <w:rsid w:val="404603D7"/>
    <w:rsid w:val="4058714C"/>
    <w:rsid w:val="407A453F"/>
    <w:rsid w:val="4086259B"/>
    <w:rsid w:val="409C32CE"/>
    <w:rsid w:val="40B13168"/>
    <w:rsid w:val="40CE1158"/>
    <w:rsid w:val="40EE65D6"/>
    <w:rsid w:val="40F44209"/>
    <w:rsid w:val="40FC1C7E"/>
    <w:rsid w:val="410047C9"/>
    <w:rsid w:val="413A2613"/>
    <w:rsid w:val="41741A72"/>
    <w:rsid w:val="41773922"/>
    <w:rsid w:val="419E04CD"/>
    <w:rsid w:val="41A97FB8"/>
    <w:rsid w:val="41AB0F18"/>
    <w:rsid w:val="41B27676"/>
    <w:rsid w:val="41E536E5"/>
    <w:rsid w:val="420F17A1"/>
    <w:rsid w:val="42470F07"/>
    <w:rsid w:val="425016EB"/>
    <w:rsid w:val="42711B56"/>
    <w:rsid w:val="427C14D8"/>
    <w:rsid w:val="42957ABC"/>
    <w:rsid w:val="42A533F6"/>
    <w:rsid w:val="42B06CEF"/>
    <w:rsid w:val="42FB3B1F"/>
    <w:rsid w:val="430A305D"/>
    <w:rsid w:val="43177DC0"/>
    <w:rsid w:val="4348452F"/>
    <w:rsid w:val="4358340C"/>
    <w:rsid w:val="437060AF"/>
    <w:rsid w:val="439D43A5"/>
    <w:rsid w:val="43B82462"/>
    <w:rsid w:val="43BF1273"/>
    <w:rsid w:val="43C44C41"/>
    <w:rsid w:val="43DF5F4B"/>
    <w:rsid w:val="43EA5595"/>
    <w:rsid w:val="43F505F3"/>
    <w:rsid w:val="43FE582B"/>
    <w:rsid w:val="440927FB"/>
    <w:rsid w:val="44173CA6"/>
    <w:rsid w:val="4424200D"/>
    <w:rsid w:val="44865EB8"/>
    <w:rsid w:val="44877FF5"/>
    <w:rsid w:val="44A30321"/>
    <w:rsid w:val="44AB1C00"/>
    <w:rsid w:val="44AE73B1"/>
    <w:rsid w:val="44B52AA8"/>
    <w:rsid w:val="44C04DE4"/>
    <w:rsid w:val="44C11824"/>
    <w:rsid w:val="44C61C88"/>
    <w:rsid w:val="44DA2639"/>
    <w:rsid w:val="45085944"/>
    <w:rsid w:val="450E3EF9"/>
    <w:rsid w:val="45506477"/>
    <w:rsid w:val="45655FEA"/>
    <w:rsid w:val="45696D57"/>
    <w:rsid w:val="459160C0"/>
    <w:rsid w:val="45B63BA2"/>
    <w:rsid w:val="45C74089"/>
    <w:rsid w:val="45CC67D9"/>
    <w:rsid w:val="45D7526A"/>
    <w:rsid w:val="45E776C4"/>
    <w:rsid w:val="45EA37DE"/>
    <w:rsid w:val="45F40F43"/>
    <w:rsid w:val="45FB3388"/>
    <w:rsid w:val="460633D8"/>
    <w:rsid w:val="460C17D1"/>
    <w:rsid w:val="465B7E84"/>
    <w:rsid w:val="46771B2A"/>
    <w:rsid w:val="46880B2B"/>
    <w:rsid w:val="46EB2B21"/>
    <w:rsid w:val="470004EF"/>
    <w:rsid w:val="470970DB"/>
    <w:rsid w:val="472158A5"/>
    <w:rsid w:val="47404994"/>
    <w:rsid w:val="47956FB7"/>
    <w:rsid w:val="47A17D5D"/>
    <w:rsid w:val="47A41F17"/>
    <w:rsid w:val="47A91D66"/>
    <w:rsid w:val="47BF4240"/>
    <w:rsid w:val="47CD5D7F"/>
    <w:rsid w:val="47E17015"/>
    <w:rsid w:val="48014C0F"/>
    <w:rsid w:val="483439F5"/>
    <w:rsid w:val="483E2716"/>
    <w:rsid w:val="4880009A"/>
    <w:rsid w:val="488074D2"/>
    <w:rsid w:val="488A10DA"/>
    <w:rsid w:val="48910795"/>
    <w:rsid w:val="48962AAF"/>
    <w:rsid w:val="48AB019F"/>
    <w:rsid w:val="48DC0082"/>
    <w:rsid w:val="48E338CE"/>
    <w:rsid w:val="48E5217E"/>
    <w:rsid w:val="48EF3267"/>
    <w:rsid w:val="48EF450F"/>
    <w:rsid w:val="48F359FF"/>
    <w:rsid w:val="48F3762F"/>
    <w:rsid w:val="4921759B"/>
    <w:rsid w:val="492E4707"/>
    <w:rsid w:val="494855F0"/>
    <w:rsid w:val="49883A6B"/>
    <w:rsid w:val="49935F3C"/>
    <w:rsid w:val="49DE79DC"/>
    <w:rsid w:val="49E91E4E"/>
    <w:rsid w:val="4A582961"/>
    <w:rsid w:val="4A605569"/>
    <w:rsid w:val="4A6935E4"/>
    <w:rsid w:val="4A6B7F20"/>
    <w:rsid w:val="4A9E5A1D"/>
    <w:rsid w:val="4AA70CB4"/>
    <w:rsid w:val="4AB65DA3"/>
    <w:rsid w:val="4ADD02FC"/>
    <w:rsid w:val="4AF16237"/>
    <w:rsid w:val="4B0A45D6"/>
    <w:rsid w:val="4B232D3E"/>
    <w:rsid w:val="4B247D33"/>
    <w:rsid w:val="4B2B3242"/>
    <w:rsid w:val="4B516170"/>
    <w:rsid w:val="4B6B0956"/>
    <w:rsid w:val="4B732E6F"/>
    <w:rsid w:val="4B796882"/>
    <w:rsid w:val="4B847B1A"/>
    <w:rsid w:val="4B96740A"/>
    <w:rsid w:val="4B9A036E"/>
    <w:rsid w:val="4B9A28D7"/>
    <w:rsid w:val="4BA221F7"/>
    <w:rsid w:val="4BCA7C79"/>
    <w:rsid w:val="4BCE00D6"/>
    <w:rsid w:val="4BD4709B"/>
    <w:rsid w:val="4C257CE5"/>
    <w:rsid w:val="4C2A067F"/>
    <w:rsid w:val="4C6C1622"/>
    <w:rsid w:val="4C7520DF"/>
    <w:rsid w:val="4C775171"/>
    <w:rsid w:val="4C9760F2"/>
    <w:rsid w:val="4CA45150"/>
    <w:rsid w:val="4CA87143"/>
    <w:rsid w:val="4CB01E34"/>
    <w:rsid w:val="4CC268A3"/>
    <w:rsid w:val="4CE45D70"/>
    <w:rsid w:val="4D181E2D"/>
    <w:rsid w:val="4D20103B"/>
    <w:rsid w:val="4D27359B"/>
    <w:rsid w:val="4D2C1E13"/>
    <w:rsid w:val="4D445721"/>
    <w:rsid w:val="4D662ADB"/>
    <w:rsid w:val="4D73344B"/>
    <w:rsid w:val="4D907F8D"/>
    <w:rsid w:val="4D990DB5"/>
    <w:rsid w:val="4DB77506"/>
    <w:rsid w:val="4DD1616A"/>
    <w:rsid w:val="4DE87D1C"/>
    <w:rsid w:val="4DFC36D4"/>
    <w:rsid w:val="4E04172E"/>
    <w:rsid w:val="4E466E0C"/>
    <w:rsid w:val="4E4E6628"/>
    <w:rsid w:val="4E8A2208"/>
    <w:rsid w:val="4EAD029A"/>
    <w:rsid w:val="4EAD0737"/>
    <w:rsid w:val="4EB64895"/>
    <w:rsid w:val="4EBD41B7"/>
    <w:rsid w:val="4ECF11B4"/>
    <w:rsid w:val="4F083CE1"/>
    <w:rsid w:val="4F0E7C91"/>
    <w:rsid w:val="4F1236FE"/>
    <w:rsid w:val="4F3B6610"/>
    <w:rsid w:val="4F62229F"/>
    <w:rsid w:val="4F73753D"/>
    <w:rsid w:val="4FA47F53"/>
    <w:rsid w:val="4FAF1B0F"/>
    <w:rsid w:val="4FC444D4"/>
    <w:rsid w:val="4FD3748D"/>
    <w:rsid w:val="4FE66397"/>
    <w:rsid w:val="4FEA5FA1"/>
    <w:rsid w:val="4FF70CEF"/>
    <w:rsid w:val="4FF879F7"/>
    <w:rsid w:val="500A0BF8"/>
    <w:rsid w:val="50242CA4"/>
    <w:rsid w:val="50320005"/>
    <w:rsid w:val="50383091"/>
    <w:rsid w:val="5044383E"/>
    <w:rsid w:val="505A0442"/>
    <w:rsid w:val="505E4A71"/>
    <w:rsid w:val="50617584"/>
    <w:rsid w:val="50635F97"/>
    <w:rsid w:val="50644BC0"/>
    <w:rsid w:val="50954678"/>
    <w:rsid w:val="50AC462B"/>
    <w:rsid w:val="50E229CB"/>
    <w:rsid w:val="50FD7FF5"/>
    <w:rsid w:val="51043F4F"/>
    <w:rsid w:val="5113145E"/>
    <w:rsid w:val="512B6F08"/>
    <w:rsid w:val="512C27A6"/>
    <w:rsid w:val="514502C8"/>
    <w:rsid w:val="51456B83"/>
    <w:rsid w:val="5159026B"/>
    <w:rsid w:val="51605137"/>
    <w:rsid w:val="51906E0B"/>
    <w:rsid w:val="51A65E3B"/>
    <w:rsid w:val="51B65975"/>
    <w:rsid w:val="51B76FC0"/>
    <w:rsid w:val="51F44147"/>
    <w:rsid w:val="52477EA4"/>
    <w:rsid w:val="5249247B"/>
    <w:rsid w:val="52851733"/>
    <w:rsid w:val="528841C1"/>
    <w:rsid w:val="52984315"/>
    <w:rsid w:val="52C62690"/>
    <w:rsid w:val="52D942AB"/>
    <w:rsid w:val="52DF1317"/>
    <w:rsid w:val="52E8562E"/>
    <w:rsid w:val="53066853"/>
    <w:rsid w:val="53080D44"/>
    <w:rsid w:val="531B0367"/>
    <w:rsid w:val="532F4F9E"/>
    <w:rsid w:val="533F2119"/>
    <w:rsid w:val="53580585"/>
    <w:rsid w:val="537F00C3"/>
    <w:rsid w:val="53830D61"/>
    <w:rsid w:val="53A36E35"/>
    <w:rsid w:val="53AD7B18"/>
    <w:rsid w:val="53CA44F3"/>
    <w:rsid w:val="53D30783"/>
    <w:rsid w:val="53D401DF"/>
    <w:rsid w:val="53D42046"/>
    <w:rsid w:val="53F377CB"/>
    <w:rsid w:val="53FB4A59"/>
    <w:rsid w:val="541E1FD5"/>
    <w:rsid w:val="54200E8D"/>
    <w:rsid w:val="54394D65"/>
    <w:rsid w:val="544A178C"/>
    <w:rsid w:val="546C36A7"/>
    <w:rsid w:val="54710059"/>
    <w:rsid w:val="54B62802"/>
    <w:rsid w:val="54BB4C5D"/>
    <w:rsid w:val="54C623B4"/>
    <w:rsid w:val="55101C59"/>
    <w:rsid w:val="55144AC1"/>
    <w:rsid w:val="5538251E"/>
    <w:rsid w:val="553E0DC9"/>
    <w:rsid w:val="55666960"/>
    <w:rsid w:val="556C350E"/>
    <w:rsid w:val="557464A0"/>
    <w:rsid w:val="55804EED"/>
    <w:rsid w:val="55D70145"/>
    <w:rsid w:val="55F260E5"/>
    <w:rsid w:val="560B1290"/>
    <w:rsid w:val="56143BB3"/>
    <w:rsid w:val="561B5CFD"/>
    <w:rsid w:val="563629E4"/>
    <w:rsid w:val="56585852"/>
    <w:rsid w:val="565C215F"/>
    <w:rsid w:val="5667780A"/>
    <w:rsid w:val="567063AF"/>
    <w:rsid w:val="56804056"/>
    <w:rsid w:val="5697315C"/>
    <w:rsid w:val="56B40FB4"/>
    <w:rsid w:val="56C24464"/>
    <w:rsid w:val="56C363FF"/>
    <w:rsid w:val="56E2072E"/>
    <w:rsid w:val="56F46C2F"/>
    <w:rsid w:val="56F47EE0"/>
    <w:rsid w:val="5713289F"/>
    <w:rsid w:val="57144722"/>
    <w:rsid w:val="571810AD"/>
    <w:rsid w:val="572F3B6C"/>
    <w:rsid w:val="5749356B"/>
    <w:rsid w:val="574F37A1"/>
    <w:rsid w:val="5778753B"/>
    <w:rsid w:val="57AE3EDF"/>
    <w:rsid w:val="57BB46B5"/>
    <w:rsid w:val="57DD1C75"/>
    <w:rsid w:val="57E10CEA"/>
    <w:rsid w:val="57F556B0"/>
    <w:rsid w:val="581024FE"/>
    <w:rsid w:val="586E6F04"/>
    <w:rsid w:val="58AF676F"/>
    <w:rsid w:val="58C769AB"/>
    <w:rsid w:val="58CD02B8"/>
    <w:rsid w:val="58EE319E"/>
    <w:rsid w:val="58F53E2D"/>
    <w:rsid w:val="591C4CFD"/>
    <w:rsid w:val="5948042B"/>
    <w:rsid w:val="59542906"/>
    <w:rsid w:val="595C18D1"/>
    <w:rsid w:val="596001C1"/>
    <w:rsid w:val="59912ECE"/>
    <w:rsid w:val="59A26440"/>
    <w:rsid w:val="59C15A43"/>
    <w:rsid w:val="5A0F3BAF"/>
    <w:rsid w:val="5A25283C"/>
    <w:rsid w:val="5A613D34"/>
    <w:rsid w:val="5A956E46"/>
    <w:rsid w:val="5AA9046D"/>
    <w:rsid w:val="5AAA7EB2"/>
    <w:rsid w:val="5ACF5F0B"/>
    <w:rsid w:val="5AF66EF7"/>
    <w:rsid w:val="5B425FF4"/>
    <w:rsid w:val="5B477A61"/>
    <w:rsid w:val="5B4C7B90"/>
    <w:rsid w:val="5B7805BD"/>
    <w:rsid w:val="5B95166C"/>
    <w:rsid w:val="5BAA730A"/>
    <w:rsid w:val="5BBA5C48"/>
    <w:rsid w:val="5C0C0D56"/>
    <w:rsid w:val="5C0E08F0"/>
    <w:rsid w:val="5C665177"/>
    <w:rsid w:val="5CBE72A4"/>
    <w:rsid w:val="5CFF0F6D"/>
    <w:rsid w:val="5D055995"/>
    <w:rsid w:val="5D2D023A"/>
    <w:rsid w:val="5D6F1515"/>
    <w:rsid w:val="5D9F5CA8"/>
    <w:rsid w:val="5DA71903"/>
    <w:rsid w:val="5DAB506B"/>
    <w:rsid w:val="5DAE5D15"/>
    <w:rsid w:val="5DB04B74"/>
    <w:rsid w:val="5DBC7C55"/>
    <w:rsid w:val="5DD16892"/>
    <w:rsid w:val="5DD627DD"/>
    <w:rsid w:val="5DEC6E57"/>
    <w:rsid w:val="5DF97CC4"/>
    <w:rsid w:val="5E057B68"/>
    <w:rsid w:val="5E3106F6"/>
    <w:rsid w:val="5E355DCA"/>
    <w:rsid w:val="5E37477F"/>
    <w:rsid w:val="5E5F3D7F"/>
    <w:rsid w:val="5E754D78"/>
    <w:rsid w:val="5EAA5C57"/>
    <w:rsid w:val="5EB27972"/>
    <w:rsid w:val="5ED75648"/>
    <w:rsid w:val="5EE210AC"/>
    <w:rsid w:val="5F076455"/>
    <w:rsid w:val="5F094293"/>
    <w:rsid w:val="5F214301"/>
    <w:rsid w:val="5F2B1163"/>
    <w:rsid w:val="5F3A621F"/>
    <w:rsid w:val="5F483696"/>
    <w:rsid w:val="5F4F1E6B"/>
    <w:rsid w:val="5F7A4D16"/>
    <w:rsid w:val="5F7C7033"/>
    <w:rsid w:val="5F9C7813"/>
    <w:rsid w:val="5FCB09B4"/>
    <w:rsid w:val="5FCC55B4"/>
    <w:rsid w:val="5FE3080A"/>
    <w:rsid w:val="5FEF770E"/>
    <w:rsid w:val="5FF12C89"/>
    <w:rsid w:val="5FF93363"/>
    <w:rsid w:val="600E0381"/>
    <w:rsid w:val="60152FF2"/>
    <w:rsid w:val="601F7192"/>
    <w:rsid w:val="6020547D"/>
    <w:rsid w:val="603B63F3"/>
    <w:rsid w:val="60424BB6"/>
    <w:rsid w:val="604F08B5"/>
    <w:rsid w:val="606B1DA7"/>
    <w:rsid w:val="606E4EAA"/>
    <w:rsid w:val="60876009"/>
    <w:rsid w:val="608B7802"/>
    <w:rsid w:val="60A73575"/>
    <w:rsid w:val="60C3249E"/>
    <w:rsid w:val="60C41924"/>
    <w:rsid w:val="60E636D7"/>
    <w:rsid w:val="60E9305D"/>
    <w:rsid w:val="61034A71"/>
    <w:rsid w:val="610407AC"/>
    <w:rsid w:val="611A516C"/>
    <w:rsid w:val="61430E89"/>
    <w:rsid w:val="614C72C9"/>
    <w:rsid w:val="616C7ADC"/>
    <w:rsid w:val="61834970"/>
    <w:rsid w:val="61D3701F"/>
    <w:rsid w:val="61E61054"/>
    <w:rsid w:val="61EC6B7D"/>
    <w:rsid w:val="61F77B72"/>
    <w:rsid w:val="61FB03E8"/>
    <w:rsid w:val="621E38A9"/>
    <w:rsid w:val="62211CC2"/>
    <w:rsid w:val="62236B5C"/>
    <w:rsid w:val="62302B1A"/>
    <w:rsid w:val="624B147E"/>
    <w:rsid w:val="626243A0"/>
    <w:rsid w:val="62633148"/>
    <w:rsid w:val="626D02AB"/>
    <w:rsid w:val="629B7CC7"/>
    <w:rsid w:val="62B85CC8"/>
    <w:rsid w:val="62FB2247"/>
    <w:rsid w:val="63116771"/>
    <w:rsid w:val="631E21C4"/>
    <w:rsid w:val="632960A5"/>
    <w:rsid w:val="6330572A"/>
    <w:rsid w:val="63532925"/>
    <w:rsid w:val="636D204A"/>
    <w:rsid w:val="63712453"/>
    <w:rsid w:val="638B4CB7"/>
    <w:rsid w:val="63D339A6"/>
    <w:rsid w:val="63F22BC0"/>
    <w:rsid w:val="63F465C4"/>
    <w:rsid w:val="641457E4"/>
    <w:rsid w:val="6424605C"/>
    <w:rsid w:val="64AC3253"/>
    <w:rsid w:val="64CE51B4"/>
    <w:rsid w:val="64FC71EC"/>
    <w:rsid w:val="65256709"/>
    <w:rsid w:val="652809F8"/>
    <w:rsid w:val="652F14A0"/>
    <w:rsid w:val="65326A49"/>
    <w:rsid w:val="653F1A0F"/>
    <w:rsid w:val="654F4302"/>
    <w:rsid w:val="65565DE9"/>
    <w:rsid w:val="65846BC3"/>
    <w:rsid w:val="65BB1FF1"/>
    <w:rsid w:val="65E02479"/>
    <w:rsid w:val="66143C2D"/>
    <w:rsid w:val="6621155B"/>
    <w:rsid w:val="665A0C45"/>
    <w:rsid w:val="666A41F2"/>
    <w:rsid w:val="667142CA"/>
    <w:rsid w:val="66A97B02"/>
    <w:rsid w:val="66C91495"/>
    <w:rsid w:val="66D51156"/>
    <w:rsid w:val="66D91535"/>
    <w:rsid w:val="66E35129"/>
    <w:rsid w:val="66E55D21"/>
    <w:rsid w:val="66FB0902"/>
    <w:rsid w:val="66FF3B38"/>
    <w:rsid w:val="670775EB"/>
    <w:rsid w:val="67200AA1"/>
    <w:rsid w:val="67351D49"/>
    <w:rsid w:val="674A4E59"/>
    <w:rsid w:val="67544269"/>
    <w:rsid w:val="675E1C15"/>
    <w:rsid w:val="67686E51"/>
    <w:rsid w:val="678064C4"/>
    <w:rsid w:val="67920381"/>
    <w:rsid w:val="67943989"/>
    <w:rsid w:val="67A21E2E"/>
    <w:rsid w:val="67B10283"/>
    <w:rsid w:val="67B50A89"/>
    <w:rsid w:val="67DB2F87"/>
    <w:rsid w:val="67E07373"/>
    <w:rsid w:val="67FF13EC"/>
    <w:rsid w:val="68063F90"/>
    <w:rsid w:val="68183F6D"/>
    <w:rsid w:val="68246F8B"/>
    <w:rsid w:val="68431027"/>
    <w:rsid w:val="684B732F"/>
    <w:rsid w:val="685C72B9"/>
    <w:rsid w:val="687F6728"/>
    <w:rsid w:val="689D41C3"/>
    <w:rsid w:val="68CA5D6E"/>
    <w:rsid w:val="68CF2329"/>
    <w:rsid w:val="68DA5E20"/>
    <w:rsid w:val="68DF4F2B"/>
    <w:rsid w:val="690723A1"/>
    <w:rsid w:val="690D464A"/>
    <w:rsid w:val="690F2F18"/>
    <w:rsid w:val="69113FEB"/>
    <w:rsid w:val="692416F4"/>
    <w:rsid w:val="69256292"/>
    <w:rsid w:val="69266EEC"/>
    <w:rsid w:val="694C0E3E"/>
    <w:rsid w:val="69AC4117"/>
    <w:rsid w:val="69B406C0"/>
    <w:rsid w:val="69C52D24"/>
    <w:rsid w:val="69ED11B0"/>
    <w:rsid w:val="69F41483"/>
    <w:rsid w:val="69F96E9C"/>
    <w:rsid w:val="6A0B56DD"/>
    <w:rsid w:val="6A104573"/>
    <w:rsid w:val="6A2045A6"/>
    <w:rsid w:val="6A2837FE"/>
    <w:rsid w:val="6A2C2329"/>
    <w:rsid w:val="6A320654"/>
    <w:rsid w:val="6A386DC7"/>
    <w:rsid w:val="6A3C5EDC"/>
    <w:rsid w:val="6A563533"/>
    <w:rsid w:val="6A833C18"/>
    <w:rsid w:val="6A9B1A51"/>
    <w:rsid w:val="6AE00A7A"/>
    <w:rsid w:val="6AE070E8"/>
    <w:rsid w:val="6AF16B24"/>
    <w:rsid w:val="6AF46067"/>
    <w:rsid w:val="6B0C7755"/>
    <w:rsid w:val="6B145907"/>
    <w:rsid w:val="6B3A7ABC"/>
    <w:rsid w:val="6B5E17F2"/>
    <w:rsid w:val="6B6167F0"/>
    <w:rsid w:val="6B774707"/>
    <w:rsid w:val="6B7C42D3"/>
    <w:rsid w:val="6B981F6D"/>
    <w:rsid w:val="6BC00E48"/>
    <w:rsid w:val="6BD059B6"/>
    <w:rsid w:val="6BDB18FC"/>
    <w:rsid w:val="6C045BF0"/>
    <w:rsid w:val="6C3B7713"/>
    <w:rsid w:val="6C513B3C"/>
    <w:rsid w:val="6C517A2C"/>
    <w:rsid w:val="6C5546A1"/>
    <w:rsid w:val="6C57487F"/>
    <w:rsid w:val="6C7B4B9C"/>
    <w:rsid w:val="6C7F1C3B"/>
    <w:rsid w:val="6CB2690B"/>
    <w:rsid w:val="6CB667E6"/>
    <w:rsid w:val="6CC0052F"/>
    <w:rsid w:val="6CC120FC"/>
    <w:rsid w:val="6CC96DBF"/>
    <w:rsid w:val="6CDD1BF7"/>
    <w:rsid w:val="6CE21F8F"/>
    <w:rsid w:val="6CF86B56"/>
    <w:rsid w:val="6D046DB6"/>
    <w:rsid w:val="6D08567C"/>
    <w:rsid w:val="6D250004"/>
    <w:rsid w:val="6D407845"/>
    <w:rsid w:val="6D415D74"/>
    <w:rsid w:val="6D632059"/>
    <w:rsid w:val="6D6B2F90"/>
    <w:rsid w:val="6D816E3C"/>
    <w:rsid w:val="6D9771AC"/>
    <w:rsid w:val="6DA3010D"/>
    <w:rsid w:val="6DA91FD7"/>
    <w:rsid w:val="6DAC7B02"/>
    <w:rsid w:val="6DB16386"/>
    <w:rsid w:val="6DE34316"/>
    <w:rsid w:val="6DF63D63"/>
    <w:rsid w:val="6E1B512B"/>
    <w:rsid w:val="6E1F1170"/>
    <w:rsid w:val="6E215179"/>
    <w:rsid w:val="6E225D58"/>
    <w:rsid w:val="6E2B0E67"/>
    <w:rsid w:val="6E2B315C"/>
    <w:rsid w:val="6E2D3D55"/>
    <w:rsid w:val="6E2E2B8B"/>
    <w:rsid w:val="6E477F27"/>
    <w:rsid w:val="6E4A4D51"/>
    <w:rsid w:val="6E4E0561"/>
    <w:rsid w:val="6E577D60"/>
    <w:rsid w:val="6E5E3A65"/>
    <w:rsid w:val="6E6271C2"/>
    <w:rsid w:val="6E7167C2"/>
    <w:rsid w:val="6E766A60"/>
    <w:rsid w:val="6E7F7504"/>
    <w:rsid w:val="6E8035BC"/>
    <w:rsid w:val="6E8544EF"/>
    <w:rsid w:val="6EAE5CDD"/>
    <w:rsid w:val="6EB84432"/>
    <w:rsid w:val="6ED337A8"/>
    <w:rsid w:val="6ED47580"/>
    <w:rsid w:val="6ED51CB5"/>
    <w:rsid w:val="6EDF3491"/>
    <w:rsid w:val="6F4A462F"/>
    <w:rsid w:val="6F4F5AD7"/>
    <w:rsid w:val="6F5823AA"/>
    <w:rsid w:val="6F666E65"/>
    <w:rsid w:val="6F672765"/>
    <w:rsid w:val="6F711D11"/>
    <w:rsid w:val="6F801AE8"/>
    <w:rsid w:val="6F975327"/>
    <w:rsid w:val="6FB13DDC"/>
    <w:rsid w:val="6FB35F22"/>
    <w:rsid w:val="6FC1211F"/>
    <w:rsid w:val="6FDE4875"/>
    <w:rsid w:val="6FEF71B5"/>
    <w:rsid w:val="700261B0"/>
    <w:rsid w:val="70036A9E"/>
    <w:rsid w:val="704F379C"/>
    <w:rsid w:val="707819DD"/>
    <w:rsid w:val="70783560"/>
    <w:rsid w:val="707F68F7"/>
    <w:rsid w:val="709C435E"/>
    <w:rsid w:val="70A10ACF"/>
    <w:rsid w:val="70A751BB"/>
    <w:rsid w:val="70C745CA"/>
    <w:rsid w:val="70D96BE4"/>
    <w:rsid w:val="70E11184"/>
    <w:rsid w:val="7112161F"/>
    <w:rsid w:val="71143DDD"/>
    <w:rsid w:val="71171748"/>
    <w:rsid w:val="71340B3C"/>
    <w:rsid w:val="71341EA1"/>
    <w:rsid w:val="71366007"/>
    <w:rsid w:val="714B429D"/>
    <w:rsid w:val="716A502B"/>
    <w:rsid w:val="717442A3"/>
    <w:rsid w:val="71755A78"/>
    <w:rsid w:val="717E2E69"/>
    <w:rsid w:val="71814B61"/>
    <w:rsid w:val="718412B5"/>
    <w:rsid w:val="718F7FCF"/>
    <w:rsid w:val="71A55641"/>
    <w:rsid w:val="71B640B9"/>
    <w:rsid w:val="71F70B5B"/>
    <w:rsid w:val="7239102C"/>
    <w:rsid w:val="7249183F"/>
    <w:rsid w:val="72700B18"/>
    <w:rsid w:val="72850960"/>
    <w:rsid w:val="7286755D"/>
    <w:rsid w:val="7294004F"/>
    <w:rsid w:val="72B40F1F"/>
    <w:rsid w:val="72EA5884"/>
    <w:rsid w:val="72F06C85"/>
    <w:rsid w:val="72FB49AF"/>
    <w:rsid w:val="730C074B"/>
    <w:rsid w:val="73270725"/>
    <w:rsid w:val="73290C41"/>
    <w:rsid w:val="732A3298"/>
    <w:rsid w:val="732D5DC5"/>
    <w:rsid w:val="733A02D4"/>
    <w:rsid w:val="733A1096"/>
    <w:rsid w:val="733C0484"/>
    <w:rsid w:val="73545C9D"/>
    <w:rsid w:val="73863AB6"/>
    <w:rsid w:val="73915BBA"/>
    <w:rsid w:val="73997D7F"/>
    <w:rsid w:val="739F7DDD"/>
    <w:rsid w:val="73C206A1"/>
    <w:rsid w:val="73D2688D"/>
    <w:rsid w:val="73D6450C"/>
    <w:rsid w:val="7407605B"/>
    <w:rsid w:val="742D5A7D"/>
    <w:rsid w:val="74302DC3"/>
    <w:rsid w:val="744215FB"/>
    <w:rsid w:val="74C9289A"/>
    <w:rsid w:val="74F66238"/>
    <w:rsid w:val="74FA5D1E"/>
    <w:rsid w:val="74FB6001"/>
    <w:rsid w:val="750D03A6"/>
    <w:rsid w:val="751C353C"/>
    <w:rsid w:val="751D1FFC"/>
    <w:rsid w:val="75663B25"/>
    <w:rsid w:val="75664396"/>
    <w:rsid w:val="758B0FDD"/>
    <w:rsid w:val="75A460BA"/>
    <w:rsid w:val="75AB5587"/>
    <w:rsid w:val="75CC4A87"/>
    <w:rsid w:val="75F36720"/>
    <w:rsid w:val="76364737"/>
    <w:rsid w:val="765F33A4"/>
    <w:rsid w:val="76637662"/>
    <w:rsid w:val="76823AD8"/>
    <w:rsid w:val="76BD0EEF"/>
    <w:rsid w:val="76D161A2"/>
    <w:rsid w:val="770A2F6E"/>
    <w:rsid w:val="770C216A"/>
    <w:rsid w:val="77142C06"/>
    <w:rsid w:val="771D3521"/>
    <w:rsid w:val="772C33D8"/>
    <w:rsid w:val="773B23B9"/>
    <w:rsid w:val="7787392A"/>
    <w:rsid w:val="77940A9B"/>
    <w:rsid w:val="77A21D66"/>
    <w:rsid w:val="77A32225"/>
    <w:rsid w:val="77B30E86"/>
    <w:rsid w:val="77D428F6"/>
    <w:rsid w:val="77EB535A"/>
    <w:rsid w:val="77F56071"/>
    <w:rsid w:val="77F66FC5"/>
    <w:rsid w:val="77FB4D98"/>
    <w:rsid w:val="780445AA"/>
    <w:rsid w:val="780B4D84"/>
    <w:rsid w:val="78420247"/>
    <w:rsid w:val="784851FA"/>
    <w:rsid w:val="788E17B3"/>
    <w:rsid w:val="788F505D"/>
    <w:rsid w:val="7899337E"/>
    <w:rsid w:val="78A173DF"/>
    <w:rsid w:val="78A73657"/>
    <w:rsid w:val="78A86127"/>
    <w:rsid w:val="78CA013C"/>
    <w:rsid w:val="78D41E8B"/>
    <w:rsid w:val="78EB5FAC"/>
    <w:rsid w:val="78F20F45"/>
    <w:rsid w:val="79047904"/>
    <w:rsid w:val="794A6F77"/>
    <w:rsid w:val="797325B5"/>
    <w:rsid w:val="79927E6B"/>
    <w:rsid w:val="799C65B4"/>
    <w:rsid w:val="79A06DEE"/>
    <w:rsid w:val="79A07621"/>
    <w:rsid w:val="79AE4635"/>
    <w:rsid w:val="79BB460E"/>
    <w:rsid w:val="79CE28AF"/>
    <w:rsid w:val="79EB1A9F"/>
    <w:rsid w:val="7A265727"/>
    <w:rsid w:val="7A443589"/>
    <w:rsid w:val="7ABD7706"/>
    <w:rsid w:val="7AD93830"/>
    <w:rsid w:val="7AF86291"/>
    <w:rsid w:val="7B2B0159"/>
    <w:rsid w:val="7B5B021A"/>
    <w:rsid w:val="7B5F49F4"/>
    <w:rsid w:val="7B692890"/>
    <w:rsid w:val="7B6C5457"/>
    <w:rsid w:val="7B6F332C"/>
    <w:rsid w:val="7B75358B"/>
    <w:rsid w:val="7BA75CDD"/>
    <w:rsid w:val="7BCD20A3"/>
    <w:rsid w:val="7BE27395"/>
    <w:rsid w:val="7BF1321C"/>
    <w:rsid w:val="7BF73E78"/>
    <w:rsid w:val="7BFE2FA0"/>
    <w:rsid w:val="7C1D33ED"/>
    <w:rsid w:val="7C4249DC"/>
    <w:rsid w:val="7C431AA4"/>
    <w:rsid w:val="7C55521B"/>
    <w:rsid w:val="7C797A47"/>
    <w:rsid w:val="7CC04FC7"/>
    <w:rsid w:val="7CD2604D"/>
    <w:rsid w:val="7D235DBE"/>
    <w:rsid w:val="7D241B91"/>
    <w:rsid w:val="7D5B457C"/>
    <w:rsid w:val="7D6A4448"/>
    <w:rsid w:val="7DA26E36"/>
    <w:rsid w:val="7DC5007A"/>
    <w:rsid w:val="7DC52D0A"/>
    <w:rsid w:val="7DD826BB"/>
    <w:rsid w:val="7DDB5EAE"/>
    <w:rsid w:val="7DE1372E"/>
    <w:rsid w:val="7DEE789A"/>
    <w:rsid w:val="7E0B2F7B"/>
    <w:rsid w:val="7E2C20E4"/>
    <w:rsid w:val="7E2D7BF2"/>
    <w:rsid w:val="7E341EFF"/>
    <w:rsid w:val="7E37524A"/>
    <w:rsid w:val="7E3930B8"/>
    <w:rsid w:val="7E3E09CD"/>
    <w:rsid w:val="7E7D4520"/>
    <w:rsid w:val="7E8B30ED"/>
    <w:rsid w:val="7E932E62"/>
    <w:rsid w:val="7E9A62EF"/>
    <w:rsid w:val="7EDF677D"/>
    <w:rsid w:val="7EF946F2"/>
    <w:rsid w:val="7F080220"/>
    <w:rsid w:val="7F32217F"/>
    <w:rsid w:val="7F54130E"/>
    <w:rsid w:val="7F720F51"/>
    <w:rsid w:val="7F7A2608"/>
    <w:rsid w:val="7F9F6368"/>
    <w:rsid w:val="7FBC080E"/>
    <w:rsid w:val="7FC17BAA"/>
    <w:rsid w:val="7FDB5DDB"/>
    <w:rsid w:val="7FEA4B66"/>
    <w:rsid w:val="7FF972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24"/>
      <w:lang w:val="en-US" w:eastAsia="zh-CN" w:bidi="ar-SA"/>
    </w:rPr>
  </w:style>
  <w:style w:type="paragraph" w:styleId="3">
    <w:name w:val="heading 1"/>
    <w:basedOn w:val="1"/>
    <w:next w:val="1"/>
    <w:link w:val="289"/>
    <w:qFormat/>
    <w:uiPriority w:val="0"/>
    <w:pPr>
      <w:keepNext/>
      <w:keepLines/>
      <w:snapToGrid w:val="0"/>
      <w:spacing w:beforeLines="50" w:afterLines="50" w:line="520" w:lineRule="exact"/>
      <w:jc w:val="center"/>
      <w:outlineLvl w:val="0"/>
    </w:pPr>
    <w:rPr>
      <w:rFonts w:ascii="黑体" w:hAnsi="黑体" w:eastAsia="黑体"/>
      <w:b/>
      <w:bCs/>
      <w:kern w:val="44"/>
      <w:sz w:val="36"/>
      <w:szCs w:val="36"/>
    </w:rPr>
  </w:style>
  <w:style w:type="paragraph" w:styleId="4">
    <w:name w:val="heading 2"/>
    <w:basedOn w:val="1"/>
    <w:next w:val="1"/>
    <w:link w:val="357"/>
    <w:qFormat/>
    <w:uiPriority w:val="0"/>
    <w:pPr>
      <w:keepNext/>
      <w:keepLines/>
      <w:snapToGrid w:val="0"/>
      <w:spacing w:line="520" w:lineRule="exact"/>
      <w:jc w:val="left"/>
      <w:outlineLvl w:val="1"/>
    </w:pPr>
    <w:rPr>
      <w:rFonts w:ascii="楷体" w:hAnsi="楷体" w:eastAsia="楷体"/>
      <w:b/>
      <w:bCs/>
      <w:sz w:val="32"/>
      <w:szCs w:val="32"/>
    </w:rPr>
  </w:style>
  <w:style w:type="paragraph" w:styleId="5">
    <w:name w:val="heading 3"/>
    <w:basedOn w:val="1"/>
    <w:next w:val="1"/>
    <w:link w:val="82"/>
    <w:qFormat/>
    <w:uiPriority w:val="0"/>
    <w:pPr>
      <w:keepNext/>
      <w:keepLines/>
      <w:snapToGrid w:val="0"/>
      <w:spacing w:line="520" w:lineRule="exact"/>
      <w:jc w:val="left"/>
      <w:outlineLvl w:val="2"/>
    </w:pPr>
    <w:rPr>
      <w:rFonts w:ascii="黑体" w:hAnsi="黑体" w:eastAsia="黑体"/>
      <w:b/>
      <w:bCs/>
      <w:snapToGrid w:val="0"/>
      <w:sz w:val="28"/>
      <w:szCs w:val="28"/>
    </w:rPr>
  </w:style>
  <w:style w:type="paragraph" w:styleId="6">
    <w:name w:val="heading 4"/>
    <w:basedOn w:val="1"/>
    <w:next w:val="1"/>
    <w:link w:val="319"/>
    <w:qFormat/>
    <w:uiPriority w:val="0"/>
    <w:pPr>
      <w:snapToGrid w:val="0"/>
      <w:spacing w:line="360" w:lineRule="auto"/>
      <w:jc w:val="left"/>
      <w:outlineLvl w:val="3"/>
    </w:pPr>
    <w:rPr>
      <w:rFonts w:ascii="黑体" w:hAnsi="黑体" w:eastAsia="黑体"/>
      <w:b/>
      <w:bCs/>
      <w:kern w:val="2"/>
      <w:sz w:val="28"/>
      <w:szCs w:val="28"/>
    </w:rPr>
  </w:style>
  <w:style w:type="paragraph" w:styleId="7">
    <w:name w:val="heading 5"/>
    <w:basedOn w:val="1"/>
    <w:next w:val="1"/>
    <w:qFormat/>
    <w:uiPriority w:val="0"/>
    <w:pPr>
      <w:keepNext/>
      <w:keepLines/>
      <w:spacing w:line="374" w:lineRule="auto"/>
      <w:outlineLvl w:val="4"/>
    </w:pPr>
    <w:rPr>
      <w:b/>
      <w:bCs/>
      <w:sz w:val="28"/>
      <w:szCs w:val="28"/>
    </w:rPr>
  </w:style>
  <w:style w:type="paragraph" w:styleId="8">
    <w:name w:val="heading 6"/>
    <w:basedOn w:val="1"/>
    <w:next w:val="9"/>
    <w:qFormat/>
    <w:uiPriority w:val="0"/>
    <w:pPr>
      <w:keepNext/>
      <w:keepLines/>
      <w:spacing w:line="320" w:lineRule="auto"/>
      <w:outlineLvl w:val="5"/>
    </w:pPr>
    <w:rPr>
      <w:rFonts w:ascii="Arial" w:hAnsi="Arial" w:eastAsia="黑体"/>
      <w:b/>
    </w:rPr>
  </w:style>
  <w:style w:type="paragraph" w:styleId="10">
    <w:name w:val="heading 7"/>
    <w:basedOn w:val="1"/>
    <w:next w:val="9"/>
    <w:qFormat/>
    <w:uiPriority w:val="0"/>
    <w:pPr>
      <w:keepNext/>
      <w:keepLines/>
      <w:spacing w:line="320" w:lineRule="auto"/>
      <w:outlineLvl w:val="6"/>
    </w:pPr>
    <w:rPr>
      <w:b/>
    </w:rPr>
  </w:style>
  <w:style w:type="paragraph" w:styleId="11">
    <w:name w:val="heading 8"/>
    <w:basedOn w:val="1"/>
    <w:next w:val="9"/>
    <w:qFormat/>
    <w:uiPriority w:val="0"/>
    <w:pPr>
      <w:keepNext/>
      <w:keepLines/>
      <w:spacing w:line="320" w:lineRule="auto"/>
      <w:outlineLvl w:val="7"/>
    </w:pPr>
    <w:rPr>
      <w:rFonts w:ascii="Arial" w:hAnsi="Arial" w:eastAsia="黑体"/>
    </w:rPr>
  </w:style>
  <w:style w:type="paragraph" w:styleId="12">
    <w:name w:val="heading 9"/>
    <w:basedOn w:val="1"/>
    <w:next w:val="9"/>
    <w:qFormat/>
    <w:uiPriority w:val="0"/>
    <w:pPr>
      <w:keepNext/>
      <w:keepLines/>
      <w:spacing w:line="320" w:lineRule="auto"/>
      <w:outlineLvl w:val="8"/>
    </w:pPr>
    <w:rPr>
      <w:rFonts w:ascii="Arial" w:hAnsi="Arial" w:eastAsia="黑体"/>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9">
    <w:name w:val="Normal Indent"/>
    <w:basedOn w:val="1"/>
    <w:next w:val="1"/>
    <w:link w:val="274"/>
    <w:qFormat/>
    <w:uiPriority w:val="0"/>
    <w:pPr>
      <w:ind w:firstLine="420" w:firstLineChars="200"/>
    </w:pPr>
    <w:rPr>
      <w:kern w:val="2"/>
      <w:sz w:val="21"/>
      <w:szCs w:val="24"/>
    </w:rPr>
  </w:style>
  <w:style w:type="paragraph" w:styleId="13">
    <w:name w:val="toc 7"/>
    <w:basedOn w:val="1"/>
    <w:next w:val="1"/>
    <w:qFormat/>
    <w:uiPriority w:val="39"/>
    <w:pPr>
      <w:ind w:left="2520" w:leftChars="1200"/>
    </w:pPr>
  </w:style>
  <w:style w:type="paragraph" w:styleId="14">
    <w:name w:val="index 8"/>
    <w:basedOn w:val="1"/>
    <w:next w:val="1"/>
    <w:qFormat/>
    <w:uiPriority w:val="0"/>
    <w:pPr>
      <w:ind w:left="1680" w:hanging="210"/>
      <w:jc w:val="left"/>
    </w:pPr>
  </w:style>
  <w:style w:type="paragraph" w:styleId="15">
    <w:name w:val="caption"/>
    <w:basedOn w:val="1"/>
    <w:next w:val="1"/>
    <w:qFormat/>
    <w:uiPriority w:val="0"/>
    <w:rPr>
      <w:rFonts w:ascii="Arial" w:hAnsi="Arial" w:eastAsia="黑体" w:cs="Arial"/>
      <w:sz w:val="15"/>
    </w:rPr>
  </w:style>
  <w:style w:type="paragraph" w:styleId="16">
    <w:name w:val="Document Map"/>
    <w:basedOn w:val="1"/>
    <w:link w:val="321"/>
    <w:qFormat/>
    <w:uiPriority w:val="0"/>
    <w:rPr>
      <w:sz w:val="18"/>
      <w:szCs w:val="18"/>
    </w:rPr>
  </w:style>
  <w:style w:type="paragraph" w:styleId="17">
    <w:name w:val="toa heading"/>
    <w:basedOn w:val="1"/>
    <w:next w:val="1"/>
    <w:semiHidden/>
    <w:qFormat/>
    <w:uiPriority w:val="0"/>
    <w:pPr>
      <w:spacing w:before="120"/>
    </w:pPr>
    <w:rPr>
      <w:rFonts w:ascii="Arial" w:hAnsi="Arial" w:cs="Arial"/>
      <w:kern w:val="2"/>
    </w:rPr>
  </w:style>
  <w:style w:type="paragraph" w:styleId="18">
    <w:name w:val="annotation text"/>
    <w:basedOn w:val="1"/>
    <w:qFormat/>
    <w:uiPriority w:val="0"/>
    <w:pPr>
      <w:jc w:val="left"/>
    </w:pPr>
    <w:rPr>
      <w:kern w:val="2"/>
      <w:sz w:val="21"/>
      <w:szCs w:val="24"/>
    </w:rPr>
  </w:style>
  <w:style w:type="paragraph" w:styleId="19">
    <w:name w:val="Salutation"/>
    <w:basedOn w:val="1"/>
    <w:next w:val="1"/>
    <w:qFormat/>
    <w:uiPriority w:val="0"/>
    <w:pPr>
      <w:adjustRightInd w:val="0"/>
      <w:snapToGrid w:val="0"/>
    </w:pPr>
    <w:rPr>
      <w:sz w:val="28"/>
    </w:rPr>
  </w:style>
  <w:style w:type="paragraph" w:styleId="20">
    <w:name w:val="Body Text 3"/>
    <w:basedOn w:val="1"/>
    <w:link w:val="295"/>
    <w:qFormat/>
    <w:uiPriority w:val="0"/>
    <w:rPr>
      <w:kern w:val="2"/>
      <w:sz w:val="16"/>
      <w:szCs w:val="16"/>
    </w:rPr>
  </w:style>
  <w:style w:type="paragraph" w:styleId="21">
    <w:name w:val="Body Text"/>
    <w:basedOn w:val="1"/>
    <w:next w:val="22"/>
    <w:link w:val="286"/>
    <w:qFormat/>
    <w:uiPriority w:val="0"/>
    <w:rPr>
      <w:kern w:val="2"/>
      <w:sz w:val="21"/>
      <w:szCs w:val="24"/>
    </w:rPr>
  </w:style>
  <w:style w:type="paragraph" w:customStyle="1" w:styleId="22">
    <w:name w:val="明显引用1"/>
    <w:next w:val="1"/>
    <w:autoRedefine/>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styleId="23">
    <w:name w:val="Body Text Indent"/>
    <w:basedOn w:val="1"/>
    <w:qFormat/>
    <w:uiPriority w:val="0"/>
    <w:pPr>
      <w:ind w:left="420" w:leftChars="200"/>
    </w:pPr>
  </w:style>
  <w:style w:type="paragraph" w:styleId="24">
    <w:name w:val="Block Text"/>
    <w:basedOn w:val="1"/>
    <w:qFormat/>
    <w:uiPriority w:val="0"/>
    <w:pPr>
      <w:adjustRightInd w:val="0"/>
      <w:spacing w:line="312" w:lineRule="atLeast"/>
      <w:ind w:left="210" w:right="16"/>
      <w:textAlignment w:val="baseline"/>
    </w:pPr>
    <w:rPr>
      <w:sz w:val="28"/>
    </w:rPr>
  </w:style>
  <w:style w:type="paragraph" w:styleId="25">
    <w:name w:val="List Bullet 2"/>
    <w:basedOn w:val="1"/>
    <w:qFormat/>
    <w:uiPriority w:val="0"/>
    <w:pPr>
      <w:spacing w:line="500" w:lineRule="exact"/>
      <w:ind w:firstLine="211" w:firstLineChars="100"/>
      <w:jc w:val="center"/>
    </w:pPr>
    <w:rPr>
      <w:rFonts w:hAnsi="宋体"/>
      <w:b/>
      <w:snapToGrid w:val="0"/>
      <w:color w:val="000000"/>
    </w:rPr>
  </w:style>
  <w:style w:type="paragraph" w:styleId="26">
    <w:name w:val="toc 5"/>
    <w:basedOn w:val="1"/>
    <w:next w:val="1"/>
    <w:qFormat/>
    <w:uiPriority w:val="39"/>
    <w:pPr>
      <w:ind w:left="1680" w:leftChars="800"/>
    </w:pPr>
  </w:style>
  <w:style w:type="paragraph" w:styleId="27">
    <w:name w:val="toc 3"/>
    <w:basedOn w:val="1"/>
    <w:next w:val="1"/>
    <w:qFormat/>
    <w:uiPriority w:val="39"/>
    <w:pPr>
      <w:ind w:left="840" w:leftChars="400"/>
    </w:pPr>
  </w:style>
  <w:style w:type="paragraph" w:styleId="28">
    <w:name w:val="Plain Text"/>
    <w:basedOn w:val="1"/>
    <w:link w:val="270"/>
    <w:qFormat/>
    <w:uiPriority w:val="0"/>
    <w:pPr>
      <w:adjustRightInd w:val="0"/>
      <w:textAlignment w:val="baseline"/>
    </w:pPr>
    <w:rPr>
      <w:rFonts w:hAnsi="Courier New"/>
      <w:kern w:val="2"/>
      <w:sz w:val="28"/>
    </w:rPr>
  </w:style>
  <w:style w:type="paragraph" w:styleId="29">
    <w:name w:val="List Bullet 5"/>
    <w:basedOn w:val="1"/>
    <w:qFormat/>
    <w:uiPriority w:val="0"/>
    <w:pPr>
      <w:numPr>
        <w:ilvl w:val="0"/>
        <w:numId w:val="1"/>
      </w:numPr>
    </w:pPr>
  </w:style>
  <w:style w:type="paragraph" w:styleId="30">
    <w:name w:val="toc 8"/>
    <w:basedOn w:val="1"/>
    <w:next w:val="1"/>
    <w:qFormat/>
    <w:uiPriority w:val="39"/>
    <w:pPr>
      <w:ind w:left="2940" w:leftChars="1400"/>
    </w:pPr>
  </w:style>
  <w:style w:type="paragraph" w:styleId="31">
    <w:name w:val="Date"/>
    <w:basedOn w:val="1"/>
    <w:next w:val="1"/>
    <w:link w:val="280"/>
    <w:qFormat/>
    <w:uiPriority w:val="0"/>
  </w:style>
  <w:style w:type="paragraph" w:styleId="32">
    <w:name w:val="Body Text Indent 2"/>
    <w:basedOn w:val="1"/>
    <w:next w:val="1"/>
    <w:qFormat/>
    <w:uiPriority w:val="0"/>
    <w:pPr>
      <w:spacing w:line="480" w:lineRule="auto"/>
      <w:ind w:left="420" w:leftChars="200"/>
    </w:pPr>
  </w:style>
  <w:style w:type="paragraph" w:styleId="33">
    <w:name w:val="Balloon Text"/>
    <w:basedOn w:val="1"/>
    <w:qFormat/>
    <w:uiPriority w:val="0"/>
    <w:rPr>
      <w:sz w:val="18"/>
      <w:szCs w:val="18"/>
    </w:rPr>
  </w:style>
  <w:style w:type="paragraph" w:styleId="34">
    <w:name w:val="footer"/>
    <w:basedOn w:val="1"/>
    <w:link w:val="332"/>
    <w:qFormat/>
    <w:uiPriority w:val="0"/>
    <w:pPr>
      <w:tabs>
        <w:tab w:val="center" w:pos="4153"/>
        <w:tab w:val="right" w:pos="8306"/>
      </w:tabs>
      <w:snapToGrid w:val="0"/>
      <w:jc w:val="left"/>
    </w:pPr>
    <w:rPr>
      <w:sz w:val="18"/>
      <w:szCs w:val="18"/>
    </w:rPr>
  </w:style>
  <w:style w:type="paragraph" w:styleId="35">
    <w:name w:val="header"/>
    <w:basedOn w:val="1"/>
    <w:qFormat/>
    <w:uiPriority w:val="0"/>
    <w:pPr>
      <w:pBdr>
        <w:bottom w:val="single" w:color="auto" w:sz="6" w:space="1"/>
      </w:pBdr>
      <w:tabs>
        <w:tab w:val="center" w:pos="4153"/>
        <w:tab w:val="right" w:pos="8306"/>
      </w:tabs>
      <w:snapToGrid w:val="0"/>
      <w:jc w:val="center"/>
    </w:pPr>
    <w:rPr>
      <w:sz w:val="18"/>
    </w:rPr>
  </w:style>
  <w:style w:type="paragraph" w:styleId="36">
    <w:name w:val="toc 1"/>
    <w:basedOn w:val="1"/>
    <w:next w:val="1"/>
    <w:qFormat/>
    <w:uiPriority w:val="39"/>
  </w:style>
  <w:style w:type="paragraph" w:styleId="37">
    <w:name w:val="toc 4"/>
    <w:basedOn w:val="1"/>
    <w:next w:val="1"/>
    <w:qFormat/>
    <w:uiPriority w:val="39"/>
    <w:pPr>
      <w:ind w:left="1260" w:leftChars="600"/>
    </w:pPr>
  </w:style>
  <w:style w:type="paragraph" w:styleId="38">
    <w:name w:val="index heading"/>
    <w:basedOn w:val="1"/>
    <w:next w:val="39"/>
    <w:qFormat/>
    <w:uiPriority w:val="0"/>
  </w:style>
  <w:style w:type="paragraph" w:styleId="39">
    <w:name w:val="index 1"/>
    <w:basedOn w:val="1"/>
    <w:next w:val="1"/>
    <w:qFormat/>
    <w:uiPriority w:val="0"/>
  </w:style>
  <w:style w:type="paragraph" w:styleId="40">
    <w:name w:val="Subtitle"/>
    <w:basedOn w:val="1"/>
    <w:next w:val="1"/>
    <w:qFormat/>
    <w:uiPriority w:val="0"/>
    <w:pPr>
      <w:spacing w:line="312" w:lineRule="auto"/>
      <w:jc w:val="center"/>
      <w:outlineLvl w:val="1"/>
    </w:pPr>
    <w:rPr>
      <w:rFonts w:ascii="Cambria" w:hAnsi="Cambria"/>
      <w:b/>
      <w:bCs/>
      <w:kern w:val="28"/>
      <w:sz w:val="32"/>
      <w:szCs w:val="32"/>
    </w:rPr>
  </w:style>
  <w:style w:type="paragraph" w:styleId="41">
    <w:name w:val="toc 6"/>
    <w:basedOn w:val="1"/>
    <w:next w:val="1"/>
    <w:qFormat/>
    <w:uiPriority w:val="39"/>
    <w:pPr>
      <w:ind w:left="2100" w:leftChars="1000"/>
    </w:pPr>
  </w:style>
  <w:style w:type="paragraph" w:styleId="42">
    <w:name w:val="Body Text Indent 3"/>
    <w:basedOn w:val="1"/>
    <w:qFormat/>
    <w:uiPriority w:val="0"/>
    <w:pPr>
      <w:ind w:left="420" w:leftChars="200"/>
    </w:pPr>
    <w:rPr>
      <w:sz w:val="16"/>
      <w:szCs w:val="16"/>
    </w:rPr>
  </w:style>
  <w:style w:type="paragraph" w:styleId="43">
    <w:name w:val="table of figures"/>
    <w:basedOn w:val="1"/>
    <w:next w:val="1"/>
    <w:qFormat/>
    <w:uiPriority w:val="0"/>
    <w:pPr>
      <w:ind w:left="420" w:hanging="420"/>
      <w:jc w:val="left"/>
    </w:pPr>
    <w:rPr>
      <w:smallCaps/>
    </w:rPr>
  </w:style>
  <w:style w:type="paragraph" w:styleId="44">
    <w:name w:val="toc 2"/>
    <w:basedOn w:val="1"/>
    <w:next w:val="1"/>
    <w:qFormat/>
    <w:uiPriority w:val="39"/>
    <w:pPr>
      <w:ind w:left="420" w:leftChars="200"/>
    </w:pPr>
  </w:style>
  <w:style w:type="paragraph" w:styleId="45">
    <w:name w:val="toc 9"/>
    <w:basedOn w:val="1"/>
    <w:next w:val="1"/>
    <w:qFormat/>
    <w:uiPriority w:val="39"/>
    <w:pPr>
      <w:ind w:left="3360" w:leftChars="1600"/>
    </w:pPr>
  </w:style>
  <w:style w:type="paragraph" w:styleId="46">
    <w:name w:val="Body Text 2"/>
    <w:basedOn w:val="1"/>
    <w:qFormat/>
    <w:uiPriority w:val="0"/>
    <w:pPr>
      <w:jc w:val="center"/>
    </w:pPr>
  </w:style>
  <w:style w:type="paragraph" w:styleId="4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cs="宋体"/>
    </w:rPr>
  </w:style>
  <w:style w:type="paragraph" w:styleId="48">
    <w:name w:val="Normal (Web)"/>
    <w:basedOn w:val="1"/>
    <w:qFormat/>
    <w:uiPriority w:val="0"/>
    <w:pPr>
      <w:widowControl/>
      <w:spacing w:beforeAutospacing="1" w:afterAutospacing="1"/>
      <w:jc w:val="left"/>
    </w:pPr>
    <w:rPr>
      <w:rFonts w:ascii="Arial Unicode MS" w:hAnsi="Arial Unicode MS" w:eastAsia="Arial Unicode MS"/>
    </w:rPr>
  </w:style>
  <w:style w:type="paragraph" w:styleId="49">
    <w:name w:val="Title"/>
    <w:basedOn w:val="1"/>
    <w:next w:val="1"/>
    <w:link w:val="314"/>
    <w:qFormat/>
    <w:uiPriority w:val="0"/>
    <w:pPr>
      <w:jc w:val="center"/>
      <w:outlineLvl w:val="0"/>
    </w:pPr>
  </w:style>
  <w:style w:type="paragraph" w:styleId="50">
    <w:name w:val="annotation subject"/>
    <w:basedOn w:val="18"/>
    <w:next w:val="18"/>
    <w:qFormat/>
    <w:uiPriority w:val="0"/>
    <w:rPr>
      <w:b/>
      <w:bCs/>
    </w:rPr>
  </w:style>
  <w:style w:type="paragraph" w:styleId="51">
    <w:name w:val="Body Text First Indent"/>
    <w:basedOn w:val="21"/>
    <w:next w:val="1"/>
    <w:qFormat/>
    <w:uiPriority w:val="0"/>
    <w:pPr>
      <w:ind w:firstLine="420" w:firstLineChars="100"/>
    </w:pPr>
  </w:style>
  <w:style w:type="paragraph" w:styleId="52">
    <w:name w:val="Body Text First Indent 2"/>
    <w:basedOn w:val="23"/>
    <w:unhideWhenUsed/>
    <w:qFormat/>
    <w:uiPriority w:val="99"/>
    <w:pPr>
      <w:ind w:firstLine="420" w:firstLineChars="200"/>
    </w:pPr>
  </w:style>
  <w:style w:type="table" w:styleId="54">
    <w:name w:val="Table Grid"/>
    <w:basedOn w:val="53"/>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basedOn w:val="55"/>
    <w:qFormat/>
    <w:uiPriority w:val="0"/>
    <w:rPr>
      <w:b/>
      <w:bCs/>
    </w:rPr>
  </w:style>
  <w:style w:type="character" w:styleId="57">
    <w:name w:val="page number"/>
    <w:basedOn w:val="55"/>
    <w:qFormat/>
    <w:uiPriority w:val="0"/>
    <w:rPr>
      <w:rFonts w:hint="default" w:ascii="Times New Roman"/>
    </w:rPr>
  </w:style>
  <w:style w:type="character" w:styleId="58">
    <w:name w:val="FollowedHyperlink"/>
    <w:basedOn w:val="55"/>
    <w:qFormat/>
    <w:uiPriority w:val="0"/>
    <w:rPr>
      <w:color w:val="000000"/>
      <w:u w:val="none"/>
    </w:rPr>
  </w:style>
  <w:style w:type="character" w:styleId="59">
    <w:name w:val="Emphasis"/>
    <w:basedOn w:val="55"/>
    <w:qFormat/>
    <w:uiPriority w:val="0"/>
    <w:rPr>
      <w:i/>
      <w:iCs/>
    </w:rPr>
  </w:style>
  <w:style w:type="character" w:styleId="60">
    <w:name w:val="HTML Definition"/>
    <w:basedOn w:val="55"/>
    <w:qFormat/>
    <w:uiPriority w:val="0"/>
  </w:style>
  <w:style w:type="character" w:styleId="61">
    <w:name w:val="HTML Variable"/>
    <w:basedOn w:val="55"/>
    <w:qFormat/>
    <w:uiPriority w:val="0"/>
  </w:style>
  <w:style w:type="character" w:styleId="62">
    <w:name w:val="Hyperlink"/>
    <w:basedOn w:val="55"/>
    <w:qFormat/>
    <w:uiPriority w:val="99"/>
    <w:rPr>
      <w:color w:val="000000"/>
      <w:u w:val="none"/>
    </w:rPr>
  </w:style>
  <w:style w:type="character" w:styleId="63">
    <w:name w:val="HTML Code"/>
    <w:basedOn w:val="55"/>
    <w:qFormat/>
    <w:uiPriority w:val="0"/>
    <w:rPr>
      <w:rFonts w:hint="default" w:ascii="monospace" w:hAnsi="monospace" w:eastAsia="monospace" w:cs="monospace"/>
      <w:sz w:val="21"/>
      <w:szCs w:val="21"/>
    </w:rPr>
  </w:style>
  <w:style w:type="character" w:styleId="64">
    <w:name w:val="annotation reference"/>
    <w:qFormat/>
    <w:uiPriority w:val="0"/>
    <w:rPr>
      <w:sz w:val="21"/>
      <w:szCs w:val="21"/>
    </w:rPr>
  </w:style>
  <w:style w:type="character" w:styleId="65">
    <w:name w:val="HTML Cite"/>
    <w:basedOn w:val="55"/>
    <w:qFormat/>
    <w:uiPriority w:val="0"/>
    <w:rPr>
      <w:sz w:val="24"/>
      <w:szCs w:val="24"/>
    </w:rPr>
  </w:style>
  <w:style w:type="character" w:styleId="66">
    <w:name w:val="HTML Keyboard"/>
    <w:basedOn w:val="55"/>
    <w:qFormat/>
    <w:uiPriority w:val="0"/>
    <w:rPr>
      <w:rFonts w:ascii="monospace" w:hAnsi="monospace" w:eastAsia="monospace" w:cs="monospace"/>
      <w:sz w:val="21"/>
      <w:szCs w:val="21"/>
    </w:rPr>
  </w:style>
  <w:style w:type="character" w:styleId="67">
    <w:name w:val="HTML Sample"/>
    <w:basedOn w:val="55"/>
    <w:qFormat/>
    <w:uiPriority w:val="0"/>
    <w:rPr>
      <w:rFonts w:hint="default" w:ascii="monospace" w:hAnsi="monospace" w:eastAsia="monospace" w:cs="monospace"/>
      <w:sz w:val="21"/>
      <w:szCs w:val="21"/>
    </w:rPr>
  </w:style>
  <w:style w:type="paragraph" w:customStyle="1" w:styleId="68">
    <w:name w:val="样式 样式 样式 小四 首行缩进:  2.25 字符 + 首行缩进:  2.25 字符 + 首行缩进:  2 字符"/>
    <w:basedOn w:val="69"/>
    <w:qFormat/>
    <w:uiPriority w:val="0"/>
  </w:style>
  <w:style w:type="paragraph" w:customStyle="1" w:styleId="69">
    <w:name w:val="样式 样式 小四 首行缩进:  2.25 字符 + 首行缩进:  2.25 字符"/>
    <w:basedOn w:val="70"/>
    <w:qFormat/>
    <w:uiPriority w:val="0"/>
  </w:style>
  <w:style w:type="paragraph" w:customStyle="1" w:styleId="70">
    <w:name w:val="样式 小四 首行缩进:  2.25 字符"/>
    <w:basedOn w:val="1"/>
    <w:qFormat/>
    <w:uiPriority w:val="0"/>
    <w:pPr>
      <w:spacing w:line="440" w:lineRule="exact"/>
      <w:ind w:firstLine="200" w:firstLineChars="200"/>
    </w:pPr>
    <w:rPr>
      <w:rFonts w:ascii="Times New Roman"/>
    </w:rPr>
  </w:style>
  <w:style w:type="paragraph" w:customStyle="1" w:styleId="71">
    <w:name w:val="Default"/>
    <w:basedOn w:val="72"/>
    <w:next w:val="7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2">
    <w:name w:val="标题 段落4级"/>
    <w:autoRedefine/>
    <w:qFormat/>
    <w:uiPriority w:val="0"/>
    <w:pPr>
      <w:spacing w:line="500" w:lineRule="exact"/>
      <w:outlineLvl w:val="3"/>
    </w:pPr>
    <w:rPr>
      <w:rFonts w:ascii="Calibri" w:hAnsi="Calibri" w:eastAsia="仿宋_GB2312" w:cs="Calibri"/>
      <w:b/>
      <w:kern w:val="2"/>
      <w:sz w:val="28"/>
      <w:szCs w:val="24"/>
      <w:lang w:val="en-US" w:eastAsia="zh-CN" w:bidi="ar-SA"/>
    </w:rPr>
  </w:style>
  <w:style w:type="paragraph" w:customStyle="1" w:styleId="73">
    <w:name w:val="标题4"/>
    <w:basedOn w:val="6"/>
    <w:next w:val="74"/>
    <w:qFormat/>
    <w:uiPriority w:val="0"/>
    <w:pPr>
      <w:adjustRightInd w:val="0"/>
      <w:spacing w:line="600" w:lineRule="exact"/>
    </w:pPr>
    <w:rPr>
      <w:rFonts w:ascii="Times New Roman" w:hAnsi="宋体" w:eastAsia="宋体"/>
    </w:rPr>
  </w:style>
  <w:style w:type="paragraph" w:customStyle="1" w:styleId="74">
    <w:name w:val="Char1"/>
    <w:basedOn w:val="1"/>
    <w:next w:val="75"/>
    <w:qFormat/>
    <w:uiPriority w:val="0"/>
    <w:pPr>
      <w:widowControl/>
      <w:spacing w:after="160" w:line="240" w:lineRule="exact"/>
      <w:ind w:firstLine="3584"/>
    </w:pPr>
  </w:style>
  <w:style w:type="paragraph" w:customStyle="1" w:styleId="75">
    <w:name w:val="Char"/>
    <w:basedOn w:val="16"/>
    <w:next w:val="76"/>
    <w:qFormat/>
    <w:uiPriority w:val="0"/>
    <w:pPr>
      <w:widowControl/>
      <w:adjustRightInd w:val="0"/>
      <w:spacing w:line="240" w:lineRule="exact"/>
      <w:jc w:val="left"/>
      <w:textAlignment w:val="baseline"/>
    </w:pPr>
    <w:rPr>
      <w:rFonts w:ascii="Arial" w:hAnsi="Arial" w:eastAsia="Times New Roman" w:cs="Verdana"/>
      <w:b/>
      <w:lang w:eastAsia="en-US"/>
    </w:rPr>
  </w:style>
  <w:style w:type="paragraph" w:customStyle="1" w:styleId="76">
    <w:name w:val="首行缩进加粗"/>
    <w:basedOn w:val="1"/>
    <w:next w:val="77"/>
    <w:qFormat/>
    <w:uiPriority w:val="0"/>
    <w:pPr>
      <w:spacing w:line="360" w:lineRule="auto"/>
      <w:ind w:left="482" w:firstLine="4834"/>
    </w:pPr>
  </w:style>
  <w:style w:type="paragraph" w:customStyle="1" w:styleId="77">
    <w:name w:val="四级条标题"/>
    <w:basedOn w:val="78"/>
    <w:next w:val="5"/>
    <w:qFormat/>
    <w:uiPriority w:val="0"/>
    <w:pPr>
      <w:tabs>
        <w:tab w:val="left" w:pos="360"/>
      </w:tabs>
      <w:ind w:left="0"/>
      <w:outlineLvl w:val="5"/>
    </w:pPr>
  </w:style>
  <w:style w:type="paragraph" w:customStyle="1" w:styleId="78">
    <w:name w:val="三级条标题"/>
    <w:basedOn w:val="79"/>
    <w:next w:val="1"/>
    <w:qFormat/>
    <w:uiPriority w:val="0"/>
    <w:pPr>
      <w:tabs>
        <w:tab w:val="left" w:pos="360"/>
      </w:tabs>
      <w:ind w:left="1050"/>
      <w:outlineLvl w:val="4"/>
    </w:pPr>
  </w:style>
  <w:style w:type="paragraph" w:customStyle="1" w:styleId="79">
    <w:name w:val="二级条标题"/>
    <w:basedOn w:val="80"/>
    <w:next w:val="1"/>
    <w:qFormat/>
    <w:uiPriority w:val="0"/>
    <w:pPr>
      <w:tabs>
        <w:tab w:val="left" w:pos="360"/>
      </w:tabs>
      <w:ind w:left="735"/>
      <w:outlineLvl w:val="3"/>
    </w:pPr>
  </w:style>
  <w:style w:type="paragraph" w:customStyle="1" w:styleId="80">
    <w:name w:val="一级条标题"/>
    <w:basedOn w:val="81"/>
    <w:next w:val="1"/>
    <w:qFormat/>
    <w:uiPriority w:val="0"/>
    <w:pPr>
      <w:tabs>
        <w:tab w:val="left" w:pos="360"/>
      </w:tabs>
    </w:pPr>
  </w:style>
  <w:style w:type="paragraph" w:customStyle="1" w:styleId="81">
    <w:name w:val="章标题"/>
    <w:next w:val="1"/>
    <w:qFormat/>
    <w:uiPriority w:val="0"/>
    <w:pPr>
      <w:tabs>
        <w:tab w:val="left" w:pos="360"/>
      </w:tabs>
      <w:spacing w:beforeLines="50" w:afterLines="50"/>
      <w:jc w:val="both"/>
      <w:outlineLvl w:val="1"/>
    </w:pPr>
    <w:rPr>
      <w:rFonts w:ascii="黑体" w:hAnsi="Times New Roman" w:eastAsia="黑体" w:cs="Times New Roman"/>
      <w:sz w:val="21"/>
      <w:lang w:val="en-US" w:eastAsia="zh-CN" w:bidi="ar-SA"/>
    </w:rPr>
  </w:style>
  <w:style w:type="character" w:customStyle="1" w:styleId="82">
    <w:name w:val="标题 3 Char"/>
    <w:link w:val="5"/>
    <w:qFormat/>
    <w:uiPriority w:val="0"/>
    <w:rPr>
      <w:rFonts w:ascii="黑体" w:hAnsi="黑体" w:eastAsia="黑体"/>
      <w:b/>
      <w:bCs/>
      <w:snapToGrid w:val="0"/>
      <w:sz w:val="28"/>
      <w:szCs w:val="28"/>
    </w:rPr>
  </w:style>
  <w:style w:type="paragraph" w:customStyle="1" w:styleId="83">
    <w:name w:val="默认段落字体 Para Char Char Char Char Char Char Char Char Char1 Char Char Char Char Char Char Char"/>
    <w:basedOn w:val="1"/>
    <w:qFormat/>
    <w:uiPriority w:val="0"/>
    <w:pPr>
      <w:shd w:val="clear" w:color="auto" w:fill="000080"/>
      <w:snapToGrid w:val="0"/>
    </w:pPr>
    <w:rPr>
      <w:rFonts w:ascii="Times New Roman"/>
      <w:kern w:val="2"/>
      <w:sz w:val="21"/>
      <w:szCs w:val="24"/>
      <w:shd w:val="clear" w:color="auto" w:fill="000080"/>
    </w:rPr>
  </w:style>
  <w:style w:type="paragraph" w:customStyle="1" w:styleId="84">
    <w:name w:val="xl74"/>
    <w:basedOn w:val="1"/>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Ansi="宋体"/>
    </w:rPr>
  </w:style>
  <w:style w:type="paragraph" w:customStyle="1" w:styleId="85">
    <w:name w:val="正文文本缩进 21"/>
    <w:basedOn w:val="1"/>
    <w:qFormat/>
    <w:uiPriority w:val="0"/>
    <w:pPr>
      <w:widowControl/>
      <w:adjustRightInd w:val="0"/>
      <w:spacing w:line="360" w:lineRule="auto"/>
      <w:ind w:right="-1" w:firstLine="600"/>
      <w:jc w:val="left"/>
      <w:textAlignment w:val="baseline"/>
    </w:pPr>
    <w:rPr>
      <w:spacing w:val="8"/>
    </w:rPr>
  </w:style>
  <w:style w:type="paragraph" w:customStyle="1" w:styleId="86">
    <w:name w:val="样式 样式 四号 行距: 1.5 倍行距 首行缩进:  2 字符 + 首行缩进:  2 字符"/>
    <w:basedOn w:val="87"/>
    <w:qFormat/>
    <w:uiPriority w:val="0"/>
    <w:pPr>
      <w:ind w:firstLine="560"/>
    </w:pPr>
  </w:style>
  <w:style w:type="paragraph" w:customStyle="1" w:styleId="87">
    <w:name w:val="样式 四号 行距: 1.5 倍行距 首行缩进:  2 字符"/>
    <w:basedOn w:val="1"/>
    <w:qFormat/>
    <w:uiPriority w:val="0"/>
    <w:pPr>
      <w:ind w:firstLine="200" w:firstLineChars="200"/>
    </w:pPr>
    <w:rPr>
      <w:rFonts w:eastAsia="仿宋_GB2312" w:cs="宋体"/>
      <w:sz w:val="28"/>
    </w:rPr>
  </w:style>
  <w:style w:type="paragraph" w:customStyle="1" w:styleId="88">
    <w:name w:val="样式 样式 首行缩进:  0.8厘米 + 右侧:  2 字符"/>
    <w:basedOn w:val="89"/>
    <w:link w:val="275"/>
    <w:qFormat/>
    <w:uiPriority w:val="0"/>
    <w:pPr>
      <w:ind w:left="200" w:leftChars="200" w:right="0" w:rightChars="0"/>
    </w:pPr>
  </w:style>
  <w:style w:type="paragraph" w:customStyle="1" w:styleId="89">
    <w:name w:val="样式 首行缩进:  0.8厘米"/>
    <w:basedOn w:val="1"/>
    <w:link w:val="276"/>
    <w:qFormat/>
    <w:uiPriority w:val="0"/>
    <w:pPr>
      <w:spacing w:line="360" w:lineRule="auto"/>
      <w:ind w:right="200" w:rightChars="200"/>
    </w:pPr>
    <w:rPr>
      <w:snapToGrid w:val="0"/>
    </w:rPr>
  </w:style>
  <w:style w:type="paragraph" w:customStyle="1" w:styleId="90">
    <w:name w:val="Plain Text1"/>
    <w:basedOn w:val="1"/>
    <w:qFormat/>
    <w:uiPriority w:val="0"/>
    <w:pPr>
      <w:adjustRightInd w:val="0"/>
      <w:jc w:val="left"/>
      <w:textAlignment w:val="baseline"/>
    </w:pPr>
    <w:rPr>
      <w:rFonts w:hAnsi="Courier New"/>
    </w:rPr>
  </w:style>
  <w:style w:type="paragraph" w:customStyle="1" w:styleId="91">
    <w:name w:val="Char Char5 Char Char"/>
    <w:basedOn w:val="1"/>
    <w:qFormat/>
    <w:uiPriority w:val="0"/>
  </w:style>
  <w:style w:type="paragraph" w:customStyle="1" w:styleId="92">
    <w:name w:val="xl51"/>
    <w:basedOn w:val="1"/>
    <w:qFormat/>
    <w:uiPriority w:val="0"/>
    <w:pPr>
      <w:widowControl/>
      <w:pBdr>
        <w:left w:val="single" w:color="auto" w:sz="8" w:space="0"/>
        <w:bottom w:val="single" w:color="auto" w:sz="4" w:space="0"/>
        <w:right w:val="single" w:color="auto" w:sz="4" w:space="0"/>
      </w:pBdr>
      <w:spacing w:beforeAutospacing="1" w:afterAutospacing="1"/>
      <w:jc w:val="center"/>
      <w:textAlignment w:val="center"/>
    </w:pPr>
    <w:rPr>
      <w:rFonts w:hAnsi="宋体"/>
    </w:rPr>
  </w:style>
  <w:style w:type="paragraph" w:customStyle="1" w:styleId="93">
    <w:name w:val="样式6"/>
    <w:basedOn w:val="5"/>
    <w:qFormat/>
    <w:uiPriority w:val="0"/>
    <w:pPr>
      <w:keepNext w:val="0"/>
      <w:keepLines w:val="0"/>
      <w:spacing w:beforeAutospacing="1" w:afterAutospacing="1"/>
      <w:ind w:firstLine="562" w:firstLineChars="200"/>
    </w:pPr>
  </w:style>
  <w:style w:type="paragraph" w:customStyle="1" w:styleId="94">
    <w:name w:val="二级标题"/>
    <w:basedOn w:val="1"/>
    <w:next w:val="1"/>
    <w:qFormat/>
    <w:uiPriority w:val="0"/>
    <w:pPr>
      <w:keepNext/>
      <w:adjustRightInd w:val="0"/>
      <w:spacing w:line="312" w:lineRule="atLeast"/>
      <w:jc w:val="center"/>
      <w:textAlignment w:val="baseline"/>
    </w:pPr>
    <w:rPr>
      <w:sz w:val="28"/>
    </w:rPr>
  </w:style>
  <w:style w:type="paragraph" w:customStyle="1" w:styleId="95">
    <w:name w:val="表格标题01"/>
    <w:basedOn w:val="1"/>
    <w:qFormat/>
    <w:uiPriority w:val="0"/>
    <w:pPr>
      <w:adjustRightInd w:val="0"/>
      <w:spacing w:line="480" w:lineRule="exact"/>
      <w:jc w:val="center"/>
      <w:textAlignment w:val="baseline"/>
    </w:pPr>
    <w:rPr>
      <w:snapToGrid w:val="0"/>
      <w:sz w:val="28"/>
      <w:szCs w:val="28"/>
    </w:rPr>
  </w:style>
  <w:style w:type="paragraph" w:customStyle="1" w:styleId="96">
    <w:name w:val="样式 四号 首行缩进:  0.05 厘米 行距: 1.5 倍行距"/>
    <w:basedOn w:val="1"/>
    <w:qFormat/>
    <w:uiPriority w:val="0"/>
    <w:pPr>
      <w:spacing w:line="360" w:lineRule="auto"/>
      <w:ind w:firstLine="28"/>
    </w:pPr>
  </w:style>
  <w:style w:type="paragraph" w:customStyle="1" w:styleId="97">
    <w:name w:val="xl83"/>
    <w:basedOn w:val="1"/>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textAlignment w:val="center"/>
    </w:pPr>
    <w:rPr>
      <w:rFonts w:hAnsi="宋体"/>
    </w:rPr>
  </w:style>
  <w:style w:type="paragraph" w:customStyle="1" w:styleId="98">
    <w:name w:val="font9"/>
    <w:basedOn w:val="1"/>
    <w:qFormat/>
    <w:uiPriority w:val="0"/>
    <w:pPr>
      <w:widowControl/>
      <w:spacing w:beforeAutospacing="1" w:afterAutospacing="1"/>
      <w:jc w:val="left"/>
    </w:pPr>
    <w:rPr>
      <w:rFonts w:eastAsia="Arial Unicode MS"/>
      <w:color w:val="0000FF"/>
    </w:rPr>
  </w:style>
  <w:style w:type="paragraph" w:customStyle="1" w:styleId="99">
    <w:name w:val="font13"/>
    <w:basedOn w:val="1"/>
    <w:qFormat/>
    <w:uiPriority w:val="0"/>
    <w:pPr>
      <w:widowControl/>
      <w:spacing w:beforeAutospacing="1" w:afterAutospacing="1"/>
      <w:jc w:val="left"/>
    </w:pPr>
    <w:rPr>
      <w:rFonts w:eastAsia="Arial Unicode MS"/>
      <w:b/>
      <w:bCs/>
      <w:color w:val="0000FF"/>
      <w:sz w:val="48"/>
      <w:szCs w:val="48"/>
    </w:rPr>
  </w:style>
  <w:style w:type="paragraph" w:customStyle="1" w:styleId="100">
    <w:name w:val="xl62"/>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101">
    <w:name w:val="正文3"/>
    <w:basedOn w:val="1"/>
    <w:link w:val="285"/>
    <w:qFormat/>
    <w:uiPriority w:val="0"/>
    <w:pPr>
      <w:spacing w:line="500" w:lineRule="exact"/>
      <w:ind w:firstLine="560" w:firstLineChars="200"/>
    </w:pPr>
    <w:rPr>
      <w:rFonts w:cs="宋体"/>
      <w:kern w:val="2"/>
      <w:sz w:val="28"/>
      <w:szCs w:val="28"/>
    </w:rPr>
  </w:style>
  <w:style w:type="paragraph" w:customStyle="1" w:styleId="102">
    <w:name w:val="样式 四号 行距: 1.5 倍行距1"/>
    <w:basedOn w:val="1"/>
    <w:qFormat/>
    <w:uiPriority w:val="0"/>
    <w:pPr>
      <w:spacing w:line="360" w:lineRule="auto"/>
    </w:pPr>
  </w:style>
  <w:style w:type="paragraph" w:customStyle="1" w:styleId="103">
    <w:name w:val="样式 样式 四号 行距: 1.5 倍行距 + 首行缩进:  2 字符"/>
    <w:basedOn w:val="1"/>
    <w:qFormat/>
    <w:uiPriority w:val="0"/>
    <w:pPr>
      <w:spacing w:line="360" w:lineRule="auto"/>
      <w:ind w:firstLine="480" w:firstLineChars="200"/>
    </w:pPr>
  </w:style>
  <w:style w:type="paragraph" w:customStyle="1" w:styleId="104">
    <w:name w:val="font8"/>
    <w:basedOn w:val="1"/>
    <w:qFormat/>
    <w:uiPriority w:val="0"/>
    <w:pPr>
      <w:widowControl/>
      <w:spacing w:beforeAutospacing="1" w:afterAutospacing="1"/>
      <w:jc w:val="left"/>
    </w:pPr>
    <w:rPr>
      <w:rFonts w:hint="eastAsia" w:hAnsi="宋体"/>
      <w:color w:val="0000FF"/>
      <w:sz w:val="20"/>
    </w:rPr>
  </w:style>
  <w:style w:type="paragraph" w:customStyle="1" w:styleId="105">
    <w:name w:val="标准"/>
    <w:basedOn w:val="1"/>
    <w:qFormat/>
    <w:uiPriority w:val="0"/>
    <w:pPr>
      <w:adjustRightInd w:val="0"/>
      <w:spacing w:line="480" w:lineRule="exact"/>
      <w:ind w:firstLine="570"/>
      <w:textAlignment w:val="baseline"/>
    </w:pPr>
    <w:rPr>
      <w:spacing w:val="-4"/>
      <w:sz w:val="28"/>
    </w:rPr>
  </w:style>
  <w:style w:type="paragraph" w:customStyle="1" w:styleId="106">
    <w:name w:val="样式8"/>
    <w:basedOn w:val="1"/>
    <w:qFormat/>
    <w:uiPriority w:val="0"/>
    <w:pPr>
      <w:spacing w:line="500" w:lineRule="exact"/>
      <w:ind w:firstLine="560" w:firstLineChars="200"/>
    </w:pPr>
    <w:rPr>
      <w:rFonts w:hAnsi="宋体" w:cs="宋体"/>
      <w:color w:val="000000"/>
      <w:sz w:val="28"/>
      <w:szCs w:val="28"/>
    </w:rPr>
  </w:style>
  <w:style w:type="paragraph" w:customStyle="1" w:styleId="107">
    <w:name w:val="Char Char Char Char Char Char Char Char Char Char Char Char Char Char Char Char Char Char1 Char Char Char Char Char Char Char Char Char Char Char Char Char Char Char Char Char Char Char Char Char Char Char Char Char"/>
    <w:basedOn w:val="1"/>
    <w:qFormat/>
    <w:uiPriority w:val="0"/>
  </w:style>
  <w:style w:type="paragraph" w:customStyle="1" w:styleId="108">
    <w:name w:val="xl81"/>
    <w:basedOn w:val="1"/>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textAlignment w:val="center"/>
    </w:pPr>
    <w:rPr>
      <w:rFonts w:hint="eastAsia" w:hAnsi="宋体"/>
    </w:rPr>
  </w:style>
  <w:style w:type="paragraph" w:customStyle="1" w:styleId="109">
    <w:name w:val="样式 四号 行距: 1.5 倍行距9"/>
    <w:basedOn w:val="1"/>
    <w:qFormat/>
    <w:uiPriority w:val="0"/>
    <w:pPr>
      <w:spacing w:line="360" w:lineRule="auto"/>
      <w:ind w:left="-27" w:leftChars="-13" w:firstLine="560" w:firstLineChars="200"/>
    </w:pPr>
  </w:style>
  <w:style w:type="paragraph" w:customStyle="1" w:styleId="110">
    <w:name w:val="正文文本 31"/>
    <w:basedOn w:val="1"/>
    <w:qFormat/>
    <w:uiPriority w:val="0"/>
    <w:pPr>
      <w:widowControl/>
      <w:adjustRightInd w:val="0"/>
      <w:ind w:right="57"/>
      <w:jc w:val="left"/>
      <w:textAlignment w:val="baseline"/>
    </w:pPr>
    <w:rPr>
      <w:spacing w:val="8"/>
    </w:rPr>
  </w:style>
  <w:style w:type="paragraph" w:customStyle="1" w:styleId="111">
    <w:name w:val="xl39"/>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eastAsia="Arial Unicode MS"/>
      <w:color w:val="0000FF"/>
      <w:sz w:val="20"/>
    </w:rPr>
  </w:style>
  <w:style w:type="paragraph" w:customStyle="1" w:styleId="112">
    <w:name w:val="说明书标题"/>
    <w:basedOn w:val="113"/>
    <w:next w:val="113"/>
    <w:qFormat/>
    <w:uiPriority w:val="0"/>
    <w:pPr>
      <w:tabs>
        <w:tab w:val="left" w:pos="210"/>
        <w:tab w:val="left" w:pos="360"/>
      </w:tabs>
      <w:ind w:left="227" w:hanging="227" w:firstLineChars="0"/>
    </w:pPr>
    <w:rPr>
      <w:rFonts w:eastAsia="黑体"/>
    </w:rPr>
  </w:style>
  <w:style w:type="paragraph" w:customStyle="1" w:styleId="113">
    <w:name w:val="说明书正文"/>
    <w:basedOn w:val="1"/>
    <w:qFormat/>
    <w:uiPriority w:val="0"/>
    <w:pPr>
      <w:spacing w:line="520" w:lineRule="exact"/>
      <w:ind w:firstLine="200" w:firstLineChars="200"/>
    </w:pPr>
    <w:rPr>
      <w:rFonts w:ascii="Trebuchet MS" w:hAnsi="Trebuchet MS"/>
      <w:sz w:val="28"/>
    </w:rPr>
  </w:style>
  <w:style w:type="paragraph" w:customStyle="1" w:styleId="114">
    <w:name w:val="一级标题"/>
    <w:basedOn w:val="1"/>
    <w:qFormat/>
    <w:uiPriority w:val="0"/>
    <w:pPr>
      <w:spacing w:line="360" w:lineRule="auto"/>
      <w:ind w:right="8" w:rightChars="8"/>
      <w:outlineLvl w:val="0"/>
    </w:pPr>
    <w:rPr>
      <w:b/>
      <w:snapToGrid w:val="0"/>
      <w:sz w:val="32"/>
    </w:rPr>
  </w:style>
  <w:style w:type="paragraph" w:customStyle="1" w:styleId="115">
    <w:name w:val="xl29"/>
    <w:basedOn w:val="1"/>
    <w:qFormat/>
    <w:uiPriority w:val="0"/>
    <w:pPr>
      <w:widowControl/>
      <w:jc w:val="center"/>
    </w:pPr>
  </w:style>
  <w:style w:type="paragraph" w:customStyle="1" w:styleId="116">
    <w:name w:val="样式 四号 黑色 行距: 1.5 倍行距3"/>
    <w:basedOn w:val="1"/>
    <w:qFormat/>
    <w:uiPriority w:val="0"/>
    <w:pPr>
      <w:spacing w:line="360" w:lineRule="auto"/>
      <w:ind w:firstLine="479" w:firstLineChars="171"/>
    </w:pPr>
    <w:rPr>
      <w:color w:val="000000"/>
    </w:rPr>
  </w:style>
  <w:style w:type="paragraph" w:customStyle="1" w:styleId="117">
    <w:name w:val="xl35"/>
    <w:basedOn w:val="1"/>
    <w:qFormat/>
    <w:uiPriority w:val="0"/>
    <w:pPr>
      <w:widowControl/>
      <w:pBdr>
        <w:top w:val="single" w:color="auto" w:sz="4" w:space="0"/>
        <w:left w:val="single" w:color="auto" w:sz="4" w:space="20"/>
        <w:bottom w:val="single" w:color="auto" w:sz="4" w:space="0"/>
        <w:right w:val="single" w:color="auto" w:sz="4" w:space="0"/>
      </w:pBdr>
      <w:spacing w:beforeAutospacing="1" w:afterAutospacing="1"/>
      <w:ind w:firstLine="100" w:firstLineChars="100"/>
      <w:jc w:val="left"/>
      <w:textAlignment w:val="center"/>
    </w:pPr>
    <w:rPr>
      <w:rFonts w:eastAsia="Arial Unicode MS"/>
      <w:color w:val="0000FF"/>
      <w:sz w:val="20"/>
    </w:rPr>
  </w:style>
  <w:style w:type="paragraph" w:customStyle="1" w:styleId="118">
    <w:name w:val="xl28"/>
    <w:basedOn w:val="1"/>
    <w:qFormat/>
    <w:uiPriority w:val="0"/>
    <w:pPr>
      <w:widowControl/>
      <w:spacing w:beforeAutospacing="1" w:afterAutospacing="1"/>
      <w:ind w:firstLine="100" w:firstLineChars="100"/>
      <w:jc w:val="left"/>
      <w:textAlignment w:val="center"/>
    </w:pPr>
    <w:rPr>
      <w:rFonts w:ascii="Arial Unicode MS" w:hAnsi="Arial Unicode MS" w:eastAsia="Arial Unicode MS"/>
      <w:b/>
      <w:bCs/>
      <w:color w:val="0000FF"/>
      <w:sz w:val="20"/>
    </w:rPr>
  </w:style>
  <w:style w:type="paragraph" w:customStyle="1" w:styleId="119">
    <w:name w:val="xl59"/>
    <w:basedOn w:val="1"/>
    <w:qFormat/>
    <w:uiPriority w:val="0"/>
    <w:pPr>
      <w:widowControl/>
      <w:pBdr>
        <w:left w:val="single" w:color="auto" w:sz="4" w:space="0"/>
        <w:bottom w:val="single" w:color="auto" w:sz="4" w:space="0"/>
        <w:right w:val="single" w:color="auto" w:sz="8" w:space="0"/>
      </w:pBdr>
      <w:spacing w:beforeAutospacing="1" w:afterAutospacing="1"/>
      <w:jc w:val="left"/>
      <w:textAlignment w:val="center"/>
    </w:pPr>
    <w:rPr>
      <w:rFonts w:hAnsi="宋体"/>
    </w:rPr>
  </w:style>
  <w:style w:type="paragraph" w:customStyle="1" w:styleId="120">
    <w:name w:val="xl77"/>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21">
    <w:name w:val="font12"/>
    <w:basedOn w:val="1"/>
    <w:qFormat/>
    <w:uiPriority w:val="0"/>
    <w:pPr>
      <w:widowControl/>
      <w:spacing w:beforeAutospacing="1" w:afterAutospacing="1"/>
      <w:jc w:val="left"/>
    </w:pPr>
    <w:rPr>
      <w:rFonts w:hint="eastAsia" w:hAnsi="宋体"/>
      <w:color w:val="0000FF"/>
      <w:sz w:val="20"/>
    </w:rPr>
  </w:style>
  <w:style w:type="paragraph" w:customStyle="1" w:styleId="122">
    <w:name w:val="xl44"/>
    <w:basedOn w:val="1"/>
    <w:qFormat/>
    <w:uiPriority w:val="0"/>
    <w:pPr>
      <w:widowControl/>
      <w:pBdr>
        <w:top w:val="single" w:color="auto" w:sz="4" w:space="0"/>
        <w:left w:val="single" w:color="auto" w:sz="4" w:space="0"/>
        <w:bottom w:val="single" w:color="auto" w:sz="8" w:space="0"/>
        <w:right w:val="single" w:color="auto" w:sz="8" w:space="0"/>
      </w:pBdr>
      <w:spacing w:beforeAutospacing="1" w:afterAutospacing="1"/>
      <w:jc w:val="center"/>
      <w:textAlignment w:val="center"/>
    </w:pPr>
    <w:rPr>
      <w:rFonts w:hint="eastAsia" w:hAnsi="宋体"/>
    </w:rPr>
  </w:style>
  <w:style w:type="paragraph" w:customStyle="1" w:styleId="123">
    <w:name w:val="Char2 Char Char Char Char Char Char"/>
    <w:basedOn w:val="1"/>
    <w:qFormat/>
    <w:uiPriority w:val="0"/>
    <w:pPr>
      <w:autoSpaceDE w:val="0"/>
      <w:autoSpaceDN w:val="0"/>
      <w:adjustRightInd w:val="0"/>
      <w:snapToGrid w:val="0"/>
      <w:spacing w:line="360" w:lineRule="auto"/>
      <w:ind w:firstLine="560" w:firstLineChars="200"/>
    </w:pPr>
    <w:rPr>
      <w:rFonts w:eastAsia="仿宋_GB2312"/>
      <w:color w:val="000000"/>
    </w:rPr>
  </w:style>
  <w:style w:type="paragraph" w:customStyle="1" w:styleId="124">
    <w:name w:val="xl89"/>
    <w:basedOn w:val="1"/>
    <w:qFormat/>
    <w:uiPriority w:val="0"/>
    <w:pPr>
      <w:widowControl/>
      <w:spacing w:beforeAutospacing="1" w:afterAutospacing="1"/>
      <w:jc w:val="center"/>
      <w:textAlignment w:val="top"/>
    </w:pPr>
    <w:rPr>
      <w:rFonts w:hint="eastAsia" w:hAnsi="宋体"/>
      <w:b/>
      <w:bCs/>
      <w:sz w:val="32"/>
      <w:szCs w:val="32"/>
    </w:rPr>
  </w:style>
  <w:style w:type="paragraph" w:customStyle="1" w:styleId="125">
    <w:name w:val="xl85"/>
    <w:basedOn w:val="1"/>
    <w:qFormat/>
    <w:uiPriority w:val="0"/>
    <w:pPr>
      <w:widowControl/>
      <w:pBdr>
        <w:left w:val="single" w:color="auto" w:sz="4" w:space="0"/>
        <w:right w:val="single" w:color="auto" w:sz="4" w:space="0"/>
      </w:pBdr>
      <w:spacing w:beforeAutospacing="1" w:afterAutospacing="1"/>
      <w:jc w:val="left"/>
      <w:textAlignment w:val="center"/>
    </w:pPr>
    <w:rPr>
      <w:rFonts w:hAnsi="宋体"/>
    </w:rPr>
  </w:style>
  <w:style w:type="paragraph" w:customStyle="1" w:styleId="126">
    <w:name w:val="默认段落字体 Para Char Char Char1 Char Char Char Char"/>
    <w:basedOn w:val="1"/>
    <w:qFormat/>
    <w:uiPriority w:val="0"/>
  </w:style>
  <w:style w:type="paragraph" w:customStyle="1" w:styleId="127">
    <w:name w:val="xl55"/>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hAnsi="宋体"/>
    </w:rPr>
  </w:style>
  <w:style w:type="paragraph" w:customStyle="1" w:styleId="128">
    <w:name w:val="Char Char Char Char Char Char Char Char Char Char"/>
    <w:basedOn w:val="1"/>
    <w:qFormat/>
    <w:uiPriority w:val="0"/>
  </w:style>
  <w:style w:type="paragraph" w:customStyle="1" w:styleId="129">
    <w:name w:val="xl42"/>
    <w:basedOn w:val="1"/>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left"/>
    </w:pPr>
    <w:rPr>
      <w:rFonts w:hint="eastAsia" w:hAnsi="宋体"/>
    </w:rPr>
  </w:style>
  <w:style w:type="paragraph" w:customStyle="1" w:styleId="130">
    <w:name w:val="xl34"/>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eastAsia="Arial Unicode MS"/>
      <w:color w:val="0000FF"/>
      <w:sz w:val="20"/>
    </w:rPr>
  </w:style>
  <w:style w:type="paragraph" w:customStyle="1" w:styleId="131">
    <w:name w:val="图片"/>
    <w:basedOn w:val="1"/>
    <w:qFormat/>
    <w:uiPriority w:val="0"/>
    <w:pPr>
      <w:jc w:val="center"/>
    </w:pPr>
    <w:rPr>
      <w:sz w:val="28"/>
      <w:szCs w:val="28"/>
    </w:rPr>
  </w:style>
  <w:style w:type="paragraph" w:customStyle="1" w:styleId="132">
    <w:name w:val="xl37"/>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eastAsia="Arial Unicode MS"/>
      <w:color w:val="0000FF"/>
      <w:sz w:val="20"/>
    </w:rPr>
  </w:style>
  <w:style w:type="paragraph" w:customStyle="1" w:styleId="133">
    <w:name w:val="页眉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34">
    <w:name w:val="样式 四号 首行缩进:  0.95 厘米 右侧:  0.04 厘米 行距: 1.5 倍行距"/>
    <w:basedOn w:val="1"/>
    <w:qFormat/>
    <w:uiPriority w:val="0"/>
    <w:pPr>
      <w:spacing w:line="360" w:lineRule="auto"/>
      <w:ind w:right="25" w:firstLine="538"/>
    </w:pPr>
  </w:style>
  <w:style w:type="paragraph" w:customStyle="1" w:styleId="135">
    <w:name w:val="样式 正文缩进 + 居中 首行缩进:  0 厘米"/>
    <w:basedOn w:val="9"/>
    <w:qFormat/>
    <w:uiPriority w:val="0"/>
    <w:pPr>
      <w:spacing w:beforeLines="30"/>
      <w:ind w:firstLine="0" w:firstLineChars="0"/>
      <w:jc w:val="center"/>
    </w:pPr>
    <w:rPr>
      <w:szCs w:val="20"/>
    </w:rPr>
  </w:style>
  <w:style w:type="paragraph" w:customStyle="1" w:styleId="136">
    <w:name w:val="xl31"/>
    <w:basedOn w:val="1"/>
    <w:qFormat/>
    <w:uiPriority w:val="0"/>
    <w:pPr>
      <w:widowControl/>
      <w:pBdr>
        <w:top w:val="single" w:color="auto" w:sz="4" w:space="0"/>
        <w:left w:val="single" w:color="auto" w:sz="4" w:space="20"/>
        <w:bottom w:val="single" w:color="auto" w:sz="4" w:space="0"/>
        <w:right w:val="single" w:color="auto" w:sz="4" w:space="0"/>
      </w:pBdr>
      <w:spacing w:beforeAutospacing="1" w:afterAutospacing="1"/>
      <w:ind w:firstLine="100" w:firstLineChars="100"/>
      <w:jc w:val="left"/>
      <w:textAlignment w:val="center"/>
    </w:pPr>
    <w:rPr>
      <w:rFonts w:ascii="Arial Unicode MS" w:hAnsi="Arial Unicode MS" w:eastAsia="Arial Unicode MS"/>
      <w:color w:val="0000FF"/>
    </w:rPr>
  </w:style>
  <w:style w:type="paragraph" w:customStyle="1" w:styleId="137">
    <w:name w:val="样式 四号 行距: 固定值 25 磅"/>
    <w:basedOn w:val="1"/>
    <w:qFormat/>
    <w:uiPriority w:val="0"/>
    <w:pPr>
      <w:spacing w:line="500" w:lineRule="exact"/>
    </w:pPr>
  </w:style>
  <w:style w:type="paragraph" w:customStyle="1" w:styleId="138">
    <w:name w:val="节标题1"/>
    <w:basedOn w:val="1"/>
    <w:qFormat/>
    <w:uiPriority w:val="0"/>
    <w:pPr>
      <w:spacing w:line="700" w:lineRule="exact"/>
      <w:outlineLvl w:val="2"/>
    </w:pPr>
    <w:rPr>
      <w:rFonts w:ascii="Arial" w:hAnsi="Arial" w:eastAsia="仿宋_GB2312"/>
      <w:b/>
      <w:sz w:val="28"/>
    </w:rPr>
  </w:style>
  <w:style w:type="paragraph" w:customStyle="1" w:styleId="139">
    <w:name w:val="样式 正文首行缩进正文首行缩进 Char + 段前: 0.5 行"/>
    <w:basedOn w:val="51"/>
    <w:qFormat/>
    <w:uiPriority w:val="0"/>
    <w:pPr>
      <w:spacing w:beforeLines="50"/>
      <w:ind w:firstLine="567" w:firstLineChars="0"/>
    </w:pPr>
    <w:rPr>
      <w:rFonts w:cs="宋体"/>
      <w:sz w:val="24"/>
      <w:szCs w:val="20"/>
    </w:rPr>
  </w:style>
  <w:style w:type="paragraph" w:customStyle="1" w:styleId="140">
    <w:name w:val="表格标题"/>
    <w:basedOn w:val="1"/>
    <w:next w:val="1"/>
    <w:qFormat/>
    <w:uiPriority w:val="0"/>
    <w:pPr>
      <w:keepNext/>
      <w:widowControl/>
      <w:overflowPunct w:val="0"/>
      <w:adjustRightInd w:val="0"/>
      <w:snapToGrid w:val="0"/>
      <w:spacing w:line="480" w:lineRule="exact"/>
      <w:jc w:val="center"/>
      <w:textAlignment w:val="baseline"/>
    </w:pPr>
    <w:rPr>
      <w:rFonts w:ascii="Arial" w:hAnsi="Arial" w:eastAsia="黑体"/>
    </w:rPr>
  </w:style>
  <w:style w:type="paragraph" w:customStyle="1" w:styleId="141">
    <w:name w:val="BIG BOLD"/>
    <w:basedOn w:val="1"/>
    <w:qFormat/>
    <w:uiPriority w:val="0"/>
    <w:pPr>
      <w:tabs>
        <w:tab w:val="left" w:leader="underscore" w:pos="1134"/>
      </w:tabs>
    </w:pPr>
  </w:style>
  <w:style w:type="paragraph" w:customStyle="1" w:styleId="142">
    <w:name w:val="样式 四号 黑色 行距: 1.5 倍行距"/>
    <w:basedOn w:val="1"/>
    <w:qFormat/>
    <w:uiPriority w:val="0"/>
    <w:pPr>
      <w:spacing w:line="360" w:lineRule="auto"/>
      <w:ind w:firstLine="560" w:firstLineChars="200"/>
    </w:pPr>
    <w:rPr>
      <w:color w:val="000000"/>
    </w:rPr>
  </w:style>
  <w:style w:type="paragraph" w:customStyle="1" w:styleId="143">
    <w:name w:val="样式 四号 黑色 左 行距: 1.5 倍行距"/>
    <w:basedOn w:val="1"/>
    <w:qFormat/>
    <w:uiPriority w:val="0"/>
    <w:pPr>
      <w:spacing w:line="360" w:lineRule="auto"/>
      <w:jc w:val="left"/>
    </w:pPr>
    <w:rPr>
      <w:color w:val="000000"/>
    </w:rPr>
  </w:style>
  <w:style w:type="paragraph" w:customStyle="1" w:styleId="144">
    <w:name w:val="xl22"/>
    <w:basedOn w:val="1"/>
    <w:qFormat/>
    <w:uiPriority w:val="0"/>
    <w:pPr>
      <w:widowControl/>
      <w:jc w:val="center"/>
    </w:pPr>
    <w:rPr>
      <w:rFonts w:hAnsi="宋体"/>
    </w:rPr>
  </w:style>
  <w:style w:type="paragraph" w:customStyle="1" w:styleId="145">
    <w:name w:val="xl79"/>
    <w:basedOn w:val="1"/>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left"/>
      <w:textAlignment w:val="center"/>
    </w:pPr>
    <w:rPr>
      <w:rFonts w:hint="eastAsia" w:hAnsi="宋体"/>
    </w:rPr>
  </w:style>
  <w:style w:type="paragraph" w:customStyle="1" w:styleId="146">
    <w:name w:val="Char Char Char Char Char Char"/>
    <w:basedOn w:val="1"/>
    <w:next w:val="2"/>
    <w:qFormat/>
    <w:uiPriority w:val="0"/>
    <w:rPr>
      <w:sz w:val="28"/>
      <w:szCs w:val="28"/>
    </w:rPr>
  </w:style>
  <w:style w:type="paragraph" w:customStyle="1" w:styleId="147">
    <w:name w:val="样式 四号 黑色 首行缩进:  1.11 厘米 行距: 1.5 倍行距"/>
    <w:basedOn w:val="1"/>
    <w:qFormat/>
    <w:uiPriority w:val="0"/>
    <w:pPr>
      <w:spacing w:line="360" w:lineRule="auto"/>
      <w:ind w:firstLine="630"/>
    </w:pPr>
    <w:rPr>
      <w:color w:val="000000"/>
    </w:rPr>
  </w:style>
  <w:style w:type="paragraph" w:customStyle="1" w:styleId="148">
    <w:name w:val="样式"/>
    <w:qFormat/>
    <w:uiPriority w:val="0"/>
    <w:pPr>
      <w:widowControl w:val="0"/>
      <w:autoSpaceDE w:val="0"/>
      <w:autoSpaceDN w:val="0"/>
      <w:adjustRightInd w:val="0"/>
    </w:pPr>
    <w:rPr>
      <w:rFonts w:ascii="Arial" w:hAnsi="Arial" w:eastAsia="宋体" w:cs="Arial"/>
      <w:sz w:val="24"/>
      <w:szCs w:val="24"/>
      <w:lang w:val="en-US" w:eastAsia="zh-CN" w:bidi="ar-SA"/>
    </w:rPr>
  </w:style>
  <w:style w:type="paragraph" w:customStyle="1" w:styleId="149">
    <w:name w:val="xl24"/>
    <w:basedOn w:val="1"/>
    <w:qFormat/>
    <w:uiPriority w:val="0"/>
    <w:pPr>
      <w:widowControl/>
      <w:spacing w:beforeAutospacing="1" w:afterAutospacing="1"/>
      <w:jc w:val="left"/>
      <w:textAlignment w:val="center"/>
    </w:pPr>
    <w:rPr>
      <w:rFonts w:ascii="Arial Unicode MS" w:hAnsi="Arial Unicode MS" w:eastAsia="Arial Unicode MS"/>
      <w:b/>
      <w:bCs/>
      <w:color w:val="0000FF"/>
      <w:sz w:val="48"/>
      <w:szCs w:val="48"/>
    </w:rPr>
  </w:style>
  <w:style w:type="paragraph" w:customStyle="1" w:styleId="150">
    <w:name w:val="样式 宋体 首行缩进:  1.11 厘米"/>
    <w:basedOn w:val="1"/>
    <w:qFormat/>
    <w:uiPriority w:val="0"/>
    <w:pPr>
      <w:spacing w:line="600" w:lineRule="exact"/>
      <w:ind w:firstLine="629" w:firstLineChars="200"/>
    </w:pPr>
    <w:rPr>
      <w:rFonts w:hAnsi="宋体"/>
      <w:sz w:val="28"/>
    </w:rPr>
  </w:style>
  <w:style w:type="paragraph" w:customStyle="1" w:styleId="151">
    <w:name w:val="xl60"/>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hint="eastAsia" w:hAnsi="宋体"/>
    </w:rPr>
  </w:style>
  <w:style w:type="paragraph" w:customStyle="1" w:styleId="152">
    <w:name w:val="样式 四号 首行缩进:  1 厘米 行距: 1.5 倍行距"/>
    <w:basedOn w:val="1"/>
    <w:qFormat/>
    <w:uiPriority w:val="0"/>
    <w:pPr>
      <w:spacing w:line="360" w:lineRule="auto"/>
      <w:ind w:firstLine="567"/>
    </w:pPr>
  </w:style>
  <w:style w:type="paragraph" w:customStyle="1" w:styleId="153">
    <w:name w:val="xl27"/>
    <w:basedOn w:val="1"/>
    <w:qFormat/>
    <w:uiPriority w:val="0"/>
    <w:pPr>
      <w:widowControl/>
      <w:spacing w:beforeAutospacing="1" w:afterAutospacing="1"/>
      <w:jc w:val="center"/>
      <w:textAlignment w:val="center"/>
    </w:pPr>
    <w:rPr>
      <w:rFonts w:ascii="Arial Unicode MS" w:hAnsi="Arial Unicode MS" w:eastAsia="Arial Unicode MS"/>
      <w:b/>
      <w:bCs/>
      <w:color w:val="0000FF"/>
      <w:sz w:val="20"/>
    </w:rPr>
  </w:style>
  <w:style w:type="paragraph" w:customStyle="1" w:styleId="154">
    <w:name w:val="xl32"/>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olor w:val="0000FF"/>
    </w:rPr>
  </w:style>
  <w:style w:type="paragraph" w:customStyle="1" w:styleId="155">
    <w:name w:val="样式 四号 黑色 行距: 1.5 倍行距2"/>
    <w:basedOn w:val="1"/>
    <w:qFormat/>
    <w:uiPriority w:val="0"/>
    <w:pPr>
      <w:spacing w:line="360" w:lineRule="auto"/>
      <w:ind w:firstLine="420" w:firstLineChars="150"/>
    </w:pPr>
    <w:rPr>
      <w:color w:val="000000"/>
    </w:rPr>
  </w:style>
  <w:style w:type="paragraph" w:customStyle="1" w:styleId="156">
    <w:name w:val="表内序号"/>
    <w:basedOn w:val="1"/>
    <w:qFormat/>
    <w:uiPriority w:val="0"/>
    <w:pPr>
      <w:widowControl/>
      <w:tabs>
        <w:tab w:val="left" w:pos="360"/>
      </w:tabs>
      <w:adjustRightInd w:val="0"/>
      <w:snapToGrid w:val="0"/>
      <w:spacing w:line="360" w:lineRule="auto"/>
      <w:ind w:left="113" w:hanging="113"/>
      <w:jc w:val="left"/>
    </w:pPr>
  </w:style>
  <w:style w:type="paragraph" w:customStyle="1" w:styleId="157">
    <w:name w:val="xl65"/>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158">
    <w:name w:val="Char Char Char"/>
    <w:basedOn w:val="1"/>
    <w:next w:val="2"/>
    <w:qFormat/>
    <w:uiPriority w:val="0"/>
    <w:rPr>
      <w:sz w:val="28"/>
      <w:szCs w:val="28"/>
    </w:rPr>
  </w:style>
  <w:style w:type="paragraph" w:customStyle="1" w:styleId="159">
    <w:name w:val="样式 四号 黑色 左 行距: 固定值 25 磅"/>
    <w:basedOn w:val="1"/>
    <w:qFormat/>
    <w:uiPriority w:val="0"/>
    <w:pPr>
      <w:spacing w:line="500" w:lineRule="exact"/>
      <w:jc w:val="left"/>
    </w:pPr>
    <w:rPr>
      <w:color w:val="000000"/>
    </w:rPr>
  </w:style>
  <w:style w:type="paragraph" w:customStyle="1" w:styleId="160">
    <w:name w:val="标格标题"/>
    <w:basedOn w:val="161"/>
    <w:next w:val="161"/>
    <w:qFormat/>
    <w:uiPriority w:val="0"/>
    <w:pPr>
      <w:widowControl/>
    </w:pPr>
    <w:rPr>
      <w:b/>
    </w:rPr>
  </w:style>
  <w:style w:type="paragraph" w:customStyle="1" w:styleId="161">
    <w:name w:val="表格文字"/>
    <w:basedOn w:val="1"/>
    <w:qFormat/>
    <w:uiPriority w:val="0"/>
    <w:pPr>
      <w:jc w:val="center"/>
    </w:pPr>
    <w:rPr>
      <w:szCs w:val="21"/>
    </w:rPr>
  </w:style>
  <w:style w:type="paragraph" w:customStyle="1" w:styleId="162">
    <w:name w:val="表格1"/>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paragraph" w:customStyle="1" w:styleId="163">
    <w:name w:val="font14"/>
    <w:basedOn w:val="1"/>
    <w:qFormat/>
    <w:uiPriority w:val="0"/>
    <w:pPr>
      <w:widowControl/>
      <w:spacing w:beforeAutospacing="1" w:afterAutospacing="1"/>
      <w:jc w:val="left"/>
    </w:pPr>
  </w:style>
  <w:style w:type="paragraph" w:customStyle="1" w:styleId="164">
    <w:name w:val="xl36"/>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olor w:val="0000FF"/>
      <w:sz w:val="20"/>
    </w:rPr>
  </w:style>
  <w:style w:type="paragraph" w:customStyle="1" w:styleId="165">
    <w:name w:val="xl26"/>
    <w:basedOn w:val="1"/>
    <w:qFormat/>
    <w:uiPriority w:val="0"/>
    <w:pPr>
      <w:widowControl/>
      <w:jc w:val="center"/>
    </w:pPr>
    <w:rPr>
      <w:rFonts w:hAnsi="宋体"/>
    </w:rPr>
  </w:style>
  <w:style w:type="paragraph" w:customStyle="1" w:styleId="166">
    <w:name w:val="s4"/>
    <w:basedOn w:val="1"/>
    <w:next w:val="39"/>
    <w:qFormat/>
    <w:uiPriority w:val="0"/>
  </w:style>
  <w:style w:type="paragraph" w:customStyle="1" w:styleId="167">
    <w:name w:val="font10"/>
    <w:basedOn w:val="1"/>
    <w:qFormat/>
    <w:uiPriority w:val="0"/>
    <w:pPr>
      <w:widowControl/>
      <w:spacing w:beforeAutospacing="1" w:afterAutospacing="1"/>
      <w:jc w:val="left"/>
    </w:pPr>
    <w:rPr>
      <w:rFonts w:eastAsia="Arial Unicode MS"/>
      <w:color w:val="0000FF"/>
      <w:sz w:val="20"/>
    </w:rPr>
  </w:style>
  <w:style w:type="paragraph" w:customStyle="1" w:styleId="168">
    <w:name w:val="xl53"/>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69">
    <w:name w:val="xl56"/>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70">
    <w:name w:val="样式 正文首行缩进 + 首行缩进:  2 字符"/>
    <w:basedOn w:val="51"/>
    <w:qFormat/>
    <w:uiPriority w:val="0"/>
    <w:pPr>
      <w:spacing w:line="360" w:lineRule="auto"/>
      <w:ind w:firstLine="432" w:firstLineChars="200"/>
    </w:pPr>
    <w:rPr>
      <w:rFonts w:hAnsi="宋体" w:cs="宋体"/>
      <w:color w:val="000000"/>
      <w:sz w:val="28"/>
      <w:szCs w:val="20"/>
    </w:rPr>
  </w:style>
  <w:style w:type="paragraph" w:customStyle="1" w:styleId="171">
    <w:name w:val="样式 四号 行距: 1.5 倍行距6"/>
    <w:basedOn w:val="1"/>
    <w:qFormat/>
    <w:uiPriority w:val="0"/>
    <w:pPr>
      <w:spacing w:line="360" w:lineRule="auto"/>
      <w:ind w:firstLine="560" w:firstLineChars="200"/>
    </w:pPr>
  </w:style>
  <w:style w:type="paragraph" w:customStyle="1" w:styleId="172">
    <w:name w:val="xl72"/>
    <w:basedOn w:val="1"/>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rFonts w:hint="eastAsia" w:hAnsi="宋体"/>
    </w:rPr>
  </w:style>
  <w:style w:type="paragraph" w:customStyle="1" w:styleId="173">
    <w:name w:val="样式 四号 首行缩进:  0.85 厘米 行距: 1.5 倍行距"/>
    <w:basedOn w:val="1"/>
    <w:qFormat/>
    <w:uiPriority w:val="0"/>
    <w:pPr>
      <w:spacing w:line="360" w:lineRule="auto"/>
      <w:ind w:firstLine="480"/>
    </w:pPr>
  </w:style>
  <w:style w:type="paragraph" w:customStyle="1" w:styleId="174">
    <w:name w:val="样式2"/>
    <w:basedOn w:val="1"/>
    <w:next w:val="7"/>
    <w:qFormat/>
    <w:uiPriority w:val="0"/>
    <w:pPr>
      <w:adjustRightInd w:val="0"/>
      <w:snapToGrid w:val="0"/>
      <w:spacing w:line="400" w:lineRule="exact"/>
      <w:outlineLvl w:val="3"/>
    </w:pPr>
    <w:rPr>
      <w:rFonts w:hAnsi="宋体"/>
      <w:sz w:val="28"/>
    </w:rPr>
  </w:style>
  <w:style w:type="paragraph" w:customStyle="1" w:styleId="175">
    <w:name w:val="样式 四号 首行缩进:  0.99 厘米 行距: 1.5 倍行距"/>
    <w:basedOn w:val="1"/>
    <w:qFormat/>
    <w:uiPriority w:val="0"/>
    <w:pPr>
      <w:spacing w:line="360" w:lineRule="auto"/>
      <w:ind w:firstLine="560"/>
    </w:pPr>
  </w:style>
  <w:style w:type="paragraph" w:customStyle="1" w:styleId="176">
    <w:name w:val="xl38"/>
    <w:basedOn w:val="1"/>
    <w:qFormat/>
    <w:uiPriority w:val="0"/>
    <w:pPr>
      <w:widowControl/>
      <w:pBdr>
        <w:top w:val="single" w:color="auto" w:sz="4" w:space="0"/>
        <w:left w:val="single" w:color="auto" w:sz="4" w:space="20"/>
        <w:bottom w:val="single" w:color="auto" w:sz="4" w:space="0"/>
        <w:right w:val="single" w:color="auto" w:sz="4" w:space="0"/>
      </w:pBdr>
      <w:spacing w:beforeAutospacing="1" w:afterAutospacing="1"/>
      <w:ind w:firstLine="100" w:firstLineChars="100"/>
      <w:jc w:val="left"/>
      <w:textAlignment w:val="center"/>
    </w:pPr>
    <w:rPr>
      <w:rFonts w:ascii="Arial Unicode MS" w:hAnsi="Arial Unicode MS" w:eastAsia="Arial Unicode MS"/>
      <w:color w:val="0000FF"/>
      <w:sz w:val="20"/>
    </w:rPr>
  </w:style>
  <w:style w:type="paragraph" w:customStyle="1" w:styleId="177">
    <w:name w:val="xl64"/>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int="eastAsia" w:hAnsi="宋体"/>
    </w:rPr>
  </w:style>
  <w:style w:type="paragraph" w:customStyle="1" w:styleId="178">
    <w:name w:val="xl68"/>
    <w:basedOn w:val="1"/>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Ansi="宋体"/>
    </w:rPr>
  </w:style>
  <w:style w:type="paragraph" w:customStyle="1" w:styleId="179">
    <w:name w:val="xl69"/>
    <w:basedOn w:val="1"/>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int="eastAsia" w:hAnsi="宋体"/>
    </w:rPr>
  </w:style>
  <w:style w:type="paragraph" w:customStyle="1" w:styleId="180">
    <w:name w:val="font0"/>
    <w:basedOn w:val="1"/>
    <w:qFormat/>
    <w:uiPriority w:val="0"/>
    <w:pPr>
      <w:widowControl/>
      <w:spacing w:beforeAutospacing="1" w:afterAutospacing="1"/>
      <w:jc w:val="left"/>
    </w:pPr>
    <w:rPr>
      <w:rFonts w:hint="eastAsia" w:hAnsi="宋体"/>
    </w:rPr>
  </w:style>
  <w:style w:type="paragraph" w:customStyle="1" w:styleId="181">
    <w:name w:val="表格内容"/>
    <w:basedOn w:val="1"/>
    <w:qFormat/>
    <w:uiPriority w:val="0"/>
    <w:pPr>
      <w:overflowPunct w:val="0"/>
      <w:adjustRightInd w:val="0"/>
      <w:spacing w:line="200" w:lineRule="atLeast"/>
      <w:textAlignment w:val="baseline"/>
    </w:pPr>
    <w:rPr>
      <w:rFonts w:ascii="Arial" w:hAnsi="Arial" w:eastAsia="仿宋_GB2312"/>
    </w:rPr>
  </w:style>
  <w:style w:type="paragraph" w:customStyle="1" w:styleId="182">
    <w:name w:val="1.1.1"/>
    <w:basedOn w:val="1"/>
    <w:qFormat/>
    <w:uiPriority w:val="0"/>
    <w:pPr>
      <w:adjustRightInd w:val="0"/>
      <w:jc w:val="left"/>
      <w:textAlignment w:val="baseline"/>
    </w:pPr>
    <w:rPr>
      <w:spacing w:val="10"/>
    </w:rPr>
  </w:style>
  <w:style w:type="paragraph" w:customStyle="1" w:styleId="183">
    <w:name w:val="正文1"/>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184">
    <w:name w:val="xl71"/>
    <w:basedOn w:val="1"/>
    <w:qFormat/>
    <w:uiPriority w:val="0"/>
    <w:pPr>
      <w:widowControl/>
      <w:pBdr>
        <w:top w:val="single" w:color="auto" w:sz="4" w:space="0"/>
        <w:left w:val="single" w:color="auto" w:sz="8" w:space="0"/>
        <w:right w:val="single" w:color="auto" w:sz="4" w:space="0"/>
      </w:pBdr>
      <w:spacing w:beforeAutospacing="1" w:afterAutospacing="1"/>
      <w:jc w:val="center"/>
      <w:textAlignment w:val="center"/>
    </w:pPr>
    <w:rPr>
      <w:rFonts w:hAnsi="宋体"/>
    </w:rPr>
  </w:style>
  <w:style w:type="paragraph" w:customStyle="1" w:styleId="185">
    <w:name w:val="正文 + 首行缩进"/>
    <w:basedOn w:val="1"/>
    <w:qFormat/>
    <w:uiPriority w:val="0"/>
    <w:pPr>
      <w:spacing w:line="500" w:lineRule="exact"/>
      <w:ind w:firstLine="560" w:firstLineChars="200"/>
    </w:pPr>
    <w:rPr>
      <w:rFonts w:cs="宋体"/>
      <w:sz w:val="28"/>
    </w:rPr>
  </w:style>
  <w:style w:type="paragraph" w:customStyle="1" w:styleId="186">
    <w:name w:val="xl76"/>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hint="eastAsia" w:hAnsi="宋体"/>
    </w:rPr>
  </w:style>
  <w:style w:type="paragraph" w:customStyle="1" w:styleId="187">
    <w:name w:val="纯文本1"/>
    <w:basedOn w:val="1"/>
    <w:qFormat/>
    <w:uiPriority w:val="0"/>
    <w:pPr>
      <w:adjustRightInd w:val="0"/>
      <w:textAlignment w:val="baseline"/>
    </w:pPr>
    <w:rPr>
      <w:rFonts w:hAnsi="Courier New"/>
      <w:sz w:val="28"/>
    </w:rPr>
  </w:style>
  <w:style w:type="paragraph" w:customStyle="1" w:styleId="188">
    <w:name w:val="样式 四号 左侧:  0.02 厘米 行距: 1.5 倍行距"/>
    <w:basedOn w:val="1"/>
    <w:qFormat/>
    <w:uiPriority w:val="0"/>
    <w:pPr>
      <w:spacing w:line="360" w:lineRule="auto"/>
      <w:ind w:left="14"/>
    </w:pPr>
  </w:style>
  <w:style w:type="paragraph" w:customStyle="1" w:styleId="189">
    <w:name w:val="样式 四号 行距: 固定值 25 磅2"/>
    <w:basedOn w:val="1"/>
    <w:qFormat/>
    <w:uiPriority w:val="0"/>
    <w:pPr>
      <w:spacing w:line="500" w:lineRule="exact"/>
      <w:ind w:firstLine="1120" w:firstLineChars="400"/>
    </w:pPr>
  </w:style>
  <w:style w:type="paragraph" w:customStyle="1" w:styleId="190">
    <w:name w:val="xl84"/>
    <w:basedOn w:val="1"/>
    <w:qFormat/>
    <w:uiPriority w:val="0"/>
    <w:pPr>
      <w:widowControl/>
      <w:pBdr>
        <w:left w:val="single" w:color="auto" w:sz="8" w:space="0"/>
        <w:right w:val="single" w:color="auto" w:sz="4" w:space="0"/>
      </w:pBdr>
      <w:spacing w:beforeAutospacing="1" w:afterAutospacing="1"/>
      <w:jc w:val="center"/>
      <w:textAlignment w:val="center"/>
    </w:pPr>
    <w:rPr>
      <w:rFonts w:hAnsi="宋体"/>
    </w:rPr>
  </w:style>
  <w:style w:type="paragraph" w:customStyle="1" w:styleId="191">
    <w:name w:val="xl47"/>
    <w:basedOn w:val="1"/>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pPr>
    <w:rPr>
      <w:rFonts w:hAnsi="宋体"/>
    </w:rPr>
  </w:style>
  <w:style w:type="paragraph" w:customStyle="1" w:styleId="192">
    <w:name w:val="样式 四号 首行缩进:  0.93 厘米 行距: 1.5 倍行距"/>
    <w:basedOn w:val="1"/>
    <w:qFormat/>
    <w:uiPriority w:val="0"/>
    <w:pPr>
      <w:spacing w:line="360" w:lineRule="auto"/>
      <w:ind w:firstLine="525"/>
    </w:pPr>
  </w:style>
  <w:style w:type="paragraph" w:customStyle="1" w:styleId="193">
    <w:name w:val="xl70"/>
    <w:basedOn w:val="1"/>
    <w:qFormat/>
    <w:uiPriority w:val="0"/>
    <w:pPr>
      <w:widowControl/>
      <w:pBdr>
        <w:top w:val="single" w:color="auto" w:sz="4" w:space="0"/>
        <w:left w:val="single" w:color="auto" w:sz="4" w:space="0"/>
        <w:right w:val="single" w:color="auto" w:sz="8" w:space="0"/>
      </w:pBdr>
      <w:spacing w:beforeAutospacing="1" w:afterAutospacing="1"/>
      <w:jc w:val="left"/>
      <w:textAlignment w:val="center"/>
    </w:pPr>
    <w:rPr>
      <w:rFonts w:hAnsi="宋体"/>
    </w:rPr>
  </w:style>
  <w:style w:type="paragraph" w:customStyle="1" w:styleId="194">
    <w:name w:val="p0"/>
    <w:basedOn w:val="1"/>
    <w:qFormat/>
    <w:uiPriority w:val="0"/>
    <w:pPr>
      <w:widowControl/>
    </w:pPr>
    <w:rPr>
      <w:rFonts w:ascii="Calibri" w:hAnsi="Calibri" w:cs="宋体"/>
      <w:szCs w:val="21"/>
    </w:rPr>
  </w:style>
  <w:style w:type="paragraph" w:customStyle="1" w:styleId="195">
    <w:name w:val="正文(首行缩进2字)"/>
    <w:basedOn w:val="1"/>
    <w:next w:val="1"/>
    <w:qFormat/>
    <w:uiPriority w:val="0"/>
    <w:pPr>
      <w:adjustRightInd w:val="0"/>
      <w:snapToGrid w:val="0"/>
      <w:spacing w:line="360" w:lineRule="auto"/>
      <w:ind w:firstLine="232" w:firstLineChars="232"/>
      <w:textAlignment w:val="baseline"/>
    </w:pPr>
  </w:style>
  <w:style w:type="paragraph" w:customStyle="1" w:styleId="196">
    <w:name w:val="样式 四号 行距: 1.5 倍行距8"/>
    <w:basedOn w:val="1"/>
    <w:qFormat/>
    <w:uiPriority w:val="0"/>
    <w:pPr>
      <w:spacing w:line="360" w:lineRule="auto"/>
      <w:ind w:left="15" w:leftChars="7" w:firstLine="560" w:firstLineChars="200"/>
    </w:pPr>
  </w:style>
  <w:style w:type="paragraph" w:customStyle="1" w:styleId="197">
    <w:name w:val="font6"/>
    <w:basedOn w:val="1"/>
    <w:qFormat/>
    <w:uiPriority w:val="0"/>
    <w:pPr>
      <w:widowControl/>
      <w:spacing w:beforeAutospacing="1" w:afterAutospacing="1"/>
      <w:jc w:val="left"/>
    </w:pPr>
    <w:rPr>
      <w:rFonts w:hint="eastAsia" w:hAnsi="宋体"/>
      <w:b/>
      <w:bCs/>
      <w:color w:val="0000FF"/>
      <w:sz w:val="48"/>
      <w:szCs w:val="48"/>
    </w:rPr>
  </w:style>
  <w:style w:type="paragraph" w:customStyle="1" w:styleId="198">
    <w:name w:val="xl75"/>
    <w:basedOn w:val="1"/>
    <w:qFormat/>
    <w:uiPriority w:val="0"/>
    <w:pPr>
      <w:widowControl/>
      <w:pBdr>
        <w:top w:val="single" w:color="auto" w:sz="4" w:space="0"/>
        <w:left w:val="single" w:color="auto" w:sz="4" w:space="0"/>
        <w:right w:val="single" w:color="auto" w:sz="8" w:space="0"/>
      </w:pBdr>
      <w:spacing w:beforeAutospacing="1" w:afterAutospacing="1"/>
      <w:jc w:val="center"/>
      <w:textAlignment w:val="center"/>
    </w:pPr>
    <w:rPr>
      <w:rFonts w:hint="eastAsia" w:hAnsi="宋体"/>
    </w:rPr>
  </w:style>
  <w:style w:type="paragraph" w:customStyle="1" w:styleId="199">
    <w:name w:val="xl43"/>
    <w:basedOn w:val="1"/>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center"/>
      <w:textAlignment w:val="center"/>
    </w:pPr>
    <w:rPr>
      <w:rFonts w:hAnsi="宋体"/>
    </w:rPr>
  </w:style>
  <w:style w:type="paragraph" w:customStyle="1" w:styleId="200">
    <w:name w:val="_Style 58"/>
    <w:basedOn w:val="1"/>
    <w:qFormat/>
    <w:uiPriority w:val="0"/>
    <w:pPr>
      <w:widowControl/>
      <w:adjustRightInd w:val="0"/>
      <w:spacing w:line="240" w:lineRule="exact"/>
      <w:jc w:val="left"/>
      <w:textAlignment w:val="baseline"/>
    </w:pPr>
  </w:style>
  <w:style w:type="paragraph" w:customStyle="1" w:styleId="201">
    <w:name w:val="表格03"/>
    <w:basedOn w:val="1"/>
    <w:qFormat/>
    <w:uiPriority w:val="0"/>
    <w:pPr>
      <w:adjustRightInd w:val="0"/>
      <w:spacing w:line="400" w:lineRule="exact"/>
      <w:jc w:val="center"/>
    </w:pPr>
    <w:rPr>
      <w:szCs w:val="21"/>
    </w:rPr>
  </w:style>
  <w:style w:type="paragraph" w:customStyle="1" w:styleId="202">
    <w:name w:val="样式 标题 2 + 小四"/>
    <w:basedOn w:val="3"/>
    <w:qFormat/>
    <w:uiPriority w:val="0"/>
    <w:pPr>
      <w:spacing w:line="578" w:lineRule="auto"/>
    </w:pPr>
    <w:rPr>
      <w:sz w:val="24"/>
    </w:rPr>
  </w:style>
  <w:style w:type="paragraph" w:customStyle="1" w:styleId="203">
    <w:name w:val="样式 样式 样式 首行缩进:  0.8厘米 + 右侧:  2 字符 + 左侧:  2 字符"/>
    <w:basedOn w:val="88"/>
    <w:link w:val="291"/>
    <w:qFormat/>
    <w:uiPriority w:val="0"/>
    <w:pPr>
      <w:ind w:left="0" w:leftChars="0" w:firstLine="200" w:firstLineChars="200"/>
    </w:pPr>
  </w:style>
  <w:style w:type="paragraph" w:customStyle="1" w:styleId="204">
    <w:name w:val="xl50"/>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sz w:val="32"/>
      <w:szCs w:val="32"/>
    </w:rPr>
  </w:style>
  <w:style w:type="paragraph" w:customStyle="1" w:styleId="205">
    <w:name w:val="xl45"/>
    <w:basedOn w:val="1"/>
    <w:qFormat/>
    <w:uiPriority w:val="0"/>
    <w:pPr>
      <w:widowControl/>
      <w:pBdr>
        <w:top w:val="single" w:color="auto" w:sz="4" w:space="0"/>
        <w:left w:val="single" w:color="auto" w:sz="8" w:space="0"/>
        <w:bottom w:val="single" w:color="auto" w:sz="8" w:space="0"/>
        <w:right w:val="single" w:color="auto" w:sz="4" w:space="0"/>
      </w:pBdr>
      <w:spacing w:beforeAutospacing="1" w:afterAutospacing="1"/>
      <w:jc w:val="center"/>
    </w:pPr>
    <w:rPr>
      <w:rFonts w:hAnsi="宋体"/>
    </w:rPr>
  </w:style>
  <w:style w:type="paragraph" w:customStyle="1" w:styleId="206">
    <w:name w:val="Char Char Char Char Char Char Char Char Char Char Char Char Char Char Char"/>
    <w:basedOn w:val="1"/>
    <w:qFormat/>
    <w:uiPriority w:val="0"/>
    <w:pPr>
      <w:widowControl/>
      <w:spacing w:line="240" w:lineRule="exact"/>
      <w:jc w:val="left"/>
    </w:pPr>
    <w:rPr>
      <w:rFonts w:ascii="Tahoma" w:hAnsi="Tahoma"/>
      <w:sz w:val="20"/>
      <w:lang w:eastAsia="en-US"/>
    </w:rPr>
  </w:style>
  <w:style w:type="paragraph" w:customStyle="1" w:styleId="207">
    <w:name w:val="xl33"/>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Arial Unicode MS" w:hAnsi="Arial Unicode MS" w:eastAsia="Arial Unicode MS"/>
      <w:color w:val="0000FF"/>
      <w:sz w:val="20"/>
    </w:rPr>
  </w:style>
  <w:style w:type="paragraph" w:customStyle="1" w:styleId="208">
    <w:name w:val="xl58"/>
    <w:basedOn w:val="1"/>
    <w:qFormat/>
    <w:uiPriority w:val="0"/>
    <w:pPr>
      <w:widowControl/>
      <w:spacing w:beforeAutospacing="1" w:afterAutospacing="1"/>
      <w:jc w:val="left"/>
    </w:pPr>
    <w:rPr>
      <w:rFonts w:hint="eastAsia" w:hAnsi="宋体"/>
    </w:rPr>
  </w:style>
  <w:style w:type="paragraph" w:customStyle="1" w:styleId="209">
    <w:name w:val="样式 四号 首行缩进:  1.01 厘米 行距: 1.5 倍行距"/>
    <w:basedOn w:val="1"/>
    <w:qFormat/>
    <w:uiPriority w:val="0"/>
    <w:pPr>
      <w:spacing w:line="360" w:lineRule="auto"/>
      <w:ind w:firstLine="570"/>
    </w:pPr>
  </w:style>
  <w:style w:type="paragraph" w:customStyle="1" w:styleId="210">
    <w:name w:val="样式 (西文) 仿宋_GB2312 (中文) 仿宋_GB2312 二号 加粗 居中 行距: 1.5 倍行距"/>
    <w:basedOn w:val="1"/>
    <w:qFormat/>
    <w:uiPriority w:val="0"/>
    <w:pPr>
      <w:spacing w:line="360" w:lineRule="auto"/>
      <w:jc w:val="center"/>
    </w:pPr>
    <w:rPr>
      <w:rFonts w:ascii="仿宋_GB2312" w:cs="宋体"/>
      <w:b/>
      <w:bCs/>
      <w:sz w:val="44"/>
    </w:rPr>
  </w:style>
  <w:style w:type="paragraph" w:customStyle="1" w:styleId="211">
    <w:name w:val="xl80"/>
    <w:basedOn w:val="1"/>
    <w:qFormat/>
    <w:uiPriority w:val="0"/>
    <w:pPr>
      <w:widowControl/>
      <w:pBdr>
        <w:top w:val="single" w:color="auto" w:sz="4" w:space="0"/>
        <w:left w:val="single" w:color="auto" w:sz="4" w:space="0"/>
        <w:bottom w:val="single" w:color="auto" w:sz="8" w:space="0"/>
        <w:right w:val="single" w:color="auto" w:sz="8" w:space="0"/>
      </w:pBdr>
      <w:spacing w:beforeAutospacing="1" w:afterAutospacing="1"/>
      <w:jc w:val="left"/>
      <w:textAlignment w:val="center"/>
    </w:pPr>
    <w:rPr>
      <w:rFonts w:hAnsi="宋体"/>
    </w:rPr>
  </w:style>
  <w:style w:type="paragraph" w:customStyle="1" w:styleId="212">
    <w:name w:val="正文11"/>
    <w:basedOn w:val="1"/>
    <w:qFormat/>
    <w:uiPriority w:val="0"/>
    <w:pPr>
      <w:adjustRightInd w:val="0"/>
      <w:snapToGrid w:val="0"/>
      <w:spacing w:line="360" w:lineRule="auto"/>
    </w:pPr>
    <w:rPr>
      <w:snapToGrid w:val="0"/>
    </w:rPr>
  </w:style>
  <w:style w:type="paragraph" w:customStyle="1" w:styleId="213">
    <w:name w:val="样式 四号 行距: 固定值 25 磅1"/>
    <w:basedOn w:val="1"/>
    <w:qFormat/>
    <w:uiPriority w:val="0"/>
    <w:pPr>
      <w:spacing w:line="500" w:lineRule="exact"/>
      <w:ind w:firstLine="560" w:firstLineChars="200"/>
    </w:pPr>
  </w:style>
  <w:style w:type="paragraph" w:customStyle="1" w:styleId="214">
    <w:name w:val="0"/>
    <w:basedOn w:val="1"/>
    <w:qFormat/>
    <w:uiPriority w:val="0"/>
    <w:pPr>
      <w:widowControl/>
      <w:snapToGrid w:val="0"/>
    </w:pPr>
    <w:rPr>
      <w:sz w:val="20"/>
    </w:rPr>
  </w:style>
  <w:style w:type="paragraph" w:customStyle="1" w:styleId="215">
    <w:name w:val="xl86"/>
    <w:basedOn w:val="1"/>
    <w:qFormat/>
    <w:uiPriority w:val="0"/>
    <w:pPr>
      <w:widowControl/>
      <w:pBdr>
        <w:left w:val="single" w:color="auto" w:sz="4" w:space="0"/>
        <w:right w:val="single" w:color="auto" w:sz="4" w:space="0"/>
      </w:pBdr>
      <w:spacing w:beforeAutospacing="1" w:afterAutospacing="1"/>
      <w:jc w:val="center"/>
      <w:textAlignment w:val="center"/>
    </w:pPr>
    <w:rPr>
      <w:rFonts w:hint="eastAsia" w:hAnsi="宋体"/>
    </w:rPr>
  </w:style>
  <w:style w:type="paragraph" w:customStyle="1" w:styleId="216">
    <w:name w:val="xl63"/>
    <w:basedOn w:val="1"/>
    <w:qFormat/>
    <w:uiPriority w:val="0"/>
    <w:pPr>
      <w:widowControl/>
      <w:pBdr>
        <w:left w:val="single" w:color="auto" w:sz="8" w:space="0"/>
        <w:bottom w:val="single" w:color="auto" w:sz="8" w:space="0"/>
        <w:right w:val="single" w:color="auto" w:sz="4" w:space="0"/>
      </w:pBdr>
      <w:jc w:val="center"/>
      <w:textAlignment w:val="center"/>
    </w:pPr>
    <w:rPr>
      <w:rFonts w:ascii="Arial Unicode MS" w:hAnsi="Arial Unicode MS" w:eastAsia="Arial Unicode MS"/>
    </w:rPr>
  </w:style>
  <w:style w:type="paragraph" w:customStyle="1" w:styleId="217">
    <w:name w:val="正文2"/>
    <w:basedOn w:val="1"/>
    <w:link w:val="279"/>
    <w:qFormat/>
    <w:uiPriority w:val="0"/>
    <w:pPr>
      <w:spacing w:line="500" w:lineRule="exact"/>
      <w:ind w:firstLine="560" w:firstLineChars="200"/>
    </w:pPr>
    <w:rPr>
      <w:rFonts w:cs="宋体"/>
      <w:kern w:val="2"/>
      <w:sz w:val="28"/>
      <w:szCs w:val="28"/>
    </w:rPr>
  </w:style>
  <w:style w:type="paragraph" w:customStyle="1" w:styleId="218">
    <w:name w:val="样式4"/>
    <w:basedOn w:val="23"/>
    <w:qFormat/>
    <w:uiPriority w:val="0"/>
    <w:pPr>
      <w:spacing w:line="500" w:lineRule="exact"/>
      <w:ind w:left="0" w:leftChars="0" w:firstLine="646"/>
    </w:pPr>
    <w:rPr>
      <w:sz w:val="28"/>
    </w:rPr>
  </w:style>
  <w:style w:type="paragraph" w:customStyle="1" w:styleId="219">
    <w:name w:val="xl57"/>
    <w:basedOn w:val="1"/>
    <w:qFormat/>
    <w:uiPriority w:val="0"/>
    <w:pPr>
      <w:widowControl/>
      <w:pBdr>
        <w:left w:val="single" w:color="auto" w:sz="4" w:space="0"/>
        <w:bottom w:val="single" w:color="auto" w:sz="4" w:space="0"/>
        <w:right w:val="single" w:color="auto" w:sz="8" w:space="0"/>
      </w:pBdr>
      <w:spacing w:beforeAutospacing="1" w:afterAutospacing="1"/>
      <w:jc w:val="left"/>
      <w:textAlignment w:val="center"/>
    </w:pPr>
    <w:rPr>
      <w:rFonts w:hAnsi="宋体"/>
    </w:rPr>
  </w:style>
  <w:style w:type="paragraph" w:customStyle="1" w:styleId="220">
    <w:name w:val="xl66"/>
    <w:basedOn w:val="1"/>
    <w:qFormat/>
    <w:uiPriority w:val="0"/>
    <w:pPr>
      <w:widowControl/>
      <w:pBdr>
        <w:top w:val="single" w:color="auto" w:sz="4" w:space="0"/>
        <w:left w:val="single" w:color="auto" w:sz="8" w:space="0"/>
        <w:right w:val="single" w:color="auto" w:sz="4" w:space="0"/>
      </w:pBdr>
      <w:spacing w:beforeAutospacing="1" w:afterAutospacing="1"/>
      <w:jc w:val="center"/>
      <w:textAlignment w:val="center"/>
    </w:pPr>
    <w:rPr>
      <w:rFonts w:hint="eastAsia" w:hAnsi="宋体"/>
    </w:rPr>
  </w:style>
  <w:style w:type="paragraph" w:customStyle="1" w:styleId="221">
    <w:name w:val="xl73"/>
    <w:basedOn w:val="1"/>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hint="eastAsia" w:hAnsi="宋体"/>
      <w:sz w:val="22"/>
      <w:szCs w:val="22"/>
    </w:rPr>
  </w:style>
  <w:style w:type="paragraph" w:customStyle="1" w:styleId="222">
    <w:name w:val="Char1 Char Char Char Char Char Char Char Char Char Char Char Char Char Char Char"/>
    <w:basedOn w:val="1"/>
    <w:qFormat/>
    <w:uiPriority w:val="0"/>
    <w:pPr>
      <w:widowControl/>
      <w:spacing w:line="240" w:lineRule="exact"/>
      <w:jc w:val="left"/>
    </w:pPr>
  </w:style>
  <w:style w:type="paragraph" w:customStyle="1" w:styleId="223">
    <w:name w:val="xl30"/>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olor w:val="0000FF"/>
    </w:rPr>
  </w:style>
  <w:style w:type="paragraph" w:customStyle="1" w:styleId="224">
    <w:name w:val="xl87"/>
    <w:basedOn w:val="1"/>
    <w:qFormat/>
    <w:uiPriority w:val="0"/>
    <w:pPr>
      <w:widowControl/>
      <w:pBdr>
        <w:left w:val="single" w:color="auto" w:sz="4" w:space="0"/>
        <w:right w:val="single" w:color="auto" w:sz="4" w:space="0"/>
      </w:pBdr>
      <w:spacing w:beforeAutospacing="1" w:afterAutospacing="1"/>
      <w:jc w:val="center"/>
      <w:textAlignment w:val="center"/>
    </w:pPr>
    <w:rPr>
      <w:rFonts w:hAnsi="宋体"/>
    </w:rPr>
  </w:style>
  <w:style w:type="paragraph" w:customStyle="1" w:styleId="225">
    <w:name w:val="样式1"/>
    <w:basedOn w:val="1"/>
    <w:next w:val="6"/>
    <w:qFormat/>
    <w:uiPriority w:val="0"/>
    <w:pPr>
      <w:adjustRightInd w:val="0"/>
      <w:snapToGrid w:val="0"/>
      <w:spacing w:line="500" w:lineRule="exact"/>
    </w:pPr>
    <w:rPr>
      <w:rFonts w:hAnsi="宋体"/>
      <w:sz w:val="28"/>
    </w:rPr>
  </w:style>
  <w:style w:type="paragraph" w:customStyle="1" w:styleId="226">
    <w:name w:val="无悬挂正文5号"/>
    <w:basedOn w:val="1"/>
    <w:qFormat/>
    <w:uiPriority w:val="0"/>
    <w:pPr>
      <w:adjustRightInd w:val="0"/>
      <w:jc w:val="center"/>
      <w:textAlignment w:val="baseline"/>
    </w:pPr>
  </w:style>
  <w:style w:type="paragraph" w:customStyle="1" w:styleId="227">
    <w:name w:val="xl82"/>
    <w:basedOn w:val="1"/>
    <w:qFormat/>
    <w:uiPriority w:val="0"/>
    <w:pPr>
      <w:widowControl/>
      <w:pBdr>
        <w:top w:val="single" w:color="auto" w:sz="4" w:space="0"/>
        <w:left w:val="single" w:color="auto" w:sz="4" w:space="0"/>
        <w:bottom w:val="single" w:color="auto" w:sz="8" w:space="0"/>
        <w:right w:val="single" w:color="auto" w:sz="4" w:space="0"/>
      </w:pBdr>
      <w:spacing w:beforeAutospacing="1" w:afterAutospacing="1"/>
      <w:jc w:val="left"/>
      <w:textAlignment w:val="center"/>
    </w:pPr>
    <w:rPr>
      <w:rFonts w:hAnsi="宋体"/>
    </w:rPr>
  </w:style>
  <w:style w:type="paragraph" w:customStyle="1" w:styleId="228">
    <w:name w:val="xl52"/>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229">
    <w:name w:val="正文文本缩进 31"/>
    <w:basedOn w:val="1"/>
    <w:qFormat/>
    <w:uiPriority w:val="0"/>
    <w:pPr>
      <w:adjustRightInd w:val="0"/>
      <w:spacing w:line="360" w:lineRule="auto"/>
      <w:ind w:firstLine="567"/>
      <w:jc w:val="left"/>
      <w:textAlignment w:val="baseline"/>
    </w:pPr>
  </w:style>
  <w:style w:type="paragraph" w:customStyle="1" w:styleId="230">
    <w:name w:val="方框图文字"/>
    <w:basedOn w:val="1"/>
    <w:qFormat/>
    <w:uiPriority w:val="0"/>
    <w:pPr>
      <w:spacing w:line="0" w:lineRule="atLeast"/>
      <w:jc w:val="center"/>
    </w:pPr>
    <w:rPr>
      <w:sz w:val="15"/>
      <w:szCs w:val="21"/>
    </w:rPr>
  </w:style>
  <w:style w:type="paragraph" w:customStyle="1" w:styleId="231">
    <w:name w:val="xl78"/>
    <w:basedOn w:val="1"/>
    <w:qFormat/>
    <w:uiPriority w:val="0"/>
    <w:pPr>
      <w:widowControl/>
      <w:pBdr>
        <w:top w:val="single" w:color="auto" w:sz="4" w:space="0"/>
        <w:left w:val="single" w:color="auto" w:sz="8" w:space="0"/>
        <w:bottom w:val="single" w:color="auto" w:sz="8" w:space="0"/>
        <w:right w:val="single" w:color="auto" w:sz="4" w:space="0"/>
      </w:pBdr>
      <w:spacing w:beforeAutospacing="1" w:afterAutospacing="1"/>
      <w:jc w:val="center"/>
      <w:textAlignment w:val="center"/>
    </w:pPr>
    <w:rPr>
      <w:rFonts w:hAnsi="宋体"/>
    </w:rPr>
  </w:style>
  <w:style w:type="paragraph" w:customStyle="1" w:styleId="232">
    <w:name w:val="表文字"/>
    <w:next w:val="1"/>
    <w:qFormat/>
    <w:uiPriority w:val="0"/>
    <w:pPr>
      <w:spacing w:line="360" w:lineRule="auto"/>
      <w:jc w:val="center"/>
    </w:pPr>
    <w:rPr>
      <w:rFonts w:ascii="Arial" w:hAnsi="Arial" w:eastAsia="宋体" w:cs="Times New Roman"/>
      <w:sz w:val="21"/>
      <w:lang w:val="en-US" w:eastAsia="zh-CN" w:bidi="ar-SA"/>
    </w:rPr>
  </w:style>
  <w:style w:type="paragraph" w:customStyle="1" w:styleId="233">
    <w:name w:val="正文文本 Char Char"/>
    <w:basedOn w:val="1"/>
    <w:link w:val="272"/>
    <w:unhideWhenUsed/>
    <w:qFormat/>
    <w:uiPriority w:val="99"/>
    <w:pPr>
      <w:shd w:val="clear" w:color="auto" w:fill="FFFFFF"/>
      <w:spacing w:line="713" w:lineRule="exact"/>
      <w:ind w:firstLine="580"/>
      <w:jc w:val="distribute"/>
    </w:pPr>
    <w:rPr>
      <w:rFonts w:hint="eastAsia" w:ascii="MingLiU" w:hAnsi="MingLiU" w:eastAsia="MingLiU"/>
      <w:sz w:val="29"/>
    </w:rPr>
  </w:style>
  <w:style w:type="paragraph" w:customStyle="1" w:styleId="234">
    <w:name w:val="表格"/>
    <w:basedOn w:val="1"/>
    <w:qFormat/>
    <w:uiPriority w:val="0"/>
    <w:pPr>
      <w:adjustRightInd w:val="0"/>
      <w:spacing w:line="400" w:lineRule="exact"/>
      <w:jc w:val="center"/>
      <w:textAlignment w:val="baseline"/>
    </w:pPr>
  </w:style>
  <w:style w:type="paragraph" w:customStyle="1" w:styleId="235">
    <w:name w:val="xl88"/>
    <w:basedOn w:val="1"/>
    <w:qFormat/>
    <w:uiPriority w:val="0"/>
    <w:pPr>
      <w:widowControl/>
      <w:pBdr>
        <w:left w:val="single" w:color="auto" w:sz="4" w:space="0"/>
        <w:right w:val="single" w:color="auto" w:sz="8" w:space="0"/>
      </w:pBdr>
      <w:spacing w:beforeAutospacing="1" w:afterAutospacing="1"/>
      <w:jc w:val="center"/>
      <w:textAlignment w:val="center"/>
    </w:pPr>
    <w:rPr>
      <w:rFonts w:hint="eastAsia" w:hAnsi="宋体"/>
    </w:rPr>
  </w:style>
  <w:style w:type="paragraph" w:customStyle="1" w:styleId="236">
    <w:name w:val="样式 四号 行距: 1.5 倍行距"/>
    <w:basedOn w:val="1"/>
    <w:qFormat/>
    <w:uiPriority w:val="0"/>
    <w:pPr>
      <w:spacing w:line="360" w:lineRule="auto"/>
      <w:ind w:firstLine="560" w:firstLineChars="200"/>
    </w:pPr>
  </w:style>
  <w:style w:type="paragraph" w:customStyle="1" w:styleId="237">
    <w:name w:val="样式 四号 首行缩进:  1.06 厘米 行距: 1.5 倍行距"/>
    <w:basedOn w:val="1"/>
    <w:qFormat/>
    <w:uiPriority w:val="0"/>
    <w:pPr>
      <w:spacing w:line="360" w:lineRule="auto"/>
      <w:ind w:firstLine="600"/>
    </w:pPr>
  </w:style>
  <w:style w:type="paragraph" w:customStyle="1" w:styleId="238">
    <w:name w:val="样式 正文文本缩进 + 四号 行距: 固定值 25 磅"/>
    <w:basedOn w:val="23"/>
    <w:qFormat/>
    <w:uiPriority w:val="0"/>
    <w:pPr>
      <w:spacing w:line="500" w:lineRule="exact"/>
      <w:ind w:left="0" w:leftChars="0" w:firstLine="538" w:firstLineChars="192"/>
    </w:pPr>
  </w:style>
  <w:style w:type="paragraph" w:customStyle="1" w:styleId="239">
    <w:name w:val="xl67"/>
    <w:basedOn w:val="1"/>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rFonts w:hint="eastAsia" w:hAnsi="宋体"/>
    </w:rPr>
  </w:style>
  <w:style w:type="paragraph" w:customStyle="1" w:styleId="240">
    <w:name w:val="报告正文"/>
    <w:basedOn w:val="1"/>
    <w:qFormat/>
    <w:uiPriority w:val="0"/>
    <w:pPr>
      <w:spacing w:line="360" w:lineRule="auto"/>
      <w:ind w:firstLine="480" w:firstLineChars="200"/>
    </w:pPr>
    <w:rPr>
      <w:rFonts w:hAnsi="宋体"/>
    </w:rPr>
  </w:style>
  <w:style w:type="paragraph" w:customStyle="1" w:styleId="241">
    <w:name w:val="Body Text 22"/>
    <w:basedOn w:val="1"/>
    <w:qFormat/>
    <w:uiPriority w:val="0"/>
    <w:pPr>
      <w:wordWrap w:val="0"/>
      <w:overflowPunct w:val="0"/>
      <w:autoSpaceDE w:val="0"/>
      <w:autoSpaceDN w:val="0"/>
      <w:adjustRightInd w:val="0"/>
      <w:spacing w:line="480" w:lineRule="exact"/>
      <w:ind w:firstLine="600"/>
      <w:jc w:val="left"/>
      <w:textAlignment w:val="baseline"/>
    </w:pPr>
    <w:rPr>
      <w:color w:val="000000"/>
      <w:sz w:val="28"/>
      <w:szCs w:val="28"/>
    </w:rPr>
  </w:style>
  <w:style w:type="paragraph" w:customStyle="1" w:styleId="242">
    <w:name w:val="font7"/>
    <w:basedOn w:val="1"/>
    <w:qFormat/>
    <w:uiPriority w:val="0"/>
    <w:pPr>
      <w:widowControl/>
      <w:spacing w:beforeAutospacing="1" w:afterAutospacing="1"/>
      <w:jc w:val="left"/>
    </w:pPr>
    <w:rPr>
      <w:rFonts w:hint="eastAsia" w:hAnsi="宋体"/>
      <w:color w:val="0000FF"/>
    </w:rPr>
  </w:style>
  <w:style w:type="paragraph" w:customStyle="1" w:styleId="243">
    <w:name w:val="xl25"/>
    <w:basedOn w:val="1"/>
    <w:qFormat/>
    <w:uiPriority w:val="0"/>
    <w:pPr>
      <w:widowControl/>
      <w:spacing w:beforeAutospacing="1" w:afterAutospacing="1"/>
      <w:jc w:val="left"/>
      <w:textAlignment w:val="center"/>
    </w:pPr>
    <w:rPr>
      <w:rFonts w:ascii="Arial Unicode MS" w:hAnsi="Arial Unicode MS" w:eastAsia="Arial Unicode MS"/>
      <w:color w:val="0000FF"/>
    </w:rPr>
  </w:style>
  <w:style w:type="paragraph" w:customStyle="1" w:styleId="244">
    <w:name w:val="Char Char Char1"/>
    <w:basedOn w:val="1"/>
    <w:next w:val="2"/>
    <w:qFormat/>
    <w:uiPriority w:val="0"/>
    <w:rPr>
      <w:sz w:val="28"/>
      <w:szCs w:val="28"/>
    </w:rPr>
  </w:style>
  <w:style w:type="paragraph" w:customStyle="1" w:styleId="245">
    <w:name w:val="xl40"/>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eastAsia="Arial Unicode MS"/>
      <w:color w:val="0000FF"/>
      <w:sz w:val="20"/>
    </w:rPr>
  </w:style>
  <w:style w:type="paragraph" w:customStyle="1" w:styleId="246">
    <w:name w:val="前言、引言标题"/>
    <w:next w:val="1"/>
    <w:qFormat/>
    <w:uiPriority w:val="0"/>
    <w:pPr>
      <w:numPr>
        <w:ilvl w:val="0"/>
        <w:numId w:val="2"/>
      </w:numPr>
      <w:shd w:val="clear" w:color="FFFFFF" w:fill="FFFFFF"/>
      <w:tabs>
        <w:tab w:val="left" w:pos="360"/>
        <w:tab w:val="clear" w:pos="0"/>
      </w:tabs>
      <w:jc w:val="center"/>
      <w:outlineLvl w:val="0"/>
    </w:pPr>
    <w:rPr>
      <w:rFonts w:ascii="黑体" w:hAnsi="Times New Roman" w:eastAsia="黑体" w:cs="Times New Roman"/>
      <w:sz w:val="32"/>
      <w:lang w:val="en-US" w:eastAsia="zh-CN" w:bidi="ar-SA"/>
    </w:rPr>
  </w:style>
  <w:style w:type="paragraph" w:customStyle="1" w:styleId="247">
    <w:name w:val="xl41"/>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248">
    <w:name w:val="xl54"/>
    <w:basedOn w:val="1"/>
    <w:qFormat/>
    <w:uiPriority w:val="0"/>
    <w:pPr>
      <w:widowControl/>
      <w:pBdr>
        <w:top w:val="single" w:color="auto" w:sz="4" w:space="0"/>
        <w:left w:val="single" w:color="auto" w:sz="4" w:space="0"/>
        <w:bottom w:val="single" w:color="auto" w:sz="4" w:space="0"/>
        <w:right w:val="single" w:color="auto" w:sz="8" w:space="0"/>
      </w:pBdr>
      <w:spacing w:beforeAutospacing="1" w:afterAutospacing="1"/>
      <w:jc w:val="left"/>
      <w:textAlignment w:val="center"/>
    </w:pPr>
    <w:rPr>
      <w:rFonts w:hint="eastAsia" w:hAnsi="宋体"/>
    </w:rPr>
  </w:style>
  <w:style w:type="paragraph" w:customStyle="1" w:styleId="249">
    <w:name w:val="表格04"/>
    <w:basedOn w:val="1"/>
    <w:qFormat/>
    <w:uiPriority w:val="0"/>
    <w:pPr>
      <w:spacing w:line="360" w:lineRule="exact"/>
      <w:jc w:val="center"/>
    </w:pPr>
    <w:rPr>
      <w:rFonts w:cs="宋体"/>
      <w:snapToGrid w:val="0"/>
      <w:sz w:val="18"/>
      <w:szCs w:val="18"/>
    </w:rPr>
  </w:style>
  <w:style w:type="paragraph" w:customStyle="1" w:styleId="250">
    <w:name w:val="xl91"/>
    <w:basedOn w:val="1"/>
    <w:qFormat/>
    <w:uiPriority w:val="0"/>
    <w:pPr>
      <w:widowControl/>
      <w:spacing w:beforeAutospacing="1" w:afterAutospacing="1"/>
      <w:jc w:val="center"/>
      <w:textAlignment w:val="top"/>
    </w:pPr>
    <w:rPr>
      <w:rFonts w:hint="eastAsia" w:hAnsi="宋体"/>
      <w:b/>
      <w:bCs/>
      <w:sz w:val="32"/>
      <w:szCs w:val="32"/>
    </w:rPr>
  </w:style>
  <w:style w:type="paragraph" w:customStyle="1" w:styleId="251">
    <w:name w:val="默认段落字体 Para Char Char Char Char"/>
    <w:basedOn w:val="1"/>
    <w:qFormat/>
    <w:uiPriority w:val="0"/>
    <w:rPr>
      <w:rFonts w:eastAsia="Times New Roman"/>
      <w:sz w:val="20"/>
    </w:rPr>
  </w:style>
  <w:style w:type="paragraph" w:customStyle="1" w:styleId="252">
    <w:name w:val="样式 四号 黑色 首行缩进:  0.99 厘米 行距: 1.5 倍行距"/>
    <w:basedOn w:val="1"/>
    <w:qFormat/>
    <w:uiPriority w:val="0"/>
    <w:pPr>
      <w:spacing w:line="360" w:lineRule="auto"/>
      <w:ind w:firstLine="560"/>
    </w:pPr>
    <w:rPr>
      <w:color w:val="000000"/>
    </w:rPr>
  </w:style>
  <w:style w:type="paragraph" w:customStyle="1" w:styleId="253">
    <w:name w:val="xl61"/>
    <w:basedOn w:val="1"/>
    <w:qFormat/>
    <w:uiPriority w:val="0"/>
    <w:pPr>
      <w:widowControl/>
      <w:pBdr>
        <w:left w:val="single" w:color="auto" w:sz="8" w:space="0"/>
        <w:bottom w:val="single" w:color="auto" w:sz="4" w:space="0"/>
        <w:right w:val="single" w:color="auto" w:sz="4" w:space="0"/>
      </w:pBdr>
      <w:spacing w:beforeAutospacing="1" w:afterAutospacing="1"/>
      <w:jc w:val="center"/>
      <w:textAlignment w:val="center"/>
    </w:pPr>
    <w:rPr>
      <w:rFonts w:hAnsi="宋体"/>
      <w:sz w:val="28"/>
      <w:szCs w:val="28"/>
    </w:rPr>
  </w:style>
  <w:style w:type="paragraph" w:customStyle="1" w:styleId="254">
    <w:name w:val="样式 四号 段后: 6 磅 行距: 1.5 倍行距"/>
    <w:basedOn w:val="1"/>
    <w:qFormat/>
    <w:uiPriority w:val="0"/>
    <w:pPr>
      <w:spacing w:line="360" w:lineRule="auto"/>
      <w:ind w:firstLine="560" w:firstLineChars="200"/>
    </w:pPr>
  </w:style>
  <w:style w:type="paragraph" w:customStyle="1" w:styleId="255">
    <w:name w:val="font5"/>
    <w:basedOn w:val="1"/>
    <w:qFormat/>
    <w:uiPriority w:val="0"/>
    <w:pPr>
      <w:widowControl/>
      <w:spacing w:beforeAutospacing="1" w:afterAutospacing="1"/>
      <w:jc w:val="left"/>
    </w:pPr>
    <w:rPr>
      <w:rFonts w:hint="eastAsia" w:hAnsi="宋体"/>
      <w:sz w:val="18"/>
      <w:szCs w:val="18"/>
    </w:rPr>
  </w:style>
  <w:style w:type="paragraph" w:customStyle="1" w:styleId="256">
    <w:name w:val="正文文本格式"/>
    <w:basedOn w:val="1"/>
    <w:qFormat/>
    <w:uiPriority w:val="0"/>
    <w:pPr>
      <w:adjustRightInd w:val="0"/>
      <w:snapToGrid w:val="0"/>
      <w:spacing w:line="480" w:lineRule="exact"/>
      <w:ind w:firstLine="567"/>
    </w:pPr>
    <w:rPr>
      <w:snapToGrid w:val="0"/>
      <w:sz w:val="28"/>
      <w:szCs w:val="28"/>
    </w:rPr>
  </w:style>
  <w:style w:type="paragraph" w:customStyle="1" w:styleId="257">
    <w:name w:val="xl49"/>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hAnsi="宋体"/>
    </w:rPr>
  </w:style>
  <w:style w:type="paragraph" w:customStyle="1" w:styleId="258">
    <w:name w:val="样式 四号 黑色 行距: 1.5 倍行距1"/>
    <w:basedOn w:val="1"/>
    <w:qFormat/>
    <w:uiPriority w:val="0"/>
    <w:pPr>
      <w:spacing w:line="360" w:lineRule="auto"/>
    </w:pPr>
    <w:rPr>
      <w:color w:val="000000"/>
    </w:rPr>
  </w:style>
  <w:style w:type="paragraph" w:customStyle="1" w:styleId="259">
    <w:name w:val="xl46"/>
    <w:basedOn w:val="1"/>
    <w:qFormat/>
    <w:uiPriority w:val="0"/>
    <w:pPr>
      <w:widowControl/>
      <w:pBdr>
        <w:top w:val="single" w:color="auto" w:sz="4" w:space="0"/>
        <w:left w:val="single" w:color="auto" w:sz="4" w:space="0"/>
        <w:bottom w:val="single" w:color="auto" w:sz="4" w:space="0"/>
        <w:right w:val="single" w:color="auto" w:sz="8" w:space="0"/>
      </w:pBdr>
      <w:spacing w:beforeAutospacing="1" w:afterAutospacing="1"/>
      <w:jc w:val="left"/>
      <w:textAlignment w:val="center"/>
    </w:pPr>
    <w:rPr>
      <w:rFonts w:hint="eastAsia" w:hAnsi="宋体"/>
    </w:rPr>
  </w:style>
  <w:style w:type="paragraph" w:customStyle="1" w:styleId="260">
    <w:name w:val="xl48"/>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pPr>
    <w:rPr>
      <w:rFonts w:hAnsi="宋体"/>
    </w:rPr>
  </w:style>
  <w:style w:type="paragraph" w:customStyle="1" w:styleId="261">
    <w:name w:val="Body Text 21"/>
    <w:basedOn w:val="1"/>
    <w:qFormat/>
    <w:uiPriority w:val="0"/>
    <w:pPr>
      <w:autoSpaceDE w:val="0"/>
      <w:autoSpaceDN w:val="0"/>
      <w:adjustRightInd w:val="0"/>
      <w:spacing w:line="500" w:lineRule="atLeast"/>
      <w:ind w:firstLine="480"/>
      <w:jc w:val="left"/>
      <w:textAlignment w:val="bottom"/>
    </w:pPr>
    <w:rPr>
      <w:sz w:val="28"/>
    </w:rPr>
  </w:style>
  <w:style w:type="paragraph" w:customStyle="1" w:styleId="262">
    <w:name w:val="样式 四号 首行缩进:  0.75 厘米 行距: 1.5 倍行距"/>
    <w:basedOn w:val="1"/>
    <w:qFormat/>
    <w:uiPriority w:val="0"/>
    <w:pPr>
      <w:spacing w:line="360" w:lineRule="auto"/>
      <w:ind w:firstLine="425"/>
    </w:pPr>
  </w:style>
  <w:style w:type="paragraph" w:customStyle="1" w:styleId="263">
    <w:name w:val="正文文本 21"/>
    <w:basedOn w:val="1"/>
    <w:qFormat/>
    <w:uiPriority w:val="0"/>
    <w:pPr>
      <w:widowControl/>
      <w:adjustRightInd w:val="0"/>
      <w:spacing w:line="360" w:lineRule="auto"/>
      <w:ind w:right="-1" w:firstLine="615"/>
      <w:jc w:val="left"/>
      <w:textAlignment w:val="baseline"/>
    </w:pPr>
    <w:rPr>
      <w:spacing w:val="8"/>
      <w:sz w:val="28"/>
    </w:rPr>
  </w:style>
  <w:style w:type="paragraph" w:customStyle="1" w:styleId="264">
    <w:name w:val="五级条标题"/>
    <w:basedOn w:val="77"/>
    <w:next w:val="5"/>
    <w:qFormat/>
    <w:uiPriority w:val="0"/>
  </w:style>
  <w:style w:type="paragraph" w:customStyle="1" w:styleId="265">
    <w:name w:val="样式 四号 左侧:  1 厘米 行距: 1.5 倍行距"/>
    <w:basedOn w:val="1"/>
    <w:qFormat/>
    <w:uiPriority w:val="0"/>
    <w:pPr>
      <w:spacing w:line="360" w:lineRule="auto"/>
      <w:ind w:left="567"/>
    </w:pPr>
  </w:style>
  <w:style w:type="paragraph" w:customStyle="1" w:styleId="266">
    <w:name w:val="正文+段落"/>
    <w:basedOn w:val="203"/>
    <w:link w:val="325"/>
    <w:qFormat/>
    <w:uiPriority w:val="0"/>
    <w:pPr>
      <w:ind w:firstLine="480"/>
    </w:pPr>
  </w:style>
  <w:style w:type="paragraph" w:customStyle="1" w:styleId="267">
    <w:name w:val="肖-正文-缩2"/>
    <w:basedOn w:val="1"/>
    <w:qFormat/>
    <w:uiPriority w:val="0"/>
    <w:pPr>
      <w:spacing w:line="500" w:lineRule="exact"/>
      <w:ind w:firstLine="200" w:firstLineChars="200"/>
    </w:pPr>
    <w:rPr>
      <w:rFonts w:hAnsi="宋体" w:cs="宋体"/>
      <w:color w:val="000000"/>
    </w:rPr>
  </w:style>
  <w:style w:type="paragraph" w:customStyle="1" w:styleId="268">
    <w:name w:val="xl90"/>
    <w:basedOn w:val="1"/>
    <w:qFormat/>
    <w:uiPriority w:val="0"/>
    <w:pPr>
      <w:widowControl/>
      <w:pBdr>
        <w:left w:val="single" w:color="auto" w:sz="4" w:space="0"/>
        <w:right w:val="single" w:color="auto" w:sz="8" w:space="0"/>
      </w:pBdr>
      <w:spacing w:beforeAutospacing="1" w:afterAutospacing="1"/>
      <w:jc w:val="center"/>
      <w:textAlignment w:val="center"/>
    </w:pPr>
    <w:rPr>
      <w:rFonts w:hint="eastAsia" w:hAnsi="宋体"/>
    </w:rPr>
  </w:style>
  <w:style w:type="character" w:customStyle="1" w:styleId="269">
    <w:name w:val="h2 Char"/>
    <w:basedOn w:val="55"/>
    <w:qFormat/>
    <w:uiPriority w:val="0"/>
    <w:rPr>
      <w:rFonts w:ascii="Arial" w:hAnsi="Arial" w:eastAsia="黑体"/>
      <w:b/>
      <w:bCs/>
      <w:kern w:val="2"/>
      <w:sz w:val="32"/>
      <w:szCs w:val="32"/>
      <w:lang w:val="en-US" w:eastAsia="zh-CN" w:bidi="ar-SA"/>
    </w:rPr>
  </w:style>
  <w:style w:type="character" w:customStyle="1" w:styleId="270">
    <w:name w:val="纯文本 Char"/>
    <w:link w:val="28"/>
    <w:qFormat/>
    <w:uiPriority w:val="0"/>
    <w:rPr>
      <w:rFonts w:ascii="宋体" w:hAnsi="Courier New"/>
      <w:kern w:val="2"/>
      <w:sz w:val="28"/>
    </w:rPr>
  </w:style>
  <w:style w:type="character" w:customStyle="1" w:styleId="271">
    <w:name w:val="正文文本 + Angsana New"/>
    <w:basedOn w:val="272"/>
    <w:unhideWhenUsed/>
    <w:qFormat/>
    <w:uiPriority w:val="99"/>
    <w:rPr>
      <w:rFonts w:hint="eastAsia" w:ascii="Angsana New" w:hAnsi="Angsana New" w:eastAsia="Angsana New"/>
      <w:sz w:val="70"/>
    </w:rPr>
  </w:style>
  <w:style w:type="character" w:customStyle="1" w:styleId="272">
    <w:name w:val="正文文本_"/>
    <w:basedOn w:val="55"/>
    <w:link w:val="233"/>
    <w:unhideWhenUsed/>
    <w:qFormat/>
    <w:uiPriority w:val="99"/>
    <w:rPr>
      <w:rFonts w:hint="eastAsia" w:ascii="MingLiU" w:hAnsi="MingLiU" w:eastAsia="MingLiU"/>
      <w:sz w:val="29"/>
    </w:rPr>
  </w:style>
  <w:style w:type="character" w:customStyle="1" w:styleId="273">
    <w:name w:val="unnamed11"/>
    <w:basedOn w:val="55"/>
    <w:qFormat/>
    <w:uiPriority w:val="0"/>
  </w:style>
  <w:style w:type="character" w:customStyle="1" w:styleId="274">
    <w:name w:val="正文缩进 Char"/>
    <w:link w:val="9"/>
    <w:qFormat/>
    <w:uiPriority w:val="0"/>
    <w:rPr>
      <w:rFonts w:eastAsia="宋体"/>
      <w:kern w:val="2"/>
      <w:sz w:val="21"/>
      <w:szCs w:val="24"/>
      <w:lang w:val="en-US" w:eastAsia="zh-CN" w:bidi="ar-SA"/>
    </w:rPr>
  </w:style>
  <w:style w:type="character" w:customStyle="1" w:styleId="275">
    <w:name w:val="样式 样式 首行缩进:  0.8厘米 + 右侧:  2 字符 Char Char"/>
    <w:basedOn w:val="276"/>
    <w:link w:val="88"/>
    <w:qFormat/>
    <w:uiPriority w:val="0"/>
    <w:rPr>
      <w:rFonts w:eastAsia="宋体"/>
      <w:snapToGrid w:val="0"/>
      <w:sz w:val="24"/>
      <w:lang w:val="en-US" w:eastAsia="zh-CN" w:bidi="ar-SA"/>
    </w:rPr>
  </w:style>
  <w:style w:type="character" w:customStyle="1" w:styleId="276">
    <w:name w:val="样式 首行缩进:  0.8厘米 Char Char"/>
    <w:basedOn w:val="55"/>
    <w:link w:val="89"/>
    <w:qFormat/>
    <w:uiPriority w:val="0"/>
    <w:rPr>
      <w:rFonts w:eastAsia="宋体"/>
      <w:snapToGrid w:val="0"/>
      <w:sz w:val="24"/>
      <w:lang w:val="en-US" w:eastAsia="zh-CN" w:bidi="ar-SA"/>
    </w:rPr>
  </w:style>
  <w:style w:type="character" w:customStyle="1" w:styleId="277">
    <w:name w:val="标题 2 Char1 Char Char Char"/>
    <w:basedOn w:val="55"/>
    <w:qFormat/>
    <w:uiPriority w:val="0"/>
    <w:rPr>
      <w:rFonts w:ascii="Arial" w:hAnsi="Arial" w:eastAsia="黑体"/>
      <w:b/>
      <w:bCs/>
      <w:kern w:val="2"/>
      <w:sz w:val="32"/>
      <w:szCs w:val="32"/>
      <w:lang w:val="en-US" w:eastAsia="zh-CN" w:bidi="ar-SA"/>
    </w:rPr>
  </w:style>
  <w:style w:type="character" w:customStyle="1" w:styleId="278">
    <w:name w:val="p21"/>
    <w:basedOn w:val="55"/>
    <w:qFormat/>
    <w:uiPriority w:val="0"/>
    <w:rPr>
      <w:sz w:val="18"/>
      <w:szCs w:val="18"/>
    </w:rPr>
  </w:style>
  <w:style w:type="character" w:customStyle="1" w:styleId="279">
    <w:name w:val="正文 Char Char"/>
    <w:link w:val="217"/>
    <w:qFormat/>
    <w:uiPriority w:val="0"/>
    <w:rPr>
      <w:rFonts w:cs="宋体"/>
      <w:kern w:val="2"/>
      <w:sz w:val="28"/>
      <w:szCs w:val="28"/>
    </w:rPr>
  </w:style>
  <w:style w:type="character" w:customStyle="1" w:styleId="280">
    <w:name w:val="日期 Char"/>
    <w:link w:val="31"/>
    <w:qFormat/>
    <w:uiPriority w:val="0"/>
    <w:rPr>
      <w:sz w:val="24"/>
    </w:rPr>
  </w:style>
  <w:style w:type="character" w:customStyle="1" w:styleId="281">
    <w:name w:val="样式 四号2"/>
    <w:basedOn w:val="55"/>
    <w:qFormat/>
    <w:uiPriority w:val="0"/>
    <w:rPr>
      <w:sz w:val="24"/>
    </w:rPr>
  </w:style>
  <w:style w:type="character" w:customStyle="1" w:styleId="282">
    <w:name w:val="款标题1.1.1.1 Char"/>
    <w:basedOn w:val="55"/>
    <w:qFormat/>
    <w:uiPriority w:val="0"/>
    <w:rPr>
      <w:rFonts w:ascii="Arial" w:hAnsi="Arial" w:eastAsia="黑体"/>
      <w:b/>
      <w:bCs/>
      <w:kern w:val="2"/>
      <w:sz w:val="28"/>
      <w:szCs w:val="28"/>
      <w:lang w:val="en-US" w:eastAsia="zh-CN" w:bidi="ar-SA"/>
    </w:rPr>
  </w:style>
  <w:style w:type="character" w:customStyle="1" w:styleId="283">
    <w:name w:val="样式 宋体 四号 黑色1"/>
    <w:basedOn w:val="55"/>
    <w:qFormat/>
    <w:uiPriority w:val="0"/>
    <w:rPr>
      <w:rFonts w:ascii="宋体" w:hAnsi="宋体"/>
      <w:color w:val="000000"/>
      <w:sz w:val="24"/>
    </w:rPr>
  </w:style>
  <w:style w:type="character" w:customStyle="1" w:styleId="284">
    <w:name w:val="article1"/>
    <w:basedOn w:val="55"/>
    <w:qFormat/>
    <w:uiPriority w:val="0"/>
    <w:rPr>
      <w:b/>
      <w:bCs/>
      <w:smallCaps/>
      <w:color w:val="FF0000"/>
      <w:sz w:val="43"/>
      <w:szCs w:val="43"/>
    </w:rPr>
  </w:style>
  <w:style w:type="character" w:customStyle="1" w:styleId="285">
    <w:name w:val="正文3 Char Char"/>
    <w:link w:val="101"/>
    <w:qFormat/>
    <w:uiPriority w:val="0"/>
    <w:rPr>
      <w:rFonts w:cs="宋体"/>
      <w:kern w:val="2"/>
      <w:sz w:val="28"/>
      <w:szCs w:val="28"/>
    </w:rPr>
  </w:style>
  <w:style w:type="character" w:customStyle="1" w:styleId="286">
    <w:name w:val="正文文本 Char"/>
    <w:basedOn w:val="55"/>
    <w:link w:val="21"/>
    <w:qFormat/>
    <w:uiPriority w:val="0"/>
    <w:rPr>
      <w:rFonts w:eastAsia="宋体"/>
      <w:kern w:val="2"/>
      <w:sz w:val="21"/>
      <w:szCs w:val="24"/>
      <w:lang w:val="en-US" w:eastAsia="zh-CN" w:bidi="ar-SA"/>
    </w:rPr>
  </w:style>
  <w:style w:type="character" w:customStyle="1" w:styleId="287">
    <w:name w:val="标题 2 Char"/>
    <w:link w:val="4"/>
    <w:qFormat/>
    <w:uiPriority w:val="0"/>
    <w:rPr>
      <w:rFonts w:ascii="楷体" w:hAnsi="楷体" w:eastAsia="楷体"/>
      <w:b/>
      <w:bCs/>
      <w:sz w:val="32"/>
      <w:szCs w:val="32"/>
    </w:rPr>
  </w:style>
  <w:style w:type="character" w:customStyle="1" w:styleId="288">
    <w:name w:val="ttitle1"/>
    <w:qFormat/>
    <w:uiPriority w:val="0"/>
    <w:rPr>
      <w:spacing w:val="120"/>
      <w:sz w:val="21"/>
      <w:szCs w:val="21"/>
    </w:rPr>
  </w:style>
  <w:style w:type="character" w:customStyle="1" w:styleId="289">
    <w:name w:val="标题 1 Char"/>
    <w:basedOn w:val="55"/>
    <w:link w:val="3"/>
    <w:qFormat/>
    <w:uiPriority w:val="0"/>
    <w:rPr>
      <w:rFonts w:ascii="黑体" w:hAnsi="黑体" w:eastAsia="黑体"/>
      <w:b/>
      <w:bCs/>
      <w:kern w:val="44"/>
      <w:sz w:val="36"/>
      <w:szCs w:val="36"/>
    </w:rPr>
  </w:style>
  <w:style w:type="character" w:customStyle="1" w:styleId="290">
    <w:name w:val="样式 宋体 四号 黑色2"/>
    <w:basedOn w:val="55"/>
    <w:qFormat/>
    <w:uiPriority w:val="0"/>
    <w:rPr>
      <w:rFonts w:ascii="宋体" w:hAnsi="宋体"/>
      <w:color w:val="000000"/>
      <w:sz w:val="24"/>
    </w:rPr>
  </w:style>
  <w:style w:type="character" w:customStyle="1" w:styleId="291">
    <w:name w:val="样式 样式 样式 首行缩进:  0.8厘米 + 右侧:  2 字符 + 左侧:  2 字符 Char Char"/>
    <w:basedOn w:val="275"/>
    <w:link w:val="203"/>
    <w:qFormat/>
    <w:uiPriority w:val="0"/>
    <w:rPr>
      <w:rFonts w:eastAsia="宋体"/>
      <w:snapToGrid w:val="0"/>
      <w:sz w:val="24"/>
      <w:lang w:val="en-US" w:eastAsia="zh-CN" w:bidi="ar-SA"/>
    </w:rPr>
  </w:style>
  <w:style w:type="character" w:customStyle="1" w:styleId="292">
    <w:name w:val="font21"/>
    <w:qFormat/>
    <w:uiPriority w:val="0"/>
    <w:rPr>
      <w:rFonts w:hint="default" w:ascii="Times New Roman" w:hAnsi="Times New Roman" w:cs="Times New Roman"/>
      <w:color w:val="000000"/>
      <w:sz w:val="21"/>
      <w:szCs w:val="21"/>
      <w:u w:val="none"/>
    </w:rPr>
  </w:style>
  <w:style w:type="character" w:customStyle="1" w:styleId="293">
    <w:name w:val="样式 宋体 四号1"/>
    <w:basedOn w:val="55"/>
    <w:qFormat/>
    <w:uiPriority w:val="0"/>
    <w:rPr>
      <w:rFonts w:ascii="宋体" w:hAnsi="宋体"/>
      <w:spacing w:val="8"/>
      <w:kern w:val="24"/>
      <w:sz w:val="24"/>
    </w:rPr>
  </w:style>
  <w:style w:type="character" w:customStyle="1" w:styleId="294">
    <w:name w:val="3 Char"/>
    <w:basedOn w:val="55"/>
    <w:qFormat/>
    <w:uiPriority w:val="0"/>
    <w:rPr>
      <w:rFonts w:eastAsia="宋体"/>
      <w:b/>
      <w:bCs/>
      <w:kern w:val="2"/>
      <w:sz w:val="32"/>
      <w:szCs w:val="32"/>
      <w:lang w:val="en-US" w:eastAsia="zh-CN" w:bidi="ar-SA"/>
    </w:rPr>
  </w:style>
  <w:style w:type="character" w:customStyle="1" w:styleId="295">
    <w:name w:val="正文文本 3 Char"/>
    <w:link w:val="20"/>
    <w:qFormat/>
    <w:uiPriority w:val="0"/>
    <w:rPr>
      <w:kern w:val="2"/>
      <w:sz w:val="16"/>
      <w:szCs w:val="16"/>
    </w:rPr>
  </w:style>
  <w:style w:type="character" w:customStyle="1" w:styleId="296">
    <w:name w:val="样式 宋体 四号 黑色3"/>
    <w:basedOn w:val="55"/>
    <w:qFormat/>
    <w:uiPriority w:val="0"/>
    <w:rPr>
      <w:rFonts w:ascii="宋体" w:hAnsi="宋体"/>
      <w:color w:val="000000"/>
      <w:sz w:val="24"/>
    </w:rPr>
  </w:style>
  <w:style w:type="character" w:customStyle="1" w:styleId="297">
    <w:name w:val="标题1"/>
    <w:basedOn w:val="55"/>
    <w:qFormat/>
    <w:uiPriority w:val="0"/>
    <w:rPr>
      <w:rFonts w:eastAsia="隶书"/>
      <w:b/>
      <w:sz w:val="44"/>
    </w:rPr>
  </w:style>
  <w:style w:type="character" w:customStyle="1" w:styleId="298">
    <w:name w:val="apple-converted-space"/>
    <w:basedOn w:val="55"/>
    <w:qFormat/>
    <w:uiPriority w:val="0"/>
  </w:style>
  <w:style w:type="character" w:customStyle="1" w:styleId="299">
    <w:name w:val="f3"/>
    <w:basedOn w:val="55"/>
    <w:qFormat/>
    <w:uiPriority w:val="0"/>
  </w:style>
  <w:style w:type="character" w:customStyle="1" w:styleId="300">
    <w:name w:val="keyword-span-wrap"/>
    <w:basedOn w:val="55"/>
    <w:qFormat/>
    <w:uiPriority w:val="0"/>
    <w:rPr>
      <w:color w:val="19A97B"/>
    </w:rPr>
  </w:style>
  <w:style w:type="character" w:customStyle="1" w:styleId="301">
    <w:name w:val="正文+段落 Char Char"/>
    <w:basedOn w:val="55"/>
    <w:qFormat/>
    <w:uiPriority w:val="0"/>
    <w:rPr>
      <w:rFonts w:eastAsia="宋体"/>
      <w:snapToGrid w:val="0"/>
      <w:sz w:val="24"/>
      <w:lang w:val="en-US" w:eastAsia="zh-CN" w:bidi="ar-SA"/>
    </w:rPr>
  </w:style>
  <w:style w:type="character" w:customStyle="1" w:styleId="302">
    <w:name w:val="样式 宋体 四号"/>
    <w:basedOn w:val="55"/>
    <w:qFormat/>
    <w:uiPriority w:val="0"/>
    <w:rPr>
      <w:rFonts w:ascii="宋体" w:hAnsi="宋体"/>
      <w:sz w:val="24"/>
    </w:rPr>
  </w:style>
  <w:style w:type="character" w:customStyle="1" w:styleId="303">
    <w:name w:val="fn org"/>
    <w:basedOn w:val="55"/>
    <w:qFormat/>
    <w:uiPriority w:val="0"/>
  </w:style>
  <w:style w:type="character" w:customStyle="1" w:styleId="304">
    <w:name w:val="3级标题"/>
    <w:basedOn w:val="55"/>
    <w:qFormat/>
    <w:uiPriority w:val="0"/>
    <w:rPr>
      <w:b/>
      <w:sz w:val="28"/>
    </w:rPr>
  </w:style>
  <w:style w:type="character" w:customStyle="1" w:styleId="305">
    <w:name w:val="标题 1 Char Char"/>
    <w:basedOn w:val="55"/>
    <w:qFormat/>
    <w:uiPriority w:val="0"/>
    <w:rPr>
      <w:rFonts w:eastAsia="宋体"/>
      <w:b/>
      <w:snapToGrid w:val="0"/>
      <w:sz w:val="32"/>
      <w:lang w:val="en-US" w:eastAsia="zh-CN"/>
    </w:rPr>
  </w:style>
  <w:style w:type="character" w:customStyle="1" w:styleId="306">
    <w:name w:val="fontstrikethrough"/>
    <w:basedOn w:val="55"/>
    <w:qFormat/>
    <w:uiPriority w:val="0"/>
    <w:rPr>
      <w:strike/>
    </w:rPr>
  </w:style>
  <w:style w:type="character" w:customStyle="1" w:styleId="307">
    <w:name w:val="fontborder"/>
    <w:basedOn w:val="55"/>
    <w:qFormat/>
    <w:uiPriority w:val="0"/>
    <w:rPr>
      <w:bdr w:val="single" w:color="000000" w:sz="6" w:space="0"/>
    </w:rPr>
  </w:style>
  <w:style w:type="character" w:customStyle="1" w:styleId="308">
    <w:name w:val="正文6"/>
    <w:qFormat/>
    <w:uiPriority w:val="0"/>
    <w:rPr>
      <w:rFonts w:ascii="Times New Roman" w:hAnsi="Times New Roman" w:eastAsia="宋体"/>
      <w:spacing w:val="0"/>
      <w:w w:val="100"/>
      <w:position w:val="0"/>
      <w:sz w:val="28"/>
      <w:szCs w:val="28"/>
    </w:rPr>
  </w:style>
  <w:style w:type="character" w:customStyle="1" w:styleId="309">
    <w:name w:val="apple-style-span"/>
    <w:basedOn w:val="55"/>
    <w:qFormat/>
    <w:uiPriority w:val="0"/>
  </w:style>
  <w:style w:type="character" w:customStyle="1" w:styleId="310">
    <w:name w:val="font11"/>
    <w:qFormat/>
    <w:uiPriority w:val="0"/>
    <w:rPr>
      <w:rFonts w:hint="eastAsia" w:ascii="宋体" w:hAnsi="宋体" w:eastAsia="宋体"/>
      <w:color w:val="000000"/>
      <w:sz w:val="21"/>
      <w:szCs w:val="21"/>
      <w:u w:val="none"/>
    </w:rPr>
  </w:style>
  <w:style w:type="character" w:customStyle="1" w:styleId="311">
    <w:name w:val="样式 四号 黑色"/>
    <w:basedOn w:val="55"/>
    <w:qFormat/>
    <w:uiPriority w:val="0"/>
    <w:rPr>
      <w:color w:val="000000"/>
      <w:sz w:val="24"/>
    </w:rPr>
  </w:style>
  <w:style w:type="character" w:customStyle="1" w:styleId="312">
    <w:name w:val="标题 3 Char1 Char"/>
    <w:qFormat/>
    <w:uiPriority w:val="0"/>
    <w:rPr>
      <w:b/>
      <w:bCs/>
      <w:sz w:val="32"/>
      <w:szCs w:val="32"/>
    </w:rPr>
  </w:style>
  <w:style w:type="character" w:customStyle="1" w:styleId="313">
    <w:name w:val="样式 四号"/>
    <w:qFormat/>
    <w:uiPriority w:val="0"/>
    <w:rPr>
      <w:rFonts w:eastAsia="宋体"/>
      <w:sz w:val="28"/>
    </w:rPr>
  </w:style>
  <w:style w:type="character" w:customStyle="1" w:styleId="314">
    <w:name w:val="标题 Char"/>
    <w:link w:val="49"/>
    <w:qFormat/>
    <w:uiPriority w:val="0"/>
    <w:rPr>
      <w:rFonts w:eastAsia="宋体"/>
      <w:lang w:bidi="ar-SA"/>
    </w:rPr>
  </w:style>
  <w:style w:type="character" w:customStyle="1" w:styleId="315">
    <w:name w:val="样式 四号 黑色1"/>
    <w:basedOn w:val="55"/>
    <w:qFormat/>
    <w:uiPriority w:val="0"/>
    <w:rPr>
      <w:color w:val="000000"/>
      <w:kern w:val="0"/>
      <w:sz w:val="24"/>
    </w:rPr>
  </w:style>
  <w:style w:type="character" w:customStyle="1" w:styleId="316">
    <w:name w:val="sh141"/>
    <w:qFormat/>
    <w:uiPriority w:val="0"/>
    <w:rPr>
      <w:color w:val="2B2B2B"/>
      <w:sz w:val="21"/>
      <w:szCs w:val="21"/>
    </w:rPr>
  </w:style>
  <w:style w:type="character" w:customStyle="1" w:styleId="317">
    <w:name w:val="标题 3 Char Char"/>
    <w:basedOn w:val="55"/>
    <w:qFormat/>
    <w:uiPriority w:val="0"/>
    <w:rPr>
      <w:rFonts w:eastAsia="宋体"/>
      <w:b/>
      <w:bCs/>
      <w:kern w:val="2"/>
      <w:sz w:val="28"/>
      <w:szCs w:val="32"/>
      <w:lang w:val="en-US" w:eastAsia="zh-CN" w:bidi="ar-SA"/>
    </w:rPr>
  </w:style>
  <w:style w:type="character" w:customStyle="1" w:styleId="318">
    <w:name w:val="正文文本 + Angsana New1"/>
    <w:basedOn w:val="272"/>
    <w:unhideWhenUsed/>
    <w:qFormat/>
    <w:uiPriority w:val="99"/>
    <w:rPr>
      <w:rFonts w:hint="eastAsia" w:ascii="Angsana New" w:hAnsi="Angsana New" w:eastAsia="Angsana New"/>
      <w:b/>
      <w:w w:val="75"/>
      <w:sz w:val="47"/>
    </w:rPr>
  </w:style>
  <w:style w:type="character" w:customStyle="1" w:styleId="319">
    <w:name w:val="标题 4 Char"/>
    <w:link w:val="6"/>
    <w:qFormat/>
    <w:uiPriority w:val="0"/>
    <w:rPr>
      <w:rFonts w:ascii="黑体" w:hAnsi="黑体" w:eastAsia="黑体"/>
      <w:b/>
      <w:bCs/>
      <w:kern w:val="2"/>
      <w:sz w:val="28"/>
      <w:szCs w:val="28"/>
    </w:rPr>
  </w:style>
  <w:style w:type="paragraph" w:styleId="320">
    <w:name w:val="List Paragraph"/>
    <w:basedOn w:val="1"/>
    <w:unhideWhenUsed/>
    <w:qFormat/>
    <w:uiPriority w:val="99"/>
    <w:pPr>
      <w:ind w:firstLine="420" w:firstLineChars="200"/>
    </w:pPr>
  </w:style>
  <w:style w:type="character" w:customStyle="1" w:styleId="321">
    <w:name w:val="文档结构图 Char"/>
    <w:basedOn w:val="55"/>
    <w:link w:val="16"/>
    <w:qFormat/>
    <w:uiPriority w:val="0"/>
    <w:rPr>
      <w:rFonts w:ascii="宋体"/>
      <w:sz w:val="18"/>
      <w:szCs w:val="18"/>
    </w:rPr>
  </w:style>
  <w:style w:type="character" w:customStyle="1" w:styleId="322">
    <w:name w:val="Page Number1"/>
    <w:unhideWhenUsed/>
    <w:qFormat/>
    <w:uiPriority w:val="0"/>
    <w:rPr>
      <w:rFonts w:hint="default" w:ascii="Times New Roman" w:hAnsi="Times New Roman" w:eastAsia="宋体"/>
      <w:sz w:val="24"/>
    </w:rPr>
  </w:style>
  <w:style w:type="paragraph" w:customStyle="1" w:styleId="323">
    <w:name w:val="WPS Plain"/>
    <w:qFormat/>
    <w:uiPriority w:val="0"/>
    <w:rPr>
      <w:rFonts w:ascii="Times New Roman" w:hAnsi="Times New Roman" w:eastAsia="宋体" w:cs="Times New Roman"/>
      <w:lang w:val="en-US" w:eastAsia="zh-CN" w:bidi="ar-SA"/>
    </w:rPr>
  </w:style>
  <w:style w:type="paragraph" w:customStyle="1" w:styleId="324">
    <w:name w:val="样式 首行缩进:  2 字符"/>
    <w:basedOn w:val="1"/>
    <w:qFormat/>
    <w:uiPriority w:val="0"/>
    <w:pPr>
      <w:spacing w:line="360" w:lineRule="auto"/>
      <w:ind w:firstLine="560" w:firstLineChars="200"/>
    </w:pPr>
    <w:rPr>
      <w:rFonts w:ascii="Times New Roman" w:cs="宋体"/>
      <w:sz w:val="28"/>
    </w:rPr>
  </w:style>
  <w:style w:type="character" w:customStyle="1" w:styleId="325">
    <w:name w:val="正文+段落 Char"/>
    <w:basedOn w:val="55"/>
    <w:link w:val="266"/>
    <w:qFormat/>
    <w:uiPriority w:val="0"/>
    <w:rPr>
      <w:rFonts w:eastAsia="宋体"/>
      <w:snapToGrid w:val="0"/>
      <w:sz w:val="24"/>
      <w:lang w:val="en-US" w:eastAsia="zh-CN" w:bidi="ar-SA"/>
    </w:rPr>
  </w:style>
  <w:style w:type="paragraph" w:customStyle="1" w:styleId="326">
    <w:name w:val="样式 标题4A"/>
    <w:basedOn w:val="6"/>
    <w:qFormat/>
    <w:uiPriority w:val="0"/>
    <w:pPr>
      <w:spacing w:beforeLines="50" w:afterLines="50"/>
    </w:pPr>
    <w:rPr>
      <w:rFonts w:eastAsia="宋体" w:cs="宋体"/>
      <w:color w:val="000000"/>
    </w:rPr>
  </w:style>
  <w:style w:type="paragraph" w:customStyle="1" w:styleId="327">
    <w:name w:val="中文报告书"/>
    <w:basedOn w:val="1"/>
    <w:qFormat/>
    <w:uiPriority w:val="0"/>
    <w:pPr>
      <w:adjustRightInd w:val="0"/>
      <w:spacing w:after="80" w:line="420" w:lineRule="atLeast"/>
      <w:jc w:val="left"/>
      <w:textAlignment w:val="baseline"/>
    </w:pPr>
    <w:rPr>
      <w:rFonts w:ascii="Times New Roman"/>
      <w:kern w:val="2"/>
    </w:rPr>
  </w:style>
  <w:style w:type="paragraph" w:customStyle="1" w:styleId="328">
    <w:name w:val="样式 宋体 加粗 首行缩进:  0.99 厘米 行距: 1.5 倍行距"/>
    <w:basedOn w:val="1"/>
    <w:qFormat/>
    <w:uiPriority w:val="0"/>
    <w:pPr>
      <w:adjustRightInd w:val="0"/>
      <w:snapToGrid w:val="0"/>
      <w:spacing w:line="360" w:lineRule="auto"/>
      <w:ind w:firstLine="480" w:firstLineChars="200"/>
    </w:pPr>
    <w:rPr>
      <w:rFonts w:hAnsi="宋体" w:cs="宋体"/>
      <w:b/>
      <w:bCs/>
      <w:kern w:val="2"/>
      <w:szCs w:val="24"/>
    </w:rPr>
  </w:style>
  <w:style w:type="paragraph" w:customStyle="1" w:styleId="329">
    <w:name w:val="--"/>
    <w:basedOn w:val="1"/>
    <w:qFormat/>
    <w:uiPriority w:val="0"/>
    <w:pPr>
      <w:widowControl/>
      <w:snapToGrid w:val="0"/>
      <w:spacing w:before="100" w:beforeAutospacing="1" w:after="100" w:afterAutospacing="1"/>
      <w:jc w:val="left"/>
    </w:pPr>
    <w:rPr>
      <w:rFonts w:hAnsi="宋体"/>
      <w:color w:val="000000"/>
      <w:sz w:val="28"/>
      <w:szCs w:val="28"/>
    </w:rPr>
  </w:style>
  <w:style w:type="paragraph" w:customStyle="1" w:styleId="330">
    <w:name w:val="列出段落2"/>
    <w:basedOn w:val="1"/>
    <w:qFormat/>
    <w:uiPriority w:val="99"/>
    <w:pPr>
      <w:ind w:firstLine="420" w:firstLineChars="200"/>
    </w:pPr>
    <w:rPr>
      <w:rFonts w:ascii="Calibri" w:hAnsi="Calibri" w:cs="Calibri"/>
      <w:kern w:val="2"/>
      <w:sz w:val="21"/>
      <w:szCs w:val="21"/>
    </w:rPr>
  </w:style>
  <w:style w:type="paragraph" w:customStyle="1" w:styleId="331">
    <w:name w:val="默认段落字体 Para Char Char Char Char Char Char Char"/>
    <w:basedOn w:val="1"/>
    <w:qFormat/>
    <w:uiPriority w:val="0"/>
    <w:pPr>
      <w:adjustRightInd w:val="0"/>
      <w:textAlignment w:val="baseline"/>
    </w:pPr>
    <w:rPr>
      <w:rFonts w:ascii="Verdana" w:hAnsi="Verdana"/>
      <w:b/>
      <w:bCs/>
      <w:kern w:val="2"/>
      <w:lang w:eastAsia="en-US"/>
    </w:rPr>
  </w:style>
  <w:style w:type="character" w:customStyle="1" w:styleId="332">
    <w:name w:val="页脚 Char"/>
    <w:basedOn w:val="55"/>
    <w:link w:val="34"/>
    <w:qFormat/>
    <w:uiPriority w:val="0"/>
    <w:rPr>
      <w:rFonts w:ascii="宋体"/>
      <w:sz w:val="18"/>
      <w:szCs w:val="18"/>
    </w:rPr>
  </w:style>
  <w:style w:type="paragraph" w:customStyle="1" w:styleId="333">
    <w:name w:val="简单回函地址"/>
    <w:basedOn w:val="1"/>
    <w:qFormat/>
    <w:uiPriority w:val="0"/>
  </w:style>
  <w:style w:type="character" w:customStyle="1" w:styleId="334">
    <w:name w:val="time01"/>
    <w:basedOn w:val="55"/>
    <w:qFormat/>
    <w:uiPriority w:val="0"/>
    <w:rPr>
      <w:color w:val="999999"/>
    </w:rPr>
  </w:style>
  <w:style w:type="character" w:customStyle="1" w:styleId="335">
    <w:name w:val="order"/>
    <w:basedOn w:val="55"/>
    <w:qFormat/>
    <w:uiPriority w:val="0"/>
  </w:style>
  <w:style w:type="character" w:customStyle="1" w:styleId="336">
    <w:name w:val="order1"/>
    <w:basedOn w:val="55"/>
    <w:qFormat/>
    <w:uiPriority w:val="0"/>
  </w:style>
  <w:style w:type="character" w:customStyle="1" w:styleId="337">
    <w:name w:val="xmt"/>
    <w:basedOn w:val="55"/>
    <w:qFormat/>
    <w:uiPriority w:val="0"/>
  </w:style>
  <w:style w:type="character" w:customStyle="1" w:styleId="338">
    <w:name w:val="cur"/>
    <w:basedOn w:val="55"/>
    <w:qFormat/>
    <w:uiPriority w:val="0"/>
    <w:rPr>
      <w:color w:val="06355B"/>
    </w:rPr>
  </w:style>
  <w:style w:type="character" w:customStyle="1" w:styleId="339">
    <w:name w:val="cur1"/>
    <w:basedOn w:val="55"/>
    <w:qFormat/>
    <w:uiPriority w:val="0"/>
    <w:rPr>
      <w:color w:val="06355B"/>
    </w:rPr>
  </w:style>
  <w:style w:type="character" w:customStyle="1" w:styleId="340">
    <w:name w:val="cur2"/>
    <w:basedOn w:val="55"/>
    <w:qFormat/>
    <w:uiPriority w:val="0"/>
    <w:rPr>
      <w:color w:val="00558E"/>
    </w:rPr>
  </w:style>
  <w:style w:type="character" w:customStyle="1" w:styleId="341">
    <w:name w:val="cur3"/>
    <w:basedOn w:val="55"/>
    <w:qFormat/>
    <w:uiPriority w:val="0"/>
    <w:rPr>
      <w:color w:val="FFFFFF"/>
      <w:shd w:val="clear" w:color="auto" w:fill="4B97D0"/>
    </w:rPr>
  </w:style>
  <w:style w:type="character" w:customStyle="1" w:styleId="342">
    <w:name w:val="cur4"/>
    <w:basedOn w:val="55"/>
    <w:qFormat/>
    <w:uiPriority w:val="0"/>
    <w:rPr>
      <w:color w:val="555555"/>
    </w:rPr>
  </w:style>
  <w:style w:type="character" w:customStyle="1" w:styleId="343">
    <w:name w:val="cur5"/>
    <w:basedOn w:val="55"/>
    <w:qFormat/>
    <w:uiPriority w:val="0"/>
    <w:rPr>
      <w:color w:val="555555"/>
    </w:rPr>
  </w:style>
  <w:style w:type="character" w:customStyle="1" w:styleId="344">
    <w:name w:val="cur6"/>
    <w:basedOn w:val="55"/>
    <w:qFormat/>
    <w:uiPriority w:val="0"/>
    <w:rPr>
      <w:color w:val="146EAA"/>
    </w:rPr>
  </w:style>
  <w:style w:type="character" w:customStyle="1" w:styleId="345">
    <w:name w:val="tsjb"/>
    <w:basedOn w:val="55"/>
    <w:qFormat/>
    <w:uiPriority w:val="0"/>
  </w:style>
  <w:style w:type="character" w:customStyle="1" w:styleId="346">
    <w:name w:val="wsxf"/>
    <w:basedOn w:val="55"/>
    <w:qFormat/>
    <w:uiPriority w:val="0"/>
  </w:style>
  <w:style w:type="character" w:customStyle="1" w:styleId="347">
    <w:name w:val="hover25"/>
    <w:basedOn w:val="55"/>
    <w:qFormat/>
    <w:uiPriority w:val="0"/>
    <w:rPr>
      <w:color w:val="FFFFFF"/>
      <w:shd w:val="clear" w:color="auto" w:fill="4B97D0"/>
    </w:rPr>
  </w:style>
  <w:style w:type="character" w:customStyle="1" w:styleId="348">
    <w:name w:val="last-child"/>
    <w:basedOn w:val="55"/>
    <w:qFormat/>
    <w:uiPriority w:val="0"/>
  </w:style>
  <w:style w:type="character" w:customStyle="1" w:styleId="349">
    <w:name w:val="active1"/>
    <w:basedOn w:val="55"/>
    <w:qFormat/>
    <w:uiPriority w:val="0"/>
    <w:rPr>
      <w:color w:val="146EAA"/>
    </w:rPr>
  </w:style>
  <w:style w:type="paragraph" w:customStyle="1" w:styleId="350">
    <w:name w:val="Default1"/>
    <w:basedOn w:val="1"/>
    <w:next w:val="73"/>
    <w:semiHidden/>
    <w:qFormat/>
    <w:uiPriority w:val="0"/>
    <w:pPr>
      <w:autoSpaceDE w:val="0"/>
      <w:autoSpaceDN w:val="0"/>
      <w:adjustRightInd w:val="0"/>
      <w:jc w:val="left"/>
    </w:pPr>
    <w:rPr>
      <w:rFonts w:ascii="Calibri" w:hAnsi="Calibri" w:cs="宋体"/>
      <w:color w:val="000000"/>
      <w:szCs w:val="24"/>
    </w:rPr>
  </w:style>
  <w:style w:type="paragraph" w:customStyle="1" w:styleId="351">
    <w:name w:val="Body text|1"/>
    <w:basedOn w:val="1"/>
    <w:qFormat/>
    <w:uiPriority w:val="0"/>
    <w:pPr>
      <w:spacing w:after="120" w:line="444" w:lineRule="auto"/>
      <w:ind w:firstLine="400"/>
    </w:pPr>
    <w:rPr>
      <w:rFonts w:hAnsi="宋体" w:cs="宋体"/>
      <w:sz w:val="26"/>
      <w:szCs w:val="26"/>
      <w:lang w:val="zh-TW" w:eastAsia="zh-TW" w:bidi="zh-TW"/>
    </w:rPr>
  </w:style>
  <w:style w:type="paragraph" w:customStyle="1" w:styleId="352">
    <w:name w:val="Other|1"/>
    <w:basedOn w:val="1"/>
    <w:qFormat/>
    <w:uiPriority w:val="0"/>
    <w:pPr>
      <w:jc w:val="center"/>
    </w:pPr>
    <w:rPr>
      <w:rFonts w:hAnsi="宋体" w:cs="宋体"/>
      <w:sz w:val="22"/>
      <w:szCs w:val="22"/>
      <w:lang w:val="zh-TW" w:eastAsia="zh-TW" w:bidi="zh-TW"/>
    </w:rPr>
  </w:style>
  <w:style w:type="paragraph" w:customStyle="1" w:styleId="353">
    <w:name w:val="缩进2字符"/>
    <w:basedOn w:val="1"/>
    <w:autoRedefine/>
    <w:qFormat/>
    <w:uiPriority w:val="0"/>
    <w:pPr>
      <w:snapToGrid w:val="0"/>
      <w:spacing w:line="360" w:lineRule="auto"/>
      <w:ind w:firstLine="640" w:firstLineChars="200"/>
      <w:jc w:val="left"/>
    </w:pPr>
    <w:rPr>
      <w:rFonts w:ascii="宋体" w:hAnsi="宋体"/>
      <w:kern w:val="0"/>
      <w:sz w:val="30"/>
      <w:szCs w:val="20"/>
    </w:rPr>
  </w:style>
  <w:style w:type="paragraph" w:customStyle="1" w:styleId="354">
    <w:name w:val="Table Text"/>
    <w:basedOn w:val="1"/>
    <w:autoRedefine/>
    <w:semiHidden/>
    <w:qFormat/>
    <w:uiPriority w:val="0"/>
    <w:rPr>
      <w:rFonts w:ascii="宋体" w:hAnsi="宋体" w:cs="宋体"/>
      <w:sz w:val="28"/>
      <w:szCs w:val="28"/>
      <w:lang w:eastAsia="en-US"/>
    </w:rPr>
  </w:style>
  <w:style w:type="paragraph" w:customStyle="1" w:styleId="355">
    <w:name w:val="安专-表头图号"/>
    <w:basedOn w:val="1"/>
    <w:next w:val="1"/>
    <w:autoRedefine/>
    <w:qFormat/>
    <w:uiPriority w:val="0"/>
    <w:pPr>
      <w:spacing w:line="500" w:lineRule="exact"/>
      <w:jc w:val="center"/>
    </w:pPr>
    <w:rPr>
      <w:sz w:val="28"/>
    </w:rPr>
  </w:style>
  <w:style w:type="paragraph" w:customStyle="1" w:styleId="356">
    <w:name w:val="li_正文"/>
    <w:basedOn w:val="1"/>
    <w:autoRedefine/>
    <w:qFormat/>
    <w:uiPriority w:val="0"/>
    <w:pPr>
      <w:topLinePunct/>
      <w:adjustRightInd w:val="0"/>
      <w:snapToGrid w:val="0"/>
      <w:spacing w:line="360" w:lineRule="auto"/>
      <w:ind w:firstLine="700" w:firstLineChars="250"/>
    </w:pPr>
    <w:rPr>
      <w:rFonts w:ascii="宋体" w:hAnsi="宋体"/>
      <w:sz w:val="28"/>
      <w:szCs w:val="28"/>
    </w:rPr>
  </w:style>
  <w:style w:type="character" w:customStyle="1" w:styleId="357">
    <w:name w:val="标题 2 字符"/>
    <w:link w:val="4"/>
    <w:autoRedefine/>
    <w:qFormat/>
    <w:uiPriority w:val="0"/>
    <w:rPr>
      <w:rFonts w:ascii="Times New Roman" w:hAnsi="Times New Roman" w:eastAsia="黑体"/>
      <w:b/>
      <w:bCs/>
      <w:sz w:val="36"/>
      <w:szCs w:val="36"/>
    </w:rPr>
  </w:style>
  <w:style w:type="paragraph" w:customStyle="1" w:styleId="358">
    <w:name w:val="表头"/>
    <w:basedOn w:val="1"/>
    <w:next w:val="1"/>
    <w:autoRedefine/>
    <w:qFormat/>
    <w:uiPriority w:val="0"/>
    <w:pPr>
      <w:adjustRightInd w:val="0"/>
      <w:spacing w:line="24" w:lineRule="atLeast"/>
      <w:jc w:val="center"/>
      <w:textAlignment w:val="baseline"/>
    </w:pPr>
    <w:rPr>
      <w:b/>
      <w:color w:val="000000"/>
      <w:kern w:val="0"/>
      <w:sz w:val="24"/>
      <w:szCs w:val="20"/>
    </w:rPr>
  </w:style>
  <w:style w:type="paragraph" w:customStyle="1" w:styleId="359">
    <w:name w:val="Table Paragraph"/>
    <w:basedOn w:val="1"/>
    <w:qFormat/>
    <w:uiPriority w:val="1"/>
    <w:pPr>
      <w:jc w:val="left"/>
    </w:pPr>
    <w:rPr>
      <w:rFonts w:ascii="Calibri" w:hAnsi="Calibri" w:eastAsia="宋体" w:cs="Times New Roman"/>
      <w:kern w:val="0"/>
      <w:sz w:val="22"/>
      <w:szCs w:val="22"/>
      <w:lang w:eastAsia="en-US"/>
    </w:rPr>
  </w:style>
  <w:style w:type="table" w:customStyle="1" w:styleId="360">
    <w:name w:val="Table Normal"/>
    <w:autoRedefine/>
    <w:semiHidden/>
    <w:unhideWhenUsed/>
    <w:qFormat/>
    <w:uiPriority w:val="0"/>
    <w:tblPr>
      <w:tblCellMar>
        <w:top w:w="0" w:type="dxa"/>
        <w:left w:w="0" w:type="dxa"/>
        <w:bottom w:w="0" w:type="dxa"/>
        <w:right w:w="0" w:type="dxa"/>
      </w:tblCellMar>
    </w:tblPr>
  </w:style>
  <w:style w:type="paragraph" w:customStyle="1" w:styleId="361">
    <w:name w:val="填表5"/>
    <w:basedOn w:val="1"/>
    <w:next w:val="1"/>
    <w:qFormat/>
    <w:uiPriority w:val="0"/>
    <w:pPr>
      <w:spacing w:line="300" w:lineRule="exact"/>
      <w:jc w:val="left"/>
    </w:pPr>
    <w:rPr>
      <w:rFonts w:ascii="宋体"/>
      <w:sz w:val="24"/>
      <w:szCs w:val="21"/>
    </w:rPr>
  </w:style>
  <w:style w:type="paragraph" w:customStyle="1" w:styleId="362">
    <w:name w:val="填表5行距12磅"/>
    <w:basedOn w:val="361"/>
    <w:qFormat/>
    <w:uiPriority w:val="0"/>
    <w:pPr>
      <w:spacing w:line="240" w:lineRule="exact"/>
    </w:pPr>
    <w:rPr>
      <w:rFonts w:cs="宋体"/>
      <w:sz w:val="21"/>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image" Target="media/image18.wmf"/><Relationship Id="rId28" Type="http://schemas.openxmlformats.org/officeDocument/2006/relationships/oleObject" Target="embeddings/oleObject1.bin"/><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2050" textRotate="1"/>
  </customShpExts>
  <extobjs>
    <extobj name="ECB019B1-382A-4266-B25C-5B523AA43C14-1">
      <extobjdata type="ECB019B1-382A-4266-B25C-5B523AA43C14" data="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"/>
    </extobj>
  </extobj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1DAD86-C981-410B-8971-CD342173D486}">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97</Pages>
  <Words>53720</Words>
  <Characters>58428</Characters>
  <Lines>375</Lines>
  <Paragraphs>105</Paragraphs>
  <TotalTime>17</TotalTime>
  <ScaleCrop>false</ScaleCrop>
  <LinksUpToDate>false</LinksUpToDate>
  <CharactersWithSpaces>63379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2012-07-16T07:24:00Z</dcterms:created>
  <dc:creator>微软用户</dc:creator>
  <cp:lastModifiedBy>荒</cp:lastModifiedBy>
  <cp:lastPrinted>2022-03-05T01:12:00Z</cp:lastPrinted>
  <dcterms:modified xsi:type="dcterms:W3CDTF">2024-11-01T08:01:16Z</dcterms:modified>
  <dc:title>编号：BSMS(QT)AP-2014-002（全中涂色部分为还需修改部分）</dc:title>
  <cp:revision>308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052DE90656164DE7918593244D8C7E75</vt:lpwstr>
  </property>
</Properties>
</file>