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FD6CBE5">
      <w:pPr>
        <w:keepNext w:val="0"/>
        <w:keepLines w:val="0"/>
        <w:pageBreakBefore w:val="0"/>
        <w:widowControl w:val="0"/>
        <w:kinsoku/>
        <w:wordWrap/>
        <w:overflowPunct/>
        <w:topLinePunct w:val="0"/>
        <w:autoSpaceDE/>
        <w:autoSpaceDN/>
        <w:bidi w:val="0"/>
        <w:adjustRightInd/>
        <w:snapToGrid w:val="0"/>
        <w:spacing w:before="100" w:beforeLines="100" w:beforeAutospacing="1" w:after="100" w:afterLines="100" w:afterAutospacing="1" w:line="520" w:lineRule="exact"/>
        <w:ind w:firstLine="0" w:firstLineChars="0"/>
        <w:jc w:val="center"/>
        <w:textAlignment w:val="auto"/>
        <w:outlineLvl w:val="9"/>
        <w:rPr>
          <w:rFonts w:hint="eastAsia" w:ascii="宋体" w:hAnsi="宋体" w:eastAsia="宋体" w:cs="宋体"/>
          <w:b/>
          <w:bCs/>
          <w:color w:val="000000" w:themeColor="text1"/>
          <w:sz w:val="36"/>
          <w:szCs w:val="36"/>
          <w14:textFill>
            <w14:solidFill>
              <w14:schemeClr w14:val="tx1"/>
            </w14:solidFill>
          </w14:textFill>
        </w:rPr>
      </w:pPr>
      <w:bookmarkStart w:id="0" w:name="_Toc331164318"/>
      <w:bookmarkStart w:id="1" w:name="_Toc17958"/>
      <w:bookmarkStart w:id="2" w:name="_Toc335926122"/>
      <w:bookmarkStart w:id="3" w:name="_Toc326085689"/>
      <w:bookmarkStart w:id="4" w:name="_Toc12572"/>
      <w:bookmarkStart w:id="5" w:name="_Toc2124"/>
      <w:bookmarkStart w:id="6" w:name="_Toc335916610"/>
      <w:bookmarkStart w:id="7" w:name="_Toc333247853"/>
      <w:bookmarkStart w:id="8" w:name="_Toc335576502"/>
      <w:bookmarkStart w:id="9" w:name="_Toc15721"/>
      <w:bookmarkStart w:id="10" w:name="_Toc313453417"/>
      <w:r>
        <w:rPr>
          <w:rFonts w:hint="eastAsia" w:ascii="宋体" w:hAnsi="宋体" w:eastAsia="宋体" w:cs="宋体"/>
          <w:b/>
          <w:bCs/>
          <w:color w:val="000000" w:themeColor="text1"/>
          <w:sz w:val="36"/>
          <w:szCs w:val="36"/>
          <w14:textFill>
            <w14:solidFill>
              <w14:schemeClr w14:val="tx1"/>
            </w14:solidFill>
          </w14:textFill>
        </w:rPr>
        <w:t>前</w:t>
      </w:r>
      <w:r>
        <w:rPr>
          <w:rFonts w:hint="eastAsia" w:ascii="宋体" w:hAnsi="宋体" w:eastAsia="宋体" w:cs="宋体"/>
          <w:b/>
          <w:bCs/>
          <w:color w:val="000000" w:themeColor="text1"/>
          <w:sz w:val="36"/>
          <w:szCs w:val="36"/>
          <w:lang w:val="en-US" w:eastAsia="zh-CN"/>
          <w14:textFill>
            <w14:solidFill>
              <w14:schemeClr w14:val="tx1"/>
            </w14:solidFill>
          </w14:textFill>
        </w:rPr>
        <w:t xml:space="preserve">  </w:t>
      </w:r>
      <w:r>
        <w:rPr>
          <w:rFonts w:hint="eastAsia" w:ascii="宋体" w:hAnsi="宋体" w:eastAsia="宋体" w:cs="宋体"/>
          <w:b/>
          <w:bCs/>
          <w:color w:val="000000" w:themeColor="text1"/>
          <w:sz w:val="36"/>
          <w:szCs w:val="36"/>
          <w14:textFill>
            <w14:solidFill>
              <w14:schemeClr w14:val="tx1"/>
            </w14:solidFill>
          </w14:textFill>
        </w:rPr>
        <w:t>言</w:t>
      </w:r>
      <w:bookmarkEnd w:id="0"/>
      <w:bookmarkEnd w:id="1"/>
      <w:bookmarkEnd w:id="2"/>
      <w:bookmarkEnd w:id="3"/>
      <w:bookmarkEnd w:id="4"/>
      <w:bookmarkEnd w:id="5"/>
      <w:bookmarkEnd w:id="6"/>
      <w:bookmarkEnd w:id="7"/>
      <w:bookmarkEnd w:id="8"/>
      <w:bookmarkEnd w:id="9"/>
      <w:bookmarkEnd w:id="10"/>
    </w:p>
    <w:p w14:paraId="47AB9CD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随着我国法制化的日趋健全和完善，安全生产监督管理体系也逐步向科学化、规范化、制度化发展，安全评价作为现代先进安全生产管理模式的主要内容之一越来越受到重视。“安全第一、预防为主、综合治理”是我们党和国家始终不渝的安全生产方针，开展安全评价正是突出“安全第一”、体现“预防为主”的一项重要工作，是“安全第一、预防为主、综合治理”安全生产方针在企业安全生产中的具体体现。安全评价不仅能有效地提高企业和生产设备的本质安全程度，而且可以为各级应急管理部门的决策和监督检查提供有力的技术支撑。</w:t>
      </w:r>
    </w:p>
    <w:p w14:paraId="51D6933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玉溪市明哲数控科技有限公司</w:t>
      </w:r>
      <w:r>
        <w:rPr>
          <w:rFonts w:hint="eastAsia" w:ascii="宋体" w:hAnsi="宋体" w:eastAsia="宋体" w:cs="宋体"/>
          <w:color w:val="000000" w:themeColor="text1"/>
          <w:sz w:val="28"/>
          <w:szCs w:val="28"/>
          <w:lang w:val="en-US" w:eastAsia="zh-CN"/>
          <w14:textFill>
            <w14:solidFill>
              <w14:schemeClr w14:val="tx1"/>
            </w14:solidFill>
          </w14:textFill>
        </w:rPr>
        <w:t>成立于20</w:t>
      </w:r>
      <w:r>
        <w:rPr>
          <w:rFonts w:hint="eastAsia" w:ascii="宋体" w:hAnsi="宋体" w:eastAsia="宋体" w:cs="宋体"/>
          <w:color w:val="000000" w:themeColor="text1"/>
          <w:sz w:val="28"/>
          <w:szCs w:val="28"/>
          <w:lang w:val="en-US" w:eastAsia="zh-CN"/>
          <w14:textFill>
            <w14:solidFill>
              <w14:schemeClr w14:val="tx1"/>
            </w14:solidFill>
          </w14:textFill>
        </w:rPr>
        <w:t>14</w:t>
      </w:r>
      <w:r>
        <w:rPr>
          <w:rFonts w:hint="eastAsia" w:ascii="宋体" w:hAnsi="宋体" w:eastAsia="宋体" w:cs="宋体"/>
          <w:color w:val="000000" w:themeColor="text1"/>
          <w:sz w:val="28"/>
          <w:szCs w:val="28"/>
          <w:lang w:val="en-US" w:eastAsia="zh-CN"/>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07</w:t>
      </w:r>
      <w:r>
        <w:rPr>
          <w:rFonts w:hint="eastAsia" w:ascii="宋体" w:hAnsi="宋体" w:eastAsia="宋体" w:cs="宋体"/>
          <w:color w:val="000000" w:themeColor="text1"/>
          <w:sz w:val="28"/>
          <w:szCs w:val="28"/>
          <w:lang w:val="en-US" w:eastAsia="zh-CN"/>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31</w:t>
      </w:r>
      <w:r>
        <w:rPr>
          <w:rFonts w:hint="eastAsia" w:ascii="宋体" w:hAnsi="宋体" w:eastAsia="宋体" w:cs="宋体"/>
          <w:color w:val="000000" w:themeColor="text1"/>
          <w:sz w:val="28"/>
          <w:szCs w:val="28"/>
          <w:lang w:val="en-US" w:eastAsia="zh-CN"/>
          <w14:textFill>
            <w14:solidFill>
              <w14:schemeClr w14:val="tx1"/>
            </w14:solidFill>
          </w14:textFill>
        </w:rPr>
        <w:t>日，主要从事数控机床、机床电器、工业数控系统、机电设备、机械设备及零部件的技术研发、销售及技术转让；机床组装、销售。该企业目前在册人员共</w:t>
      </w:r>
      <w:r>
        <w:rPr>
          <w:rFonts w:hint="eastAsia" w:ascii="宋体" w:hAnsi="宋体" w:eastAsia="宋体" w:cs="宋体"/>
          <w:color w:val="000000" w:themeColor="text1"/>
          <w:sz w:val="28"/>
          <w:szCs w:val="28"/>
          <w:lang w:val="en-US" w:eastAsia="zh-CN"/>
          <w14:textFill>
            <w14:solidFill>
              <w14:schemeClr w14:val="tx1"/>
            </w14:solidFill>
          </w14:textFill>
        </w:rPr>
        <w:t>17</w:t>
      </w:r>
      <w:r>
        <w:rPr>
          <w:rFonts w:hint="eastAsia" w:ascii="宋体" w:hAnsi="宋体" w:eastAsia="宋体" w:cs="宋体"/>
          <w:color w:val="000000" w:themeColor="text1"/>
          <w:sz w:val="28"/>
          <w:szCs w:val="28"/>
          <w:lang w:val="en-US" w:eastAsia="zh-CN"/>
          <w14:textFill>
            <w14:solidFill>
              <w14:schemeClr w14:val="tx1"/>
            </w14:solidFill>
          </w14:textFill>
        </w:rPr>
        <w:t>人，项目</w:t>
      </w:r>
      <w:r>
        <w:rPr>
          <w:rFonts w:hint="eastAsia" w:ascii="宋体" w:hAnsi="宋体" w:eastAsia="宋体" w:cs="宋体"/>
          <w:color w:val="000000" w:themeColor="text1"/>
          <w:sz w:val="28"/>
          <w:szCs w:val="28"/>
          <w14:textFill>
            <w14:solidFill>
              <w14:schemeClr w14:val="tx1"/>
            </w14:solidFill>
          </w14:textFill>
        </w:rPr>
        <w:t>位于</w:t>
      </w:r>
      <w:r>
        <w:rPr>
          <w:rFonts w:hint="eastAsia" w:ascii="宋体" w:hAnsi="宋体" w:eastAsia="宋体" w:cs="宋体"/>
          <w:color w:val="000000" w:themeColor="text1"/>
          <w:sz w:val="28"/>
          <w:szCs w:val="28"/>
          <w:lang w:val="en-US" w:eastAsia="zh-CN"/>
          <w14:textFill>
            <w14:solidFill>
              <w14:schemeClr w14:val="tx1"/>
            </w14:solidFill>
          </w14:textFill>
        </w:rPr>
        <w:t>云南省玉溪市红塔区研</w:t>
      </w:r>
      <w:r>
        <w:rPr>
          <w:rFonts w:hint="eastAsia" w:ascii="宋体" w:hAnsi="宋体" w:eastAsia="宋体" w:cs="宋体"/>
          <w:color w:val="000000" w:themeColor="text1"/>
          <w:sz w:val="28"/>
          <w:szCs w:val="28"/>
          <w:lang w:val="en-US" w:eastAsia="zh-CN"/>
          <w14:textFill>
            <w14:solidFill>
              <w14:schemeClr w14:val="tx1"/>
            </w14:solidFill>
          </w14:textFill>
        </w:rPr>
        <w:t>和工业园区数控机床产业园</w:t>
      </w:r>
      <w:r>
        <w:rPr>
          <w:rFonts w:hint="eastAsia" w:ascii="宋体" w:hAnsi="宋体" w:eastAsia="宋体" w:cs="宋体"/>
          <w:color w:val="000000" w:themeColor="text1"/>
          <w:sz w:val="28"/>
          <w:szCs w:val="28"/>
          <w:lang w:eastAsia="zh-CN"/>
          <w14:textFill>
            <w14:solidFill>
              <w14:schemeClr w14:val="tx1"/>
            </w14:solidFill>
          </w14:textFill>
        </w:rPr>
        <w:t>。</w:t>
      </w:r>
    </w:p>
    <w:p w14:paraId="41D8E007">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根据《中华人民共和国安全</w:t>
      </w:r>
      <w:r>
        <w:rPr>
          <w:rFonts w:hint="eastAsia" w:ascii="宋体" w:hAnsi="宋体" w:eastAsia="宋体" w:cs="宋体"/>
          <w:color w:val="000000" w:themeColor="text1"/>
          <w:sz w:val="28"/>
          <w14:textFill>
            <w14:solidFill>
              <w14:schemeClr w14:val="tx1"/>
            </w14:solidFill>
          </w14:textFill>
        </w:rPr>
        <w:t>生产法》等国家相关安全生产法律、法规的规定，并按照应急管理部门的要求，该公司为了向应急管理部门提供安全监管依据，特委托昭通市鼎安科技有限公司承担该公司</w:t>
      </w:r>
      <w:r>
        <w:rPr>
          <w:rFonts w:hint="eastAsia" w:ascii="宋体" w:hAnsi="宋体" w:eastAsia="宋体" w:cs="宋体"/>
          <w:color w:val="000000" w:themeColor="text1"/>
          <w:sz w:val="28"/>
          <w:lang w:eastAsia="zh-CN"/>
          <w14:textFill>
            <w14:solidFill>
              <w14:schemeClr w14:val="tx1"/>
            </w14:solidFill>
          </w14:textFill>
        </w:rPr>
        <w:t>的</w:t>
      </w:r>
      <w:r>
        <w:rPr>
          <w:rFonts w:hint="eastAsia" w:ascii="宋体" w:hAnsi="宋体" w:eastAsia="宋体" w:cs="宋体"/>
          <w:color w:val="000000" w:themeColor="text1"/>
          <w:sz w:val="28"/>
          <w14:textFill>
            <w14:solidFill>
              <w14:schemeClr w14:val="tx1"/>
            </w14:solidFill>
          </w14:textFill>
        </w:rPr>
        <w:t>安全现状评价工作。</w:t>
      </w:r>
    </w:p>
    <w:p w14:paraId="53BB35A3">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在接受</w:t>
      </w:r>
      <w:r>
        <w:rPr>
          <w:rFonts w:hint="eastAsia" w:ascii="宋体" w:hAnsi="宋体" w:eastAsia="宋体" w:cs="宋体"/>
          <w:color w:val="000000" w:themeColor="text1"/>
          <w:sz w:val="28"/>
          <w:szCs w:val="28"/>
          <w:lang w:val="en-US" w:eastAsia="zh-CN"/>
          <w14:textFill>
            <w14:solidFill>
              <w14:schemeClr w14:val="tx1"/>
            </w14:solidFill>
          </w14:textFill>
        </w:rPr>
        <w:t>玉溪市明哲数控科技有限公司</w:t>
      </w:r>
      <w:r>
        <w:rPr>
          <w:rFonts w:hint="eastAsia" w:ascii="宋体" w:hAnsi="宋体" w:eastAsia="宋体" w:cs="宋体"/>
          <w:color w:val="000000" w:themeColor="text1"/>
          <w:sz w:val="28"/>
          <w14:textFill>
            <w14:solidFill>
              <w14:schemeClr w14:val="tx1"/>
            </w14:solidFill>
          </w14:textFill>
        </w:rPr>
        <w:t>的</w:t>
      </w:r>
      <w:r>
        <w:rPr>
          <w:rFonts w:hint="eastAsia" w:ascii="宋体" w:hAnsi="宋体" w:eastAsia="宋体" w:cs="宋体"/>
          <w:color w:val="000000" w:themeColor="text1"/>
          <w:sz w:val="28"/>
          <w:szCs w:val="28"/>
          <w14:textFill>
            <w14:solidFill>
              <w14:schemeClr w14:val="tx1"/>
            </w14:solidFill>
          </w14:textFill>
        </w:rPr>
        <w:t>安全现状评价工作的委托之后，我公司立即组成安全评价组，组织评价人员投入到该项目的安全评价工作中。</w:t>
      </w:r>
      <w:r>
        <w:rPr>
          <w:rFonts w:hint="eastAsia" w:ascii="宋体" w:hAnsi="宋体" w:eastAsia="宋体" w:cs="宋体"/>
          <w:color w:val="000000" w:themeColor="text1"/>
          <w:sz w:val="28"/>
          <w14:textFill>
            <w14:solidFill>
              <w14:schemeClr w14:val="tx1"/>
            </w14:solidFill>
          </w14:textFill>
        </w:rPr>
        <w:t>经过评价组现场的情况调查和资料调研，编写了本安全现状评价报告。</w:t>
      </w:r>
    </w:p>
    <w:p w14:paraId="1D094C03">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lang w:eastAsia="zh-CN"/>
          <w14:textFill>
            <w14:solidFill>
              <w14:schemeClr w14:val="tx1"/>
            </w14:solidFill>
          </w14:textFill>
        </w:rPr>
        <w:sectPr>
          <w:headerReference r:id="rId3" w:type="default"/>
          <w:footerReference r:id="rId4" w:type="default"/>
          <w:pgSz w:w="11906" w:h="16838"/>
          <w:pgMar w:top="1587" w:right="1701" w:bottom="1701" w:left="1701" w:header="851" w:footer="992" w:gutter="0"/>
          <w:pgBorders>
            <w:top w:val="none" w:sz="0" w:space="0"/>
            <w:left w:val="none" w:sz="0" w:space="0"/>
            <w:bottom w:val="none" w:sz="0" w:space="0"/>
            <w:right w:val="none" w:sz="0" w:space="0"/>
          </w:pgBorders>
          <w:pgNumType w:fmt="lowerRoman" w:start="1"/>
          <w:cols w:space="720" w:num="1"/>
          <w:docGrid w:type="lines" w:linePitch="330" w:charSpace="0"/>
        </w:sectPr>
      </w:pPr>
      <w:r>
        <w:rPr>
          <w:rFonts w:hint="eastAsia" w:ascii="宋体" w:hAnsi="宋体" w:eastAsia="宋体" w:cs="宋体"/>
          <w:color w:val="000000" w:themeColor="text1"/>
          <w:sz w:val="28"/>
          <w14:textFill>
            <w14:solidFill>
              <w14:schemeClr w14:val="tx1"/>
            </w14:solidFill>
          </w14:textFill>
        </w:rPr>
        <w:t>在</w:t>
      </w:r>
      <w:r>
        <w:rPr>
          <w:rFonts w:hint="eastAsia" w:ascii="宋体" w:hAnsi="宋体" w:eastAsia="宋体" w:cs="宋体"/>
          <w:color w:val="000000" w:themeColor="text1"/>
          <w:sz w:val="28"/>
          <w:lang w:val="en-US" w:eastAsia="zh-CN"/>
          <w14:textFill>
            <w14:solidFill>
              <w14:schemeClr w14:val="tx1"/>
            </w14:solidFill>
          </w14:textFill>
        </w:rPr>
        <w:t>评价过程</w:t>
      </w:r>
      <w:r>
        <w:rPr>
          <w:rFonts w:hint="eastAsia" w:ascii="宋体" w:hAnsi="宋体" w:eastAsia="宋体" w:cs="宋体"/>
          <w:color w:val="000000" w:themeColor="text1"/>
          <w:sz w:val="28"/>
          <w14:textFill>
            <w14:solidFill>
              <w14:schemeClr w14:val="tx1"/>
            </w14:solidFill>
          </w14:textFill>
        </w:rPr>
        <w:t>中，得到</w:t>
      </w:r>
      <w:r>
        <w:rPr>
          <w:rFonts w:hint="eastAsia" w:ascii="宋体" w:hAnsi="宋体" w:eastAsia="宋体" w:cs="宋体"/>
          <w:color w:val="000000" w:themeColor="text1"/>
          <w:sz w:val="28"/>
          <w:lang w:val="en-US" w:eastAsia="zh-CN"/>
          <w14:textFill>
            <w14:solidFill>
              <w14:schemeClr w14:val="tx1"/>
            </w14:solidFill>
          </w14:textFill>
        </w:rPr>
        <w:t>玉溪市</w:t>
      </w:r>
      <w:r>
        <w:rPr>
          <w:rFonts w:hint="eastAsia" w:ascii="宋体" w:hAnsi="宋体" w:eastAsia="宋体" w:cs="宋体"/>
          <w:color w:val="000000" w:themeColor="text1"/>
          <w:sz w:val="28"/>
          <w14:textFill>
            <w14:solidFill>
              <w14:schemeClr w14:val="tx1"/>
            </w14:solidFill>
          </w14:textFill>
        </w:rPr>
        <w:t>应急管理局、</w:t>
      </w:r>
      <w:r>
        <w:rPr>
          <w:rFonts w:hint="eastAsia" w:ascii="宋体" w:hAnsi="宋体" w:eastAsia="宋体" w:cs="宋体"/>
          <w:color w:val="000000" w:themeColor="text1"/>
          <w:sz w:val="28"/>
          <w:lang w:val="en-US" w:eastAsia="zh-CN"/>
          <w14:textFill>
            <w14:solidFill>
              <w14:schemeClr w14:val="tx1"/>
            </w14:solidFill>
          </w14:textFill>
        </w:rPr>
        <w:t>红塔区</w:t>
      </w:r>
      <w:r>
        <w:rPr>
          <w:rFonts w:hint="eastAsia" w:ascii="宋体" w:hAnsi="宋体" w:eastAsia="宋体" w:cs="宋体"/>
          <w:color w:val="000000" w:themeColor="text1"/>
          <w:sz w:val="28"/>
          <w14:textFill>
            <w14:solidFill>
              <w14:schemeClr w14:val="tx1"/>
            </w14:solidFill>
          </w14:textFill>
        </w:rPr>
        <w:t>应急管理局、</w:t>
      </w:r>
      <w:r>
        <w:rPr>
          <w:rFonts w:hint="eastAsia" w:ascii="宋体" w:hAnsi="宋体" w:eastAsia="宋体" w:cs="宋体"/>
          <w:color w:val="000000" w:themeColor="text1"/>
          <w:sz w:val="28"/>
          <w:szCs w:val="28"/>
          <w:lang w:val="en-US" w:eastAsia="zh-CN"/>
          <w14:textFill>
            <w14:solidFill>
              <w14:schemeClr w14:val="tx1"/>
            </w14:solidFill>
          </w14:textFill>
        </w:rPr>
        <w:t>玉溪市明哲数控科技有限公司</w:t>
      </w:r>
      <w:r>
        <w:rPr>
          <w:rFonts w:hint="eastAsia" w:ascii="宋体" w:hAnsi="宋体" w:eastAsia="宋体" w:cs="宋体"/>
          <w:color w:val="000000" w:themeColor="text1"/>
          <w:sz w:val="28"/>
          <w:szCs w:val="28"/>
          <w14:textFill>
            <w14:solidFill>
              <w14:schemeClr w14:val="tx1"/>
            </w14:solidFill>
          </w14:textFill>
        </w:rPr>
        <w:t>有关领导和技术人员的大力支持，同时引用了一些专家学者的研究成果和技术资料，</w:t>
      </w:r>
      <w:r>
        <w:rPr>
          <w:rFonts w:hint="eastAsia" w:ascii="宋体" w:hAnsi="宋体" w:eastAsia="宋体" w:cs="宋体"/>
          <w:color w:val="000000" w:themeColor="text1"/>
          <w:sz w:val="28"/>
          <w14:textFill>
            <w14:solidFill>
              <w14:schemeClr w14:val="tx1"/>
            </w14:solidFill>
          </w14:textFill>
        </w:rPr>
        <w:t>在此一并表示感谢</w:t>
      </w:r>
      <w:r>
        <w:rPr>
          <w:rFonts w:hint="eastAsia" w:ascii="宋体" w:hAnsi="宋体" w:eastAsia="宋体" w:cs="宋体"/>
          <w:color w:val="000000" w:themeColor="text1"/>
          <w:sz w:val="28"/>
          <w:lang w:eastAsia="zh-CN"/>
          <w14:textFill>
            <w14:solidFill>
              <w14:schemeClr w14:val="tx1"/>
            </w14:solidFill>
          </w14:textFill>
        </w:rPr>
        <w:t>！</w:t>
      </w:r>
    </w:p>
    <w:sdt>
      <w:sdtPr>
        <w:rPr>
          <w:rFonts w:hint="eastAsia" w:ascii="宋体" w:hAnsi="宋体" w:eastAsia="宋体" w:cs="宋体"/>
          <w:b/>
          <w:bCs/>
          <w:color w:val="000000" w:themeColor="text1"/>
          <w:sz w:val="21"/>
          <w:lang w:val="en-US" w:eastAsia="zh-CN" w:bidi="ar-SA"/>
          <w14:textFill>
            <w14:solidFill>
              <w14:schemeClr w14:val="tx1"/>
            </w14:solidFill>
          </w14:textFill>
        </w:rPr>
        <w:id w:val="147465055"/>
        <w15:color w:val="DBDBDB"/>
        <w:docPartObj>
          <w:docPartGallery w:val="Table of Contents"/>
          <w:docPartUnique/>
        </w:docPartObj>
      </w:sdtPr>
      <w:sdtEndPr>
        <w:rPr>
          <w:rFonts w:hint="eastAsia" w:ascii="宋体" w:hAnsi="宋体" w:eastAsia="宋体" w:cs="宋体"/>
          <w:b/>
          <w:bCs/>
          <w:color w:val="000000" w:themeColor="text1"/>
          <w:sz w:val="21"/>
          <w:lang w:val="en-US" w:eastAsia="zh-CN" w:bidi="ar-SA"/>
          <w14:textFill>
            <w14:solidFill>
              <w14:schemeClr w14:val="tx1"/>
            </w14:solidFill>
          </w14:textFill>
        </w:rPr>
      </w:sdtEndPr>
      <w:sdtContent>
        <w:p w14:paraId="643DE9F5">
          <w:pPr>
            <w:spacing w:before="0" w:beforeLines="0" w:after="0" w:afterLines="0" w:line="240" w:lineRule="auto"/>
            <w:ind w:left="0" w:leftChars="0" w:right="0" w:rightChars="0" w:firstLine="0" w:firstLineChars="0"/>
            <w:jc w:val="center"/>
            <w:rPr>
              <w:rFonts w:hint="eastAsia" w:ascii="宋体" w:hAnsi="宋体" w:eastAsia="宋体" w:cs="宋体"/>
              <w:b/>
              <w:bCs/>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目</w:t>
          </w:r>
          <w:r>
            <w:rPr>
              <w:rFonts w:hint="eastAsia" w:ascii="宋体" w:hAnsi="宋体" w:eastAsia="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录</w:t>
          </w:r>
        </w:p>
        <w:p w14:paraId="63992C92">
          <w:pPr>
            <w:pStyle w:val="35"/>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color w:val="000000" w:themeColor="text1"/>
              <w14:textFill>
                <w14:solidFill>
                  <w14:schemeClr w14:val="tx1"/>
                </w14:solidFill>
              </w14:textFill>
            </w:rPr>
            <w:instrText xml:space="preserve">TOC \o "1-3" \h \u </w:instrText>
          </w:r>
          <w:r>
            <w:rPr>
              <w:rFonts w:hint="eastAsia" w:ascii="宋体" w:hAnsi="宋体" w:eastAsia="宋体" w:cs="宋体"/>
              <w:color w:val="000000" w:themeColor="text1"/>
              <w14:textFill>
                <w14:solidFill>
                  <w14:schemeClr w14:val="tx1"/>
                </w14:solidFill>
              </w14:textFill>
            </w:rPr>
            <w:fldChar w:fldCharType="separate"/>
          </w: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_Toc30819 </w:instrText>
          </w:r>
          <w:r>
            <w:rPr>
              <w:rFonts w:hint="eastAsia" w:ascii="宋体" w:hAnsi="宋体" w:eastAsia="宋体" w:cs="宋体"/>
            </w:rPr>
            <w:fldChar w:fldCharType="separate"/>
          </w:r>
          <w:r>
            <w:rPr>
              <w:rFonts w:hint="eastAsia" w:ascii="宋体" w:hAnsi="宋体" w:eastAsia="宋体" w:cs="宋体"/>
            </w:rPr>
            <w:t>第1章  编制说明</w:t>
          </w:r>
          <w:r>
            <w:tab/>
          </w:r>
          <w:r>
            <w:fldChar w:fldCharType="begin"/>
          </w:r>
          <w:r>
            <w:instrText xml:space="preserve"> PAGEREF _Toc30819 \h </w:instrText>
          </w:r>
          <w:r>
            <w:fldChar w:fldCharType="separate"/>
          </w:r>
          <w:r>
            <w:t>1</w:t>
          </w:r>
          <w:r>
            <w:fldChar w:fldCharType="end"/>
          </w:r>
          <w:r>
            <w:rPr>
              <w:rFonts w:hint="eastAsia" w:ascii="宋体" w:hAnsi="宋体" w:eastAsia="宋体" w:cs="宋体"/>
              <w:color w:val="000000" w:themeColor="text1"/>
              <w14:textFill>
                <w14:solidFill>
                  <w14:schemeClr w14:val="tx1"/>
                </w14:solidFill>
              </w14:textFill>
            </w:rPr>
            <w:fldChar w:fldCharType="end"/>
          </w:r>
        </w:p>
        <w:p w14:paraId="0FB2190F">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_Toc2418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lang w:val="en-US" w:eastAsia="zh-CN"/>
            </w:rPr>
            <w:t xml:space="preserve"> </w:t>
          </w:r>
          <w:r>
            <w:rPr>
              <w:rFonts w:hint="eastAsia" w:ascii="宋体" w:hAnsi="宋体" w:eastAsia="宋体" w:cs="宋体"/>
            </w:rPr>
            <w:t>安全评价的目的</w:t>
          </w:r>
          <w:r>
            <w:tab/>
          </w:r>
          <w:r>
            <w:fldChar w:fldCharType="begin"/>
          </w:r>
          <w:r>
            <w:instrText xml:space="preserve"> PAGEREF _Toc2418 \h </w:instrText>
          </w:r>
          <w:r>
            <w:fldChar w:fldCharType="separate"/>
          </w:r>
          <w:r>
            <w:t>1</w:t>
          </w:r>
          <w:r>
            <w:fldChar w:fldCharType="end"/>
          </w:r>
          <w:r>
            <w:rPr>
              <w:rFonts w:hint="eastAsia" w:ascii="宋体" w:hAnsi="宋体" w:eastAsia="宋体" w:cs="宋体"/>
              <w:color w:val="000000" w:themeColor="text1"/>
              <w14:textFill>
                <w14:solidFill>
                  <w14:schemeClr w14:val="tx1"/>
                </w14:solidFill>
              </w14:textFill>
            </w:rPr>
            <w:fldChar w:fldCharType="end"/>
          </w:r>
        </w:p>
        <w:p w14:paraId="0D6F8B8C">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_Toc13429 </w:instrText>
          </w:r>
          <w:r>
            <w:rPr>
              <w:rFonts w:hint="eastAsia" w:ascii="宋体" w:hAnsi="宋体" w:eastAsia="宋体" w:cs="宋体"/>
            </w:rPr>
            <w:fldChar w:fldCharType="separate"/>
          </w:r>
          <w:r>
            <w:rPr>
              <w:rFonts w:hint="eastAsia" w:ascii="宋体" w:hAnsi="宋体" w:eastAsia="宋体" w:cs="宋体"/>
            </w:rPr>
            <w:t>1.2</w:t>
          </w:r>
          <w:r>
            <w:rPr>
              <w:rFonts w:hint="eastAsia" w:ascii="宋体" w:hAnsi="宋体" w:eastAsia="宋体" w:cs="宋体"/>
              <w:lang w:val="en-US" w:eastAsia="zh-CN"/>
            </w:rPr>
            <w:t xml:space="preserve"> </w:t>
          </w:r>
          <w:r>
            <w:rPr>
              <w:rFonts w:hint="eastAsia" w:ascii="宋体" w:hAnsi="宋体" w:eastAsia="宋体" w:cs="宋体"/>
            </w:rPr>
            <w:t>安全评价依据</w:t>
          </w:r>
          <w:r>
            <w:tab/>
          </w:r>
          <w:r>
            <w:fldChar w:fldCharType="begin"/>
          </w:r>
          <w:r>
            <w:instrText xml:space="preserve"> PAGEREF _Toc13429 \h </w:instrText>
          </w:r>
          <w:r>
            <w:fldChar w:fldCharType="separate"/>
          </w:r>
          <w:r>
            <w:t>1</w:t>
          </w:r>
          <w:r>
            <w:fldChar w:fldCharType="end"/>
          </w:r>
          <w:r>
            <w:rPr>
              <w:rFonts w:hint="eastAsia" w:ascii="宋体" w:hAnsi="宋体" w:eastAsia="宋体" w:cs="宋体"/>
              <w:color w:val="000000" w:themeColor="text1"/>
              <w14:textFill>
                <w14:solidFill>
                  <w14:schemeClr w14:val="tx1"/>
                </w14:solidFill>
              </w14:textFill>
            </w:rPr>
            <w:fldChar w:fldCharType="end"/>
          </w:r>
        </w:p>
        <w:p w14:paraId="30192C15">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_Toc7370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szCs w:val="36"/>
            </w:rPr>
            <w:t>.</w:t>
          </w:r>
          <w:r>
            <w:rPr>
              <w:rFonts w:hint="eastAsia" w:ascii="宋体" w:hAnsi="宋体" w:eastAsia="宋体" w:cs="宋体"/>
            </w:rPr>
            <w:t>2</w:t>
          </w:r>
          <w:r>
            <w:rPr>
              <w:rFonts w:hint="eastAsia" w:ascii="宋体" w:hAnsi="宋体" w:eastAsia="宋体" w:cs="宋体"/>
              <w:szCs w:val="36"/>
            </w:rPr>
            <w:t>.</w:t>
          </w:r>
          <w:r>
            <w:rPr>
              <w:rFonts w:hint="eastAsia" w:ascii="宋体" w:hAnsi="宋体" w:eastAsia="宋体" w:cs="宋体"/>
            </w:rPr>
            <w:t>1</w:t>
          </w:r>
          <w:r>
            <w:rPr>
              <w:rFonts w:hint="eastAsia" w:ascii="宋体" w:hAnsi="宋体" w:eastAsia="宋体" w:cs="宋体"/>
              <w:lang w:val="en-US" w:eastAsia="zh-CN"/>
            </w:rPr>
            <w:t xml:space="preserve"> </w:t>
          </w:r>
          <w:r>
            <w:rPr>
              <w:rFonts w:hint="eastAsia" w:ascii="宋体" w:hAnsi="宋体" w:eastAsia="宋体" w:cs="宋体"/>
            </w:rPr>
            <w:t>法律法规</w:t>
          </w:r>
          <w:r>
            <w:tab/>
          </w:r>
          <w:r>
            <w:fldChar w:fldCharType="begin"/>
          </w:r>
          <w:r>
            <w:instrText xml:space="preserve"> PAGEREF _Toc7370 \h </w:instrText>
          </w:r>
          <w:r>
            <w:fldChar w:fldCharType="separate"/>
          </w:r>
          <w:r>
            <w:t>1</w:t>
          </w:r>
          <w:r>
            <w:fldChar w:fldCharType="end"/>
          </w:r>
          <w:r>
            <w:rPr>
              <w:rFonts w:hint="eastAsia" w:ascii="宋体" w:hAnsi="宋体" w:eastAsia="宋体" w:cs="宋体"/>
              <w:color w:val="000000" w:themeColor="text1"/>
              <w14:textFill>
                <w14:solidFill>
                  <w14:schemeClr w14:val="tx1"/>
                </w14:solidFill>
              </w14:textFill>
            </w:rPr>
            <w:fldChar w:fldCharType="end"/>
          </w:r>
        </w:p>
        <w:p w14:paraId="1F078F9D">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_Toc23517 </w:instrText>
          </w:r>
          <w:r>
            <w:rPr>
              <w:rFonts w:hint="eastAsia" w:ascii="宋体" w:hAnsi="宋体" w:eastAsia="宋体" w:cs="宋体"/>
            </w:rPr>
            <w:fldChar w:fldCharType="separate"/>
          </w:r>
          <w:r>
            <w:rPr>
              <w:rFonts w:hint="eastAsia" w:ascii="宋体" w:hAnsi="宋体" w:eastAsia="宋体" w:cs="宋体"/>
            </w:rPr>
            <w:t>1.2.2</w:t>
          </w:r>
          <w:r>
            <w:rPr>
              <w:rFonts w:hint="eastAsia" w:ascii="宋体" w:hAnsi="宋体" w:eastAsia="宋体" w:cs="宋体"/>
              <w:lang w:val="en-US" w:eastAsia="zh-CN"/>
            </w:rPr>
            <w:t xml:space="preserve"> </w:t>
          </w:r>
          <w:r>
            <w:rPr>
              <w:rFonts w:hint="eastAsia" w:ascii="宋体" w:hAnsi="宋体" w:eastAsia="宋体" w:cs="宋体"/>
            </w:rPr>
            <w:t>行政法规</w:t>
          </w:r>
          <w:r>
            <w:tab/>
          </w:r>
          <w:r>
            <w:fldChar w:fldCharType="begin"/>
          </w:r>
          <w:r>
            <w:instrText xml:space="preserve"> PAGEREF _Toc23517 \h </w:instrText>
          </w:r>
          <w:r>
            <w:fldChar w:fldCharType="separate"/>
          </w:r>
          <w:r>
            <w:t>2</w:t>
          </w:r>
          <w:r>
            <w:fldChar w:fldCharType="end"/>
          </w:r>
          <w:r>
            <w:rPr>
              <w:rFonts w:hint="eastAsia" w:ascii="宋体" w:hAnsi="宋体" w:eastAsia="宋体" w:cs="宋体"/>
              <w:color w:val="000000" w:themeColor="text1"/>
              <w14:textFill>
                <w14:solidFill>
                  <w14:schemeClr w14:val="tx1"/>
                </w14:solidFill>
              </w14:textFill>
            </w:rPr>
            <w:fldChar w:fldCharType="end"/>
          </w:r>
        </w:p>
        <w:p w14:paraId="51D255BD">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_Toc23007 </w:instrText>
          </w:r>
          <w:r>
            <w:rPr>
              <w:rFonts w:hint="eastAsia" w:ascii="宋体" w:hAnsi="宋体" w:eastAsia="宋体" w:cs="宋体"/>
            </w:rPr>
            <w:fldChar w:fldCharType="separate"/>
          </w:r>
          <w:r>
            <w:rPr>
              <w:rFonts w:hint="eastAsia" w:ascii="宋体" w:hAnsi="宋体" w:eastAsia="宋体" w:cs="宋体"/>
            </w:rPr>
            <w:t>1.2.3</w:t>
          </w:r>
          <w:r>
            <w:rPr>
              <w:rFonts w:hint="eastAsia" w:ascii="宋体" w:hAnsi="宋体" w:eastAsia="宋体" w:cs="宋体"/>
              <w:lang w:val="en-US" w:eastAsia="zh-CN"/>
            </w:rPr>
            <w:t xml:space="preserve"> </w:t>
          </w:r>
          <w:r>
            <w:rPr>
              <w:rFonts w:hint="eastAsia" w:ascii="宋体" w:hAnsi="宋体" w:eastAsia="宋体" w:cs="宋体"/>
            </w:rPr>
            <w:t>部门规章</w:t>
          </w:r>
          <w:r>
            <w:tab/>
          </w:r>
          <w:r>
            <w:fldChar w:fldCharType="begin"/>
          </w:r>
          <w:r>
            <w:instrText xml:space="preserve"> PAGEREF _Toc23007 \h </w:instrText>
          </w:r>
          <w:r>
            <w:fldChar w:fldCharType="separate"/>
          </w:r>
          <w:r>
            <w:t>3</w:t>
          </w:r>
          <w:r>
            <w:fldChar w:fldCharType="end"/>
          </w:r>
          <w:r>
            <w:rPr>
              <w:rFonts w:hint="eastAsia" w:ascii="宋体" w:hAnsi="宋体" w:eastAsia="宋体" w:cs="宋体"/>
              <w:color w:val="000000" w:themeColor="text1"/>
              <w14:textFill>
                <w14:solidFill>
                  <w14:schemeClr w14:val="tx1"/>
                </w14:solidFill>
              </w14:textFill>
            </w:rPr>
            <w:fldChar w:fldCharType="end"/>
          </w:r>
        </w:p>
        <w:p w14:paraId="207CF955">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_Toc986 </w:instrText>
          </w:r>
          <w:r>
            <w:rPr>
              <w:rFonts w:hint="eastAsia" w:ascii="宋体" w:hAnsi="宋体" w:eastAsia="宋体" w:cs="宋体"/>
            </w:rPr>
            <w:fldChar w:fldCharType="separate"/>
          </w:r>
          <w:r>
            <w:rPr>
              <w:rFonts w:hint="eastAsia" w:ascii="宋体" w:hAnsi="宋体" w:eastAsia="宋体" w:cs="宋体"/>
            </w:rPr>
            <w:t>1.2.4</w:t>
          </w:r>
          <w:r>
            <w:rPr>
              <w:rFonts w:hint="eastAsia" w:ascii="宋体" w:hAnsi="宋体" w:eastAsia="宋体" w:cs="宋体"/>
              <w:lang w:val="en-US" w:eastAsia="zh-CN"/>
            </w:rPr>
            <w:t xml:space="preserve"> </w:t>
          </w:r>
          <w:r>
            <w:rPr>
              <w:rFonts w:hint="eastAsia" w:ascii="宋体" w:hAnsi="宋体" w:eastAsia="宋体" w:cs="宋体"/>
            </w:rPr>
            <w:t>地方有关法规文件</w:t>
          </w:r>
          <w:r>
            <w:tab/>
          </w:r>
          <w:r>
            <w:fldChar w:fldCharType="begin"/>
          </w:r>
          <w:r>
            <w:instrText xml:space="preserve"> PAGEREF _Toc986 \h </w:instrText>
          </w:r>
          <w:r>
            <w:fldChar w:fldCharType="separate"/>
          </w:r>
          <w:r>
            <w:t>4</w:t>
          </w:r>
          <w:r>
            <w:fldChar w:fldCharType="end"/>
          </w:r>
          <w:r>
            <w:rPr>
              <w:rFonts w:hint="eastAsia" w:ascii="宋体" w:hAnsi="宋体" w:eastAsia="宋体" w:cs="宋体"/>
              <w:color w:val="000000" w:themeColor="text1"/>
              <w14:textFill>
                <w14:solidFill>
                  <w14:schemeClr w14:val="tx1"/>
                </w14:solidFill>
              </w14:textFill>
            </w:rPr>
            <w:fldChar w:fldCharType="end"/>
          </w:r>
        </w:p>
        <w:p w14:paraId="0981257F">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_Toc22737 </w:instrText>
          </w:r>
          <w:r>
            <w:rPr>
              <w:rFonts w:hint="eastAsia" w:ascii="宋体" w:hAnsi="宋体" w:eastAsia="宋体" w:cs="宋体"/>
            </w:rPr>
            <w:fldChar w:fldCharType="separate"/>
          </w:r>
          <w:r>
            <w:rPr>
              <w:rFonts w:hint="eastAsia" w:ascii="宋体" w:hAnsi="宋体" w:eastAsia="宋体" w:cs="宋体"/>
            </w:rPr>
            <w:t>1.2.5</w:t>
          </w:r>
          <w:r>
            <w:rPr>
              <w:rFonts w:hint="eastAsia" w:ascii="宋体" w:hAnsi="宋体" w:eastAsia="宋体" w:cs="宋体"/>
              <w:lang w:val="en-US" w:eastAsia="zh-CN"/>
            </w:rPr>
            <w:t xml:space="preserve"> </w:t>
          </w:r>
          <w:r>
            <w:rPr>
              <w:rFonts w:hint="eastAsia" w:ascii="宋体" w:hAnsi="宋体" w:eastAsia="宋体" w:cs="宋体"/>
            </w:rPr>
            <w:t>国家标准</w:t>
          </w:r>
          <w:r>
            <w:tab/>
          </w:r>
          <w:r>
            <w:fldChar w:fldCharType="begin"/>
          </w:r>
          <w:r>
            <w:instrText xml:space="preserve"> PAGEREF _Toc22737 \h </w:instrText>
          </w:r>
          <w:r>
            <w:fldChar w:fldCharType="separate"/>
          </w:r>
          <w:r>
            <w:t>5</w:t>
          </w:r>
          <w:r>
            <w:fldChar w:fldCharType="end"/>
          </w:r>
          <w:r>
            <w:rPr>
              <w:rFonts w:hint="eastAsia" w:ascii="宋体" w:hAnsi="宋体" w:eastAsia="宋体" w:cs="宋体"/>
              <w:color w:val="000000" w:themeColor="text1"/>
              <w14:textFill>
                <w14:solidFill>
                  <w14:schemeClr w14:val="tx1"/>
                </w14:solidFill>
              </w14:textFill>
            </w:rPr>
            <w:fldChar w:fldCharType="end"/>
          </w:r>
        </w:p>
        <w:p w14:paraId="621FB044">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_Toc25702 </w:instrText>
          </w:r>
          <w:r>
            <w:rPr>
              <w:rFonts w:hint="eastAsia" w:ascii="宋体" w:hAnsi="宋体" w:eastAsia="宋体" w:cs="宋体"/>
            </w:rPr>
            <w:fldChar w:fldCharType="separate"/>
          </w:r>
          <w:r>
            <w:rPr>
              <w:rFonts w:hint="eastAsia" w:ascii="宋体" w:hAnsi="宋体" w:eastAsia="宋体" w:cs="宋体"/>
            </w:rPr>
            <w:t>1.2.6</w:t>
          </w:r>
          <w:r>
            <w:rPr>
              <w:rFonts w:hint="eastAsia" w:ascii="宋体" w:hAnsi="宋体" w:eastAsia="宋体" w:cs="宋体"/>
              <w:lang w:val="en-US" w:eastAsia="zh-CN"/>
            </w:rPr>
            <w:t xml:space="preserve"> </w:t>
          </w:r>
          <w:r>
            <w:rPr>
              <w:rFonts w:hint="eastAsia" w:ascii="宋体" w:hAnsi="宋体" w:eastAsia="宋体" w:cs="宋体"/>
            </w:rPr>
            <w:t>行业标准</w:t>
          </w:r>
          <w:r>
            <w:tab/>
          </w:r>
          <w:r>
            <w:fldChar w:fldCharType="begin"/>
          </w:r>
          <w:r>
            <w:instrText xml:space="preserve"> PAGEREF _Toc25702 \h </w:instrText>
          </w:r>
          <w:r>
            <w:fldChar w:fldCharType="separate"/>
          </w:r>
          <w:r>
            <w:t>7</w:t>
          </w:r>
          <w:r>
            <w:fldChar w:fldCharType="end"/>
          </w:r>
          <w:r>
            <w:rPr>
              <w:rFonts w:hint="eastAsia" w:ascii="宋体" w:hAnsi="宋体" w:eastAsia="宋体" w:cs="宋体"/>
              <w:color w:val="000000" w:themeColor="text1"/>
              <w14:textFill>
                <w14:solidFill>
                  <w14:schemeClr w14:val="tx1"/>
                </w14:solidFill>
              </w14:textFill>
            </w:rPr>
            <w:fldChar w:fldCharType="end"/>
          </w:r>
        </w:p>
        <w:p w14:paraId="5F2B6BD6">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_Toc22695 </w:instrText>
          </w:r>
          <w:r>
            <w:rPr>
              <w:rFonts w:hint="eastAsia" w:ascii="宋体" w:hAnsi="宋体" w:eastAsia="宋体" w:cs="宋体"/>
            </w:rPr>
            <w:fldChar w:fldCharType="separate"/>
          </w:r>
          <w:r>
            <w:rPr>
              <w:rFonts w:hint="eastAsia" w:ascii="宋体" w:hAnsi="宋体" w:eastAsia="宋体" w:cs="宋体"/>
            </w:rPr>
            <w:t>1.2.7</w:t>
          </w:r>
          <w:r>
            <w:rPr>
              <w:rFonts w:hint="eastAsia" w:ascii="宋体" w:hAnsi="宋体" w:eastAsia="宋体" w:cs="宋体"/>
              <w:lang w:val="en-US" w:eastAsia="zh-CN"/>
            </w:rPr>
            <w:t xml:space="preserve"> </w:t>
          </w:r>
          <w:r>
            <w:rPr>
              <w:rFonts w:hint="eastAsia" w:ascii="宋体" w:hAnsi="宋体" w:eastAsia="宋体" w:cs="宋体"/>
            </w:rPr>
            <w:t>项目技术资料</w:t>
          </w:r>
          <w:r>
            <w:tab/>
          </w:r>
          <w:r>
            <w:fldChar w:fldCharType="begin"/>
          </w:r>
          <w:r>
            <w:instrText xml:space="preserve"> PAGEREF _Toc22695 \h </w:instrText>
          </w:r>
          <w:r>
            <w:fldChar w:fldCharType="separate"/>
          </w:r>
          <w:r>
            <w:t>7</w:t>
          </w:r>
          <w:r>
            <w:fldChar w:fldCharType="end"/>
          </w:r>
          <w:r>
            <w:rPr>
              <w:rFonts w:hint="eastAsia" w:ascii="宋体" w:hAnsi="宋体" w:eastAsia="宋体" w:cs="宋体"/>
              <w:color w:val="000000" w:themeColor="text1"/>
              <w14:textFill>
                <w14:solidFill>
                  <w14:schemeClr w14:val="tx1"/>
                </w14:solidFill>
              </w14:textFill>
            </w:rPr>
            <w:fldChar w:fldCharType="end"/>
          </w:r>
        </w:p>
        <w:p w14:paraId="0F4FE7B8">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_Toc21399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lang w:val="en-US" w:eastAsia="zh-CN"/>
            </w:rPr>
            <w:t xml:space="preserve"> </w:t>
          </w:r>
          <w:r>
            <w:rPr>
              <w:rFonts w:hint="eastAsia" w:ascii="宋体" w:hAnsi="宋体" w:eastAsia="宋体" w:cs="宋体"/>
            </w:rPr>
            <w:t>评价对象及范围</w:t>
          </w:r>
          <w:r>
            <w:tab/>
          </w:r>
          <w:r>
            <w:fldChar w:fldCharType="begin"/>
          </w:r>
          <w:r>
            <w:instrText xml:space="preserve"> PAGEREF _Toc21399 \h </w:instrText>
          </w:r>
          <w:r>
            <w:fldChar w:fldCharType="separate"/>
          </w:r>
          <w:r>
            <w:t>7</w:t>
          </w:r>
          <w:r>
            <w:fldChar w:fldCharType="end"/>
          </w:r>
          <w:r>
            <w:rPr>
              <w:rFonts w:hint="eastAsia" w:ascii="宋体" w:hAnsi="宋体" w:eastAsia="宋体" w:cs="宋体"/>
              <w:color w:val="000000" w:themeColor="text1"/>
              <w14:textFill>
                <w14:solidFill>
                  <w14:schemeClr w14:val="tx1"/>
                </w14:solidFill>
              </w14:textFill>
            </w:rPr>
            <w:fldChar w:fldCharType="end"/>
          </w:r>
        </w:p>
        <w:p w14:paraId="76FC64F1">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_Toc17824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lang w:val="en-US" w:eastAsia="zh-CN"/>
            </w:rPr>
            <w:t xml:space="preserve"> </w:t>
          </w:r>
          <w:r>
            <w:rPr>
              <w:rFonts w:hint="eastAsia" w:ascii="宋体" w:hAnsi="宋体" w:eastAsia="宋体" w:cs="宋体"/>
            </w:rPr>
            <w:t>评价原则</w:t>
          </w:r>
          <w:r>
            <w:tab/>
          </w:r>
          <w:r>
            <w:fldChar w:fldCharType="begin"/>
          </w:r>
          <w:r>
            <w:instrText xml:space="preserve"> PAGEREF _Toc17824 \h </w:instrText>
          </w:r>
          <w:r>
            <w:fldChar w:fldCharType="separate"/>
          </w:r>
          <w:r>
            <w:t>7</w:t>
          </w:r>
          <w:r>
            <w:fldChar w:fldCharType="end"/>
          </w:r>
          <w:r>
            <w:rPr>
              <w:rFonts w:hint="eastAsia" w:ascii="宋体" w:hAnsi="宋体" w:eastAsia="宋体" w:cs="宋体"/>
              <w:color w:val="000000" w:themeColor="text1"/>
              <w14:textFill>
                <w14:solidFill>
                  <w14:schemeClr w14:val="tx1"/>
                </w14:solidFill>
              </w14:textFill>
            </w:rPr>
            <w:fldChar w:fldCharType="end"/>
          </w:r>
        </w:p>
        <w:p w14:paraId="1132D25F">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_Toc18724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lang w:val="en-US" w:eastAsia="zh-CN"/>
            </w:rPr>
            <w:t xml:space="preserve"> </w:t>
          </w:r>
          <w:r>
            <w:rPr>
              <w:rFonts w:hint="eastAsia" w:ascii="宋体" w:hAnsi="宋体" w:eastAsia="宋体" w:cs="宋体"/>
            </w:rPr>
            <w:t>评价程序</w:t>
          </w:r>
          <w:r>
            <w:tab/>
          </w:r>
          <w:r>
            <w:fldChar w:fldCharType="begin"/>
          </w:r>
          <w:r>
            <w:instrText xml:space="preserve"> PAGEREF _Toc18724 \h </w:instrText>
          </w:r>
          <w:r>
            <w:fldChar w:fldCharType="separate"/>
          </w:r>
          <w:r>
            <w:t>8</w:t>
          </w:r>
          <w:r>
            <w:fldChar w:fldCharType="end"/>
          </w:r>
          <w:r>
            <w:rPr>
              <w:rFonts w:hint="eastAsia" w:ascii="宋体" w:hAnsi="宋体" w:eastAsia="宋体" w:cs="宋体"/>
              <w:color w:val="000000" w:themeColor="text1"/>
              <w14:textFill>
                <w14:solidFill>
                  <w14:schemeClr w14:val="tx1"/>
                </w14:solidFill>
              </w14:textFill>
            </w:rPr>
            <w:fldChar w:fldCharType="end"/>
          </w:r>
        </w:p>
        <w:p w14:paraId="0EB43483">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_Toc27434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lang w:val="en-US" w:eastAsia="zh-CN"/>
            </w:rPr>
            <w:t xml:space="preserve"> </w:t>
          </w:r>
          <w:r>
            <w:rPr>
              <w:rFonts w:hint="eastAsia" w:ascii="宋体" w:hAnsi="宋体" w:eastAsia="宋体" w:cs="宋体"/>
            </w:rPr>
            <w:t>评价基准日</w:t>
          </w:r>
          <w:r>
            <w:tab/>
          </w:r>
          <w:r>
            <w:fldChar w:fldCharType="begin"/>
          </w:r>
          <w:r>
            <w:instrText xml:space="preserve"> PAGEREF _Toc27434 \h </w:instrText>
          </w:r>
          <w:r>
            <w:fldChar w:fldCharType="separate"/>
          </w:r>
          <w:r>
            <w:t>9</w:t>
          </w:r>
          <w:r>
            <w:fldChar w:fldCharType="end"/>
          </w:r>
          <w:r>
            <w:rPr>
              <w:rFonts w:hint="eastAsia" w:ascii="宋体" w:hAnsi="宋体" w:eastAsia="宋体" w:cs="宋体"/>
              <w:color w:val="000000" w:themeColor="text1"/>
              <w14:textFill>
                <w14:solidFill>
                  <w14:schemeClr w14:val="tx1"/>
                </w14:solidFill>
              </w14:textFill>
            </w:rPr>
            <w:fldChar w:fldCharType="end"/>
          </w:r>
        </w:p>
        <w:p w14:paraId="73D4F505">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_Toc30288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lang w:val="en-US" w:eastAsia="zh-CN"/>
            </w:rPr>
            <w:t xml:space="preserve"> </w:t>
          </w:r>
          <w:r>
            <w:rPr>
              <w:rFonts w:hint="eastAsia" w:ascii="宋体" w:hAnsi="宋体" w:eastAsia="宋体" w:cs="宋体"/>
            </w:rPr>
            <w:t>评价报告使用权声明</w:t>
          </w:r>
          <w:r>
            <w:tab/>
          </w:r>
          <w:r>
            <w:fldChar w:fldCharType="begin"/>
          </w:r>
          <w:r>
            <w:instrText xml:space="preserve"> PAGEREF _Toc30288 \h </w:instrText>
          </w:r>
          <w:r>
            <w:fldChar w:fldCharType="separate"/>
          </w:r>
          <w:r>
            <w:t>9</w:t>
          </w:r>
          <w:r>
            <w:fldChar w:fldCharType="end"/>
          </w:r>
          <w:r>
            <w:rPr>
              <w:rFonts w:hint="eastAsia" w:ascii="宋体" w:hAnsi="宋体" w:eastAsia="宋体" w:cs="宋体"/>
              <w:color w:val="000000" w:themeColor="text1"/>
              <w14:textFill>
                <w14:solidFill>
                  <w14:schemeClr w14:val="tx1"/>
                </w14:solidFill>
              </w14:textFill>
            </w:rPr>
            <w:fldChar w:fldCharType="end"/>
          </w:r>
        </w:p>
        <w:p w14:paraId="3958F8E6">
          <w:pPr>
            <w:pStyle w:val="35"/>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_Toc27871 </w:instrText>
          </w:r>
          <w:r>
            <w:rPr>
              <w:rFonts w:hint="eastAsia" w:ascii="宋体" w:hAnsi="宋体" w:eastAsia="宋体" w:cs="宋体"/>
            </w:rPr>
            <w:fldChar w:fldCharType="separate"/>
          </w:r>
          <w:r>
            <w:rPr>
              <w:rFonts w:hint="eastAsia" w:ascii="宋体" w:hAnsi="宋体" w:eastAsia="宋体" w:cs="宋体"/>
            </w:rPr>
            <w:t>第2章 企业及项目概况</w:t>
          </w:r>
          <w:r>
            <w:tab/>
          </w:r>
          <w:r>
            <w:fldChar w:fldCharType="begin"/>
          </w:r>
          <w:r>
            <w:instrText xml:space="preserve"> PAGEREF _Toc27871 \h </w:instrText>
          </w:r>
          <w:r>
            <w:fldChar w:fldCharType="separate"/>
          </w:r>
          <w:r>
            <w:t>10</w:t>
          </w:r>
          <w:r>
            <w:fldChar w:fldCharType="end"/>
          </w:r>
          <w:r>
            <w:rPr>
              <w:rFonts w:hint="eastAsia" w:ascii="宋体" w:hAnsi="宋体" w:eastAsia="宋体" w:cs="宋体"/>
              <w:color w:val="000000" w:themeColor="text1"/>
              <w14:textFill>
                <w14:solidFill>
                  <w14:schemeClr w14:val="tx1"/>
                </w14:solidFill>
              </w14:textFill>
            </w:rPr>
            <w:fldChar w:fldCharType="end"/>
          </w:r>
        </w:p>
        <w:p w14:paraId="0D21A869">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_Toc21728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lang w:val="en-US" w:eastAsia="zh-CN"/>
            </w:rPr>
            <w:t xml:space="preserve"> </w:t>
          </w:r>
          <w:r>
            <w:rPr>
              <w:rFonts w:hint="eastAsia" w:ascii="宋体" w:hAnsi="宋体" w:eastAsia="宋体" w:cs="宋体"/>
            </w:rPr>
            <w:t>企业</w:t>
          </w:r>
          <w:r>
            <w:rPr>
              <w:rFonts w:hint="eastAsia" w:ascii="宋体" w:hAnsi="宋体" w:eastAsia="宋体" w:cs="宋体"/>
              <w:lang w:val="en-US" w:eastAsia="zh-CN"/>
            </w:rPr>
            <w:t>概况</w:t>
          </w:r>
          <w:r>
            <w:tab/>
          </w:r>
          <w:r>
            <w:fldChar w:fldCharType="begin"/>
          </w:r>
          <w:r>
            <w:instrText xml:space="preserve"> PAGEREF _Toc21728 \h </w:instrText>
          </w:r>
          <w:r>
            <w:fldChar w:fldCharType="separate"/>
          </w:r>
          <w:r>
            <w:t>10</w:t>
          </w:r>
          <w:r>
            <w:fldChar w:fldCharType="end"/>
          </w:r>
          <w:r>
            <w:rPr>
              <w:rFonts w:hint="eastAsia" w:ascii="宋体" w:hAnsi="宋体" w:eastAsia="宋体" w:cs="宋体"/>
              <w:color w:val="000000" w:themeColor="text1"/>
              <w14:textFill>
                <w14:solidFill>
                  <w14:schemeClr w14:val="tx1"/>
                </w14:solidFill>
              </w14:textFill>
            </w:rPr>
            <w:fldChar w:fldCharType="end"/>
          </w:r>
        </w:p>
        <w:p w14:paraId="2C9F4E64">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_Toc29825 </w:instrText>
          </w:r>
          <w:r>
            <w:rPr>
              <w:rFonts w:hint="eastAsia" w:ascii="宋体" w:hAnsi="宋体" w:eastAsia="宋体" w:cs="宋体"/>
            </w:rPr>
            <w:fldChar w:fldCharType="separate"/>
          </w:r>
          <w:r>
            <w:rPr>
              <w:rFonts w:hint="eastAsia" w:ascii="宋体" w:hAnsi="宋体" w:eastAsia="宋体" w:cs="宋体"/>
            </w:rPr>
            <w:t>2.2</w:t>
          </w:r>
          <w:r>
            <w:rPr>
              <w:rFonts w:hint="eastAsia" w:ascii="宋体" w:hAnsi="宋体" w:eastAsia="宋体" w:cs="宋体"/>
              <w:lang w:val="en-US" w:eastAsia="zh-CN"/>
            </w:rPr>
            <w:t xml:space="preserve"> </w:t>
          </w:r>
          <w:r>
            <w:rPr>
              <w:rFonts w:hint="eastAsia" w:ascii="宋体" w:hAnsi="宋体" w:eastAsia="宋体" w:cs="宋体"/>
            </w:rPr>
            <w:t>项目概况</w:t>
          </w:r>
          <w:r>
            <w:tab/>
          </w:r>
          <w:r>
            <w:fldChar w:fldCharType="begin"/>
          </w:r>
          <w:r>
            <w:instrText xml:space="preserve"> PAGEREF _Toc29825 \h </w:instrText>
          </w:r>
          <w:r>
            <w:fldChar w:fldCharType="separate"/>
          </w:r>
          <w:r>
            <w:t>10</w:t>
          </w:r>
          <w:r>
            <w:fldChar w:fldCharType="end"/>
          </w:r>
          <w:r>
            <w:rPr>
              <w:rFonts w:hint="eastAsia" w:ascii="宋体" w:hAnsi="宋体" w:eastAsia="宋体" w:cs="宋体"/>
              <w:color w:val="000000" w:themeColor="text1"/>
              <w14:textFill>
                <w14:solidFill>
                  <w14:schemeClr w14:val="tx1"/>
                </w14:solidFill>
              </w14:textFill>
            </w:rPr>
            <w:fldChar w:fldCharType="end"/>
          </w:r>
        </w:p>
        <w:p w14:paraId="3B2DDB6B">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_Toc7844 </w:instrText>
          </w:r>
          <w:r>
            <w:rPr>
              <w:rFonts w:hint="eastAsia" w:ascii="宋体" w:hAnsi="宋体" w:eastAsia="宋体" w:cs="宋体"/>
            </w:rPr>
            <w:fldChar w:fldCharType="separate"/>
          </w:r>
          <w:r>
            <w:rPr>
              <w:rFonts w:hint="eastAsia" w:ascii="宋体" w:hAnsi="宋体" w:eastAsia="宋体" w:cs="宋体"/>
            </w:rPr>
            <w:t>2.2.1项目简介</w:t>
          </w:r>
          <w:r>
            <w:tab/>
          </w:r>
          <w:r>
            <w:fldChar w:fldCharType="begin"/>
          </w:r>
          <w:r>
            <w:instrText xml:space="preserve"> PAGEREF _Toc7844 \h </w:instrText>
          </w:r>
          <w:r>
            <w:fldChar w:fldCharType="separate"/>
          </w:r>
          <w:r>
            <w:t>10</w:t>
          </w:r>
          <w:r>
            <w:fldChar w:fldCharType="end"/>
          </w:r>
          <w:r>
            <w:rPr>
              <w:rFonts w:hint="eastAsia" w:ascii="宋体" w:hAnsi="宋体" w:eastAsia="宋体" w:cs="宋体"/>
              <w:color w:val="000000" w:themeColor="text1"/>
              <w14:textFill>
                <w14:solidFill>
                  <w14:schemeClr w14:val="tx1"/>
                </w14:solidFill>
              </w14:textFill>
            </w:rPr>
            <w:fldChar w:fldCharType="end"/>
          </w:r>
        </w:p>
        <w:p w14:paraId="30A8F452">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_Toc5464 </w:instrText>
          </w:r>
          <w:r>
            <w:rPr>
              <w:rFonts w:hint="eastAsia" w:ascii="宋体" w:hAnsi="宋体" w:eastAsia="宋体" w:cs="宋体"/>
            </w:rPr>
            <w:fldChar w:fldCharType="separate"/>
          </w:r>
          <w:r>
            <w:rPr>
              <w:rFonts w:hint="eastAsia" w:ascii="宋体" w:hAnsi="宋体" w:eastAsia="宋体" w:cs="宋体"/>
            </w:rPr>
            <w:t>2.2.</w:t>
          </w:r>
          <w:r>
            <w:rPr>
              <w:rFonts w:hint="eastAsia" w:ascii="宋体" w:hAnsi="宋体" w:eastAsia="宋体" w:cs="宋体"/>
              <w:lang w:val="en-US" w:eastAsia="zh-CN"/>
            </w:rPr>
            <w:t xml:space="preserve">2 </w:t>
          </w:r>
          <w:r>
            <w:rPr>
              <w:rFonts w:hint="eastAsia" w:ascii="宋体" w:hAnsi="宋体" w:eastAsia="宋体" w:cs="宋体"/>
            </w:rPr>
            <w:t>项目地理位置</w:t>
          </w:r>
          <w:r>
            <w:tab/>
          </w:r>
          <w:r>
            <w:fldChar w:fldCharType="begin"/>
          </w:r>
          <w:r>
            <w:instrText xml:space="preserve"> PAGEREF _Toc5464 \h </w:instrText>
          </w:r>
          <w:r>
            <w:fldChar w:fldCharType="separate"/>
          </w:r>
          <w:r>
            <w:t>10</w:t>
          </w:r>
          <w:r>
            <w:fldChar w:fldCharType="end"/>
          </w:r>
          <w:r>
            <w:rPr>
              <w:rFonts w:hint="eastAsia" w:ascii="宋体" w:hAnsi="宋体" w:eastAsia="宋体" w:cs="宋体"/>
              <w:color w:val="000000" w:themeColor="text1"/>
              <w14:textFill>
                <w14:solidFill>
                  <w14:schemeClr w14:val="tx1"/>
                </w14:solidFill>
              </w14:textFill>
            </w:rPr>
            <w:fldChar w:fldCharType="end"/>
          </w:r>
        </w:p>
        <w:p w14:paraId="4FD4A2C6">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_Toc24917 </w:instrText>
          </w:r>
          <w:r>
            <w:rPr>
              <w:rFonts w:hint="eastAsia" w:ascii="宋体" w:hAnsi="宋体" w:eastAsia="宋体" w:cs="宋体"/>
            </w:rPr>
            <w:fldChar w:fldCharType="separate"/>
          </w:r>
          <w:r>
            <w:rPr>
              <w:rFonts w:hint="eastAsia" w:ascii="宋体" w:hAnsi="宋体" w:eastAsia="宋体" w:cs="宋体"/>
            </w:rPr>
            <w:t>2.2.</w:t>
          </w:r>
          <w:r>
            <w:rPr>
              <w:rFonts w:hint="eastAsia" w:ascii="宋体" w:hAnsi="宋体" w:eastAsia="宋体" w:cs="宋体"/>
              <w:lang w:val="en-US" w:eastAsia="zh-CN"/>
            </w:rPr>
            <w:t xml:space="preserve">3 </w:t>
          </w:r>
          <w:r>
            <w:rPr>
              <w:rFonts w:hint="eastAsia" w:ascii="宋体" w:hAnsi="宋体" w:eastAsia="宋体" w:cs="宋体"/>
              <w:highlight w:val="none"/>
            </w:rPr>
            <w:t>项目周边情况</w:t>
          </w:r>
          <w:r>
            <w:tab/>
          </w:r>
          <w:r>
            <w:fldChar w:fldCharType="begin"/>
          </w:r>
          <w:r>
            <w:instrText xml:space="preserve"> PAGEREF _Toc24917 \h </w:instrText>
          </w:r>
          <w:r>
            <w:fldChar w:fldCharType="separate"/>
          </w:r>
          <w:r>
            <w:t>11</w:t>
          </w:r>
          <w:r>
            <w:fldChar w:fldCharType="end"/>
          </w:r>
          <w:r>
            <w:rPr>
              <w:rFonts w:hint="eastAsia" w:ascii="宋体" w:hAnsi="宋体" w:eastAsia="宋体" w:cs="宋体"/>
              <w:color w:val="000000" w:themeColor="text1"/>
              <w14:textFill>
                <w14:solidFill>
                  <w14:schemeClr w14:val="tx1"/>
                </w14:solidFill>
              </w14:textFill>
            </w:rPr>
            <w:fldChar w:fldCharType="end"/>
          </w:r>
        </w:p>
        <w:p w14:paraId="23112F66">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_Toc32452 </w:instrText>
          </w:r>
          <w:r>
            <w:rPr>
              <w:rFonts w:hint="eastAsia" w:ascii="宋体" w:hAnsi="宋体" w:eastAsia="宋体" w:cs="宋体"/>
            </w:rPr>
            <w:fldChar w:fldCharType="separate"/>
          </w:r>
          <w:r>
            <w:rPr>
              <w:rFonts w:hint="eastAsia" w:ascii="宋体" w:hAnsi="宋体" w:eastAsia="宋体" w:cs="宋体"/>
            </w:rPr>
            <w:t>2.2.</w:t>
          </w:r>
          <w:r>
            <w:rPr>
              <w:rFonts w:hint="eastAsia" w:ascii="宋体" w:hAnsi="宋体" w:eastAsia="宋体" w:cs="宋体"/>
              <w:lang w:val="en-US" w:eastAsia="zh-CN"/>
            </w:rPr>
            <w:t>4</w:t>
          </w:r>
          <w:r>
            <w:rPr>
              <w:rFonts w:hint="eastAsia" w:ascii="宋体" w:hAnsi="宋体" w:eastAsia="宋体" w:cs="宋体"/>
            </w:rPr>
            <w:t>气象条件</w:t>
          </w:r>
          <w:r>
            <w:tab/>
          </w:r>
          <w:r>
            <w:fldChar w:fldCharType="begin"/>
          </w:r>
          <w:r>
            <w:instrText xml:space="preserve"> PAGEREF _Toc32452 \h </w:instrText>
          </w:r>
          <w:r>
            <w:fldChar w:fldCharType="separate"/>
          </w:r>
          <w:r>
            <w:t>13</w:t>
          </w:r>
          <w:r>
            <w:fldChar w:fldCharType="end"/>
          </w:r>
          <w:r>
            <w:rPr>
              <w:rFonts w:hint="eastAsia" w:ascii="宋体" w:hAnsi="宋体" w:eastAsia="宋体" w:cs="宋体"/>
              <w:color w:val="000000" w:themeColor="text1"/>
              <w14:textFill>
                <w14:solidFill>
                  <w14:schemeClr w14:val="tx1"/>
                </w14:solidFill>
              </w14:textFill>
            </w:rPr>
            <w:fldChar w:fldCharType="end"/>
          </w:r>
        </w:p>
        <w:p w14:paraId="186C844A">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_Toc11571 </w:instrText>
          </w:r>
          <w:r>
            <w:rPr>
              <w:rFonts w:hint="eastAsia" w:ascii="宋体" w:hAnsi="宋体" w:eastAsia="宋体" w:cs="宋体"/>
            </w:rPr>
            <w:fldChar w:fldCharType="separate"/>
          </w:r>
          <w:r>
            <w:rPr>
              <w:rFonts w:hint="eastAsia" w:ascii="宋体" w:hAnsi="宋体" w:eastAsia="宋体" w:cs="宋体"/>
            </w:rPr>
            <w:t>2.2.</w:t>
          </w:r>
          <w:r>
            <w:rPr>
              <w:rFonts w:hint="eastAsia" w:ascii="宋体" w:hAnsi="宋体" w:eastAsia="宋体" w:cs="宋体"/>
              <w:lang w:val="en-US" w:eastAsia="zh-CN"/>
            </w:rPr>
            <w:t xml:space="preserve">5 </w:t>
          </w:r>
          <w:r>
            <w:rPr>
              <w:rFonts w:hint="eastAsia" w:ascii="宋体" w:hAnsi="宋体" w:eastAsia="宋体" w:cs="宋体"/>
            </w:rPr>
            <w:t>地质条件</w:t>
          </w:r>
          <w:r>
            <w:tab/>
          </w:r>
          <w:r>
            <w:fldChar w:fldCharType="begin"/>
          </w:r>
          <w:r>
            <w:instrText xml:space="preserve"> PAGEREF _Toc11571 \h </w:instrText>
          </w:r>
          <w:r>
            <w:fldChar w:fldCharType="separate"/>
          </w:r>
          <w:r>
            <w:t>14</w:t>
          </w:r>
          <w:r>
            <w:fldChar w:fldCharType="end"/>
          </w:r>
          <w:r>
            <w:rPr>
              <w:rFonts w:hint="eastAsia" w:ascii="宋体" w:hAnsi="宋体" w:eastAsia="宋体" w:cs="宋体"/>
              <w:color w:val="000000" w:themeColor="text1"/>
              <w14:textFill>
                <w14:solidFill>
                  <w14:schemeClr w14:val="tx1"/>
                </w14:solidFill>
              </w14:textFill>
            </w:rPr>
            <w:fldChar w:fldCharType="end"/>
          </w:r>
        </w:p>
        <w:p w14:paraId="7761FA92">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_Toc11484 </w:instrText>
          </w:r>
          <w:r>
            <w:rPr>
              <w:rFonts w:hint="eastAsia" w:ascii="宋体" w:hAnsi="宋体" w:eastAsia="宋体" w:cs="宋体"/>
            </w:rPr>
            <w:fldChar w:fldCharType="separate"/>
          </w:r>
          <w:r>
            <w:rPr>
              <w:rFonts w:hint="eastAsia" w:ascii="宋体" w:hAnsi="宋体" w:eastAsia="宋体" w:cs="宋体"/>
            </w:rPr>
            <w:t>2.3</w:t>
          </w:r>
          <w:r>
            <w:rPr>
              <w:rFonts w:hint="eastAsia" w:ascii="宋体" w:hAnsi="宋体" w:eastAsia="宋体" w:cs="宋体"/>
              <w:lang w:val="en-US" w:eastAsia="zh-CN"/>
            </w:rPr>
            <w:t xml:space="preserve"> </w:t>
          </w:r>
          <w:r>
            <w:rPr>
              <w:rFonts w:hint="eastAsia" w:ascii="宋体" w:hAnsi="宋体" w:eastAsia="宋体" w:cs="宋体"/>
            </w:rPr>
            <w:t>总图布置</w:t>
          </w:r>
          <w:r>
            <w:tab/>
          </w:r>
          <w:r>
            <w:fldChar w:fldCharType="begin"/>
          </w:r>
          <w:r>
            <w:instrText xml:space="preserve"> PAGEREF _Toc11484 \h </w:instrText>
          </w:r>
          <w:r>
            <w:fldChar w:fldCharType="separate"/>
          </w:r>
          <w:r>
            <w:t>15</w:t>
          </w:r>
          <w:r>
            <w:fldChar w:fldCharType="end"/>
          </w:r>
          <w:r>
            <w:rPr>
              <w:rFonts w:hint="eastAsia" w:ascii="宋体" w:hAnsi="宋体" w:eastAsia="宋体" w:cs="宋体"/>
              <w:color w:val="000000" w:themeColor="text1"/>
              <w14:textFill>
                <w14:solidFill>
                  <w14:schemeClr w14:val="tx1"/>
                </w14:solidFill>
              </w14:textFill>
            </w:rPr>
            <w:fldChar w:fldCharType="end"/>
          </w:r>
        </w:p>
        <w:p w14:paraId="737228D5">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_Toc28529 </w:instrText>
          </w:r>
          <w:r>
            <w:rPr>
              <w:rFonts w:hint="eastAsia" w:ascii="宋体" w:hAnsi="宋体" w:eastAsia="宋体" w:cs="宋体"/>
            </w:rPr>
            <w:fldChar w:fldCharType="separate"/>
          </w:r>
          <w:r>
            <w:rPr>
              <w:rFonts w:hint="eastAsia" w:ascii="宋体" w:hAnsi="宋体" w:eastAsia="宋体" w:cs="宋体"/>
            </w:rPr>
            <w:t>2.3.1</w:t>
          </w:r>
          <w:r>
            <w:rPr>
              <w:rFonts w:hint="eastAsia" w:ascii="宋体" w:hAnsi="宋体" w:eastAsia="宋体" w:cs="宋体"/>
              <w:lang w:val="en-US" w:eastAsia="zh-CN"/>
            </w:rPr>
            <w:t xml:space="preserve"> </w:t>
          </w:r>
          <w:r>
            <w:rPr>
              <w:rFonts w:hint="eastAsia" w:ascii="宋体" w:hAnsi="宋体" w:eastAsia="宋体" w:cs="宋体"/>
            </w:rPr>
            <w:t>总平面布置</w:t>
          </w:r>
          <w:r>
            <w:tab/>
          </w:r>
          <w:r>
            <w:fldChar w:fldCharType="begin"/>
          </w:r>
          <w:r>
            <w:instrText xml:space="preserve"> PAGEREF _Toc28529 \h </w:instrText>
          </w:r>
          <w:r>
            <w:fldChar w:fldCharType="separate"/>
          </w:r>
          <w:r>
            <w:t>15</w:t>
          </w:r>
          <w:r>
            <w:fldChar w:fldCharType="end"/>
          </w:r>
          <w:r>
            <w:rPr>
              <w:rFonts w:hint="eastAsia" w:ascii="宋体" w:hAnsi="宋体" w:eastAsia="宋体" w:cs="宋体"/>
              <w:color w:val="000000" w:themeColor="text1"/>
              <w14:textFill>
                <w14:solidFill>
                  <w14:schemeClr w14:val="tx1"/>
                </w14:solidFill>
              </w14:textFill>
            </w:rPr>
            <w:fldChar w:fldCharType="end"/>
          </w:r>
        </w:p>
        <w:p w14:paraId="0E2FFB3B">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_Toc31670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val="en-US" w:eastAsia="zh-CN"/>
            </w:rPr>
            <w:t>3</w:t>
          </w:r>
          <w:r>
            <w:rPr>
              <w:rFonts w:hint="eastAsia" w:ascii="宋体" w:hAnsi="宋体" w:eastAsia="宋体" w:cs="宋体"/>
            </w:rPr>
            <w:t>.</w:t>
          </w:r>
          <w:r>
            <w:rPr>
              <w:rFonts w:hint="eastAsia" w:ascii="宋体" w:hAnsi="宋体" w:eastAsia="宋体" w:cs="宋体"/>
              <w:lang w:val="en-US" w:eastAsia="zh-CN"/>
            </w:rPr>
            <w:t>2</w:t>
          </w:r>
          <w:r>
            <w:rPr>
              <w:rFonts w:hint="eastAsia" w:ascii="宋体" w:hAnsi="宋体" w:eastAsia="宋体" w:cs="宋体"/>
            </w:rPr>
            <w:t xml:space="preserve"> 主要建（构）筑物防火间距</w:t>
          </w:r>
          <w:r>
            <w:tab/>
          </w:r>
          <w:r>
            <w:fldChar w:fldCharType="begin"/>
          </w:r>
          <w:r>
            <w:instrText xml:space="preserve"> PAGEREF _Toc31670 \h </w:instrText>
          </w:r>
          <w:r>
            <w:fldChar w:fldCharType="separate"/>
          </w:r>
          <w:r>
            <w:t>16</w:t>
          </w:r>
          <w:r>
            <w:fldChar w:fldCharType="end"/>
          </w:r>
          <w:r>
            <w:rPr>
              <w:rFonts w:hint="eastAsia" w:ascii="宋体" w:hAnsi="宋体" w:eastAsia="宋体" w:cs="宋体"/>
              <w:color w:val="000000" w:themeColor="text1"/>
              <w14:textFill>
                <w14:solidFill>
                  <w14:schemeClr w14:val="tx1"/>
                </w14:solidFill>
              </w14:textFill>
            </w:rPr>
            <w:fldChar w:fldCharType="end"/>
          </w:r>
        </w:p>
        <w:p w14:paraId="1975F11C">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_Toc20682 </w:instrText>
          </w:r>
          <w:r>
            <w:rPr>
              <w:rFonts w:hint="eastAsia" w:ascii="宋体" w:hAnsi="宋体" w:eastAsia="宋体" w:cs="宋体"/>
            </w:rPr>
            <w:fldChar w:fldCharType="separate"/>
          </w:r>
          <w:r>
            <w:rPr>
              <w:rFonts w:hint="eastAsia" w:ascii="宋体" w:hAnsi="宋体" w:eastAsia="宋体" w:cs="宋体"/>
            </w:rPr>
            <w:t>2.3.</w:t>
          </w:r>
          <w:r>
            <w:rPr>
              <w:rFonts w:hint="eastAsia" w:ascii="宋体" w:hAnsi="宋体" w:eastAsia="宋体" w:cs="宋体"/>
              <w:lang w:val="en-US" w:eastAsia="zh-CN"/>
            </w:rPr>
            <w:t xml:space="preserve">3 </w:t>
          </w:r>
          <w:r>
            <w:rPr>
              <w:rFonts w:hint="eastAsia" w:ascii="宋体" w:hAnsi="宋体" w:eastAsia="宋体" w:cs="宋体"/>
            </w:rPr>
            <w:t>厂内运输</w:t>
          </w:r>
          <w:r>
            <w:tab/>
          </w:r>
          <w:r>
            <w:fldChar w:fldCharType="begin"/>
          </w:r>
          <w:r>
            <w:instrText xml:space="preserve"> PAGEREF _Toc20682 \h </w:instrText>
          </w:r>
          <w:r>
            <w:fldChar w:fldCharType="separate"/>
          </w:r>
          <w:r>
            <w:t>17</w:t>
          </w:r>
          <w:r>
            <w:fldChar w:fldCharType="end"/>
          </w:r>
          <w:r>
            <w:rPr>
              <w:rFonts w:hint="eastAsia" w:ascii="宋体" w:hAnsi="宋体" w:eastAsia="宋体" w:cs="宋体"/>
              <w:color w:val="000000" w:themeColor="text1"/>
              <w14:textFill>
                <w14:solidFill>
                  <w14:schemeClr w14:val="tx1"/>
                </w14:solidFill>
              </w14:textFill>
            </w:rPr>
            <w:fldChar w:fldCharType="end"/>
          </w:r>
        </w:p>
        <w:p w14:paraId="36975471">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_Toc16920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val="en-US" w:eastAsia="zh-CN"/>
            </w:rPr>
            <w:t>3</w:t>
          </w:r>
          <w:r>
            <w:rPr>
              <w:rFonts w:hint="eastAsia" w:ascii="宋体" w:hAnsi="宋体" w:eastAsia="宋体" w:cs="宋体"/>
            </w:rPr>
            <w:t>.</w:t>
          </w:r>
          <w:r>
            <w:rPr>
              <w:rFonts w:hint="eastAsia" w:ascii="宋体" w:hAnsi="宋体" w:eastAsia="宋体" w:cs="宋体"/>
              <w:lang w:val="en-US" w:eastAsia="zh-CN"/>
            </w:rPr>
            <w:t>4</w:t>
          </w:r>
          <w:r>
            <w:rPr>
              <w:rFonts w:hint="eastAsia" w:ascii="宋体" w:hAnsi="宋体" w:eastAsia="宋体" w:cs="宋体"/>
            </w:rPr>
            <w:t>厂外运输</w:t>
          </w:r>
          <w:r>
            <w:tab/>
          </w:r>
          <w:r>
            <w:fldChar w:fldCharType="begin"/>
          </w:r>
          <w:r>
            <w:instrText xml:space="preserve"> PAGEREF _Toc16920 \h </w:instrText>
          </w:r>
          <w:r>
            <w:fldChar w:fldCharType="separate"/>
          </w:r>
          <w:r>
            <w:t>17</w:t>
          </w:r>
          <w:r>
            <w:fldChar w:fldCharType="end"/>
          </w:r>
          <w:r>
            <w:rPr>
              <w:rFonts w:hint="eastAsia" w:ascii="宋体" w:hAnsi="宋体" w:eastAsia="宋体" w:cs="宋体"/>
              <w:color w:val="000000" w:themeColor="text1"/>
              <w14:textFill>
                <w14:solidFill>
                  <w14:schemeClr w14:val="tx1"/>
                </w14:solidFill>
              </w14:textFill>
            </w:rPr>
            <w:fldChar w:fldCharType="end"/>
          </w:r>
        </w:p>
        <w:p w14:paraId="0ECEF626">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_Toc5774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lang w:val="en-US" w:eastAsia="zh-CN"/>
            </w:rPr>
            <w:t xml:space="preserve"> </w:t>
          </w:r>
          <w:r>
            <w:rPr>
              <w:rFonts w:hint="eastAsia" w:ascii="宋体" w:hAnsi="宋体" w:eastAsia="宋体" w:cs="宋体"/>
            </w:rPr>
            <w:t>生产工艺</w:t>
          </w:r>
          <w:r>
            <w:tab/>
          </w:r>
          <w:r>
            <w:fldChar w:fldCharType="begin"/>
          </w:r>
          <w:r>
            <w:instrText xml:space="preserve"> PAGEREF _Toc5774 \h </w:instrText>
          </w:r>
          <w:r>
            <w:fldChar w:fldCharType="separate"/>
          </w:r>
          <w:r>
            <w:t>17</w:t>
          </w:r>
          <w:r>
            <w:fldChar w:fldCharType="end"/>
          </w:r>
          <w:r>
            <w:rPr>
              <w:rFonts w:hint="eastAsia" w:ascii="宋体" w:hAnsi="宋体" w:eastAsia="宋体" w:cs="宋体"/>
              <w:color w:val="000000" w:themeColor="text1"/>
              <w14:textFill>
                <w14:solidFill>
                  <w14:schemeClr w14:val="tx1"/>
                </w14:solidFill>
              </w14:textFill>
            </w:rPr>
            <w:fldChar w:fldCharType="end"/>
          </w:r>
        </w:p>
        <w:p w14:paraId="4B4A7D7D">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_Toc27916 </w:instrText>
          </w:r>
          <w:r>
            <w:rPr>
              <w:rFonts w:hint="eastAsia" w:ascii="宋体" w:hAnsi="宋体" w:eastAsia="宋体" w:cs="宋体"/>
            </w:rPr>
            <w:fldChar w:fldCharType="separate"/>
          </w:r>
          <w:r>
            <w:rPr>
              <w:rFonts w:hint="eastAsia" w:ascii="宋体" w:hAnsi="宋体" w:eastAsia="宋体" w:cs="宋体"/>
            </w:rPr>
            <w:t>2.4.1</w:t>
          </w:r>
          <w:r>
            <w:rPr>
              <w:rFonts w:hint="eastAsia" w:ascii="宋体" w:hAnsi="宋体" w:eastAsia="宋体" w:cs="宋体"/>
              <w:lang w:val="en-US" w:eastAsia="zh-CN"/>
            </w:rPr>
            <w:t xml:space="preserve"> </w:t>
          </w:r>
          <w:r>
            <w:rPr>
              <w:rFonts w:hint="eastAsia" w:ascii="宋体" w:hAnsi="宋体" w:eastAsia="宋体" w:cs="宋体"/>
            </w:rPr>
            <w:t>产品</w:t>
          </w:r>
          <w:r>
            <w:tab/>
          </w:r>
          <w:r>
            <w:fldChar w:fldCharType="begin"/>
          </w:r>
          <w:r>
            <w:instrText xml:space="preserve"> PAGEREF _Toc27916 \h </w:instrText>
          </w:r>
          <w:r>
            <w:fldChar w:fldCharType="separate"/>
          </w:r>
          <w:r>
            <w:t>17</w:t>
          </w:r>
          <w:r>
            <w:fldChar w:fldCharType="end"/>
          </w:r>
          <w:r>
            <w:rPr>
              <w:rFonts w:hint="eastAsia" w:ascii="宋体" w:hAnsi="宋体" w:eastAsia="宋体" w:cs="宋体"/>
              <w:color w:val="000000" w:themeColor="text1"/>
              <w14:textFill>
                <w14:solidFill>
                  <w14:schemeClr w14:val="tx1"/>
                </w14:solidFill>
              </w14:textFill>
            </w:rPr>
            <w:fldChar w:fldCharType="end"/>
          </w:r>
        </w:p>
        <w:p w14:paraId="2570187D">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_Toc14895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lang w:val="en-US" w:eastAsia="zh-CN"/>
            </w:rPr>
            <w:t xml:space="preserve">2 </w:t>
          </w:r>
          <w:r>
            <w:rPr>
              <w:rFonts w:hint="eastAsia" w:ascii="宋体" w:hAnsi="宋体" w:eastAsia="宋体" w:cs="宋体"/>
            </w:rPr>
            <w:t>生产工艺简述</w:t>
          </w:r>
          <w:r>
            <w:tab/>
          </w:r>
          <w:r>
            <w:fldChar w:fldCharType="begin"/>
          </w:r>
          <w:r>
            <w:instrText xml:space="preserve"> PAGEREF _Toc14895 \h </w:instrText>
          </w:r>
          <w:r>
            <w:fldChar w:fldCharType="separate"/>
          </w:r>
          <w:r>
            <w:t>17</w:t>
          </w:r>
          <w:r>
            <w:fldChar w:fldCharType="end"/>
          </w:r>
          <w:r>
            <w:rPr>
              <w:rFonts w:hint="eastAsia" w:ascii="宋体" w:hAnsi="宋体" w:eastAsia="宋体" w:cs="宋体"/>
              <w:color w:val="000000" w:themeColor="text1"/>
              <w14:textFill>
                <w14:solidFill>
                  <w14:schemeClr w14:val="tx1"/>
                </w14:solidFill>
              </w14:textFill>
            </w:rPr>
            <w:fldChar w:fldCharType="end"/>
          </w:r>
        </w:p>
        <w:p w14:paraId="28D10EE3">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_Toc14691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lang w:val="en-US" w:eastAsia="zh-CN"/>
            </w:rPr>
            <w:t xml:space="preserve">3 </w:t>
          </w:r>
          <w:r>
            <w:rPr>
              <w:rFonts w:hint="eastAsia" w:ascii="宋体" w:hAnsi="宋体" w:eastAsia="宋体" w:cs="宋体"/>
            </w:rPr>
            <w:t>主要生产设备</w:t>
          </w:r>
          <w:r>
            <w:tab/>
          </w:r>
          <w:r>
            <w:fldChar w:fldCharType="begin"/>
          </w:r>
          <w:r>
            <w:instrText xml:space="preserve"> PAGEREF _Toc14691 \h </w:instrText>
          </w:r>
          <w:r>
            <w:fldChar w:fldCharType="separate"/>
          </w:r>
          <w:r>
            <w:t>19</w:t>
          </w:r>
          <w:r>
            <w:fldChar w:fldCharType="end"/>
          </w:r>
          <w:r>
            <w:rPr>
              <w:rFonts w:hint="eastAsia" w:ascii="宋体" w:hAnsi="宋体" w:eastAsia="宋体" w:cs="宋体"/>
              <w:color w:val="000000" w:themeColor="text1"/>
              <w14:textFill>
                <w14:solidFill>
                  <w14:schemeClr w14:val="tx1"/>
                </w14:solidFill>
              </w14:textFill>
            </w:rPr>
            <w:fldChar w:fldCharType="end"/>
          </w:r>
        </w:p>
        <w:p w14:paraId="6A8E975A">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_Toc16030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lang w:val="en-US" w:eastAsia="zh-CN"/>
            </w:rPr>
            <w:t xml:space="preserve"> </w:t>
          </w:r>
          <w:r>
            <w:rPr>
              <w:rFonts w:hint="eastAsia" w:ascii="宋体" w:hAnsi="宋体" w:eastAsia="宋体" w:cs="宋体"/>
            </w:rPr>
            <w:t>公用工程及辅助工程</w:t>
          </w:r>
          <w:r>
            <w:tab/>
          </w:r>
          <w:r>
            <w:fldChar w:fldCharType="begin"/>
          </w:r>
          <w:r>
            <w:instrText xml:space="preserve"> PAGEREF _Toc16030 \h </w:instrText>
          </w:r>
          <w:r>
            <w:fldChar w:fldCharType="separate"/>
          </w:r>
          <w:r>
            <w:t>19</w:t>
          </w:r>
          <w:r>
            <w:fldChar w:fldCharType="end"/>
          </w:r>
          <w:r>
            <w:rPr>
              <w:rFonts w:hint="eastAsia" w:ascii="宋体" w:hAnsi="宋体" w:eastAsia="宋体" w:cs="宋体"/>
              <w:color w:val="000000" w:themeColor="text1"/>
              <w14:textFill>
                <w14:solidFill>
                  <w14:schemeClr w14:val="tx1"/>
                </w14:solidFill>
              </w14:textFill>
            </w:rPr>
            <w:fldChar w:fldCharType="end"/>
          </w:r>
        </w:p>
        <w:p w14:paraId="6279A6FC">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_Toc16987 </w:instrText>
          </w:r>
          <w:r>
            <w:rPr>
              <w:rFonts w:hint="eastAsia" w:ascii="宋体" w:hAnsi="宋体" w:eastAsia="宋体" w:cs="宋体"/>
            </w:rPr>
            <w:fldChar w:fldCharType="separate"/>
          </w:r>
          <w:r>
            <w:rPr>
              <w:rFonts w:hint="eastAsia" w:ascii="宋体" w:hAnsi="宋体" w:eastAsia="宋体" w:cs="宋体"/>
            </w:rPr>
            <w:t>2.5.1</w:t>
          </w:r>
          <w:r>
            <w:rPr>
              <w:rFonts w:hint="eastAsia" w:ascii="宋体" w:hAnsi="宋体" w:eastAsia="宋体" w:cs="宋体"/>
              <w:lang w:val="en-US" w:eastAsia="zh-CN"/>
            </w:rPr>
            <w:t xml:space="preserve"> </w:t>
          </w:r>
          <w:r>
            <w:rPr>
              <w:rFonts w:hint="eastAsia" w:ascii="宋体" w:hAnsi="宋体" w:eastAsia="宋体" w:cs="宋体"/>
            </w:rPr>
            <w:t>给排水</w:t>
          </w:r>
          <w:r>
            <w:tab/>
          </w:r>
          <w:r>
            <w:fldChar w:fldCharType="begin"/>
          </w:r>
          <w:r>
            <w:instrText xml:space="preserve"> PAGEREF _Toc16987 \h </w:instrText>
          </w:r>
          <w:r>
            <w:fldChar w:fldCharType="separate"/>
          </w:r>
          <w:r>
            <w:t>19</w:t>
          </w:r>
          <w:r>
            <w:fldChar w:fldCharType="end"/>
          </w:r>
          <w:r>
            <w:rPr>
              <w:rFonts w:hint="eastAsia" w:ascii="宋体" w:hAnsi="宋体" w:eastAsia="宋体" w:cs="宋体"/>
              <w:color w:val="000000" w:themeColor="text1"/>
              <w14:textFill>
                <w14:solidFill>
                  <w14:schemeClr w14:val="tx1"/>
                </w14:solidFill>
              </w14:textFill>
            </w:rPr>
            <w:fldChar w:fldCharType="end"/>
          </w:r>
        </w:p>
        <w:p w14:paraId="41A92E18">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_Toc26890 </w:instrText>
          </w:r>
          <w:r>
            <w:rPr>
              <w:rFonts w:hint="eastAsia" w:ascii="宋体" w:hAnsi="宋体" w:eastAsia="宋体" w:cs="宋体"/>
            </w:rPr>
            <w:fldChar w:fldCharType="separate"/>
          </w:r>
          <w:r>
            <w:rPr>
              <w:rFonts w:hint="eastAsia" w:ascii="宋体" w:hAnsi="宋体" w:eastAsia="宋体" w:cs="宋体"/>
            </w:rPr>
            <w:t>2.5.2</w:t>
          </w:r>
          <w:r>
            <w:rPr>
              <w:rFonts w:hint="eastAsia" w:ascii="宋体" w:hAnsi="宋体" w:eastAsia="宋体" w:cs="宋体"/>
              <w:lang w:val="en-US" w:eastAsia="zh-CN"/>
            </w:rPr>
            <w:t xml:space="preserve"> </w:t>
          </w:r>
          <w:r>
            <w:rPr>
              <w:rFonts w:hint="eastAsia" w:ascii="宋体" w:hAnsi="宋体" w:eastAsia="宋体" w:cs="宋体"/>
            </w:rPr>
            <w:t>供配电</w:t>
          </w:r>
          <w:r>
            <w:tab/>
          </w:r>
          <w:r>
            <w:fldChar w:fldCharType="begin"/>
          </w:r>
          <w:r>
            <w:instrText xml:space="preserve"> PAGEREF _Toc26890 \h </w:instrText>
          </w:r>
          <w:r>
            <w:fldChar w:fldCharType="separate"/>
          </w:r>
          <w:r>
            <w:t>20</w:t>
          </w:r>
          <w:r>
            <w:fldChar w:fldCharType="end"/>
          </w:r>
          <w:r>
            <w:rPr>
              <w:rFonts w:hint="eastAsia" w:ascii="宋体" w:hAnsi="宋体" w:eastAsia="宋体" w:cs="宋体"/>
              <w:color w:val="000000" w:themeColor="text1"/>
              <w14:textFill>
                <w14:solidFill>
                  <w14:schemeClr w14:val="tx1"/>
                </w14:solidFill>
              </w14:textFill>
            </w:rPr>
            <w:fldChar w:fldCharType="end"/>
          </w:r>
        </w:p>
        <w:p w14:paraId="575900A3">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_Toc23221 </w:instrText>
          </w:r>
          <w:r>
            <w:rPr>
              <w:rFonts w:hint="eastAsia" w:ascii="宋体" w:hAnsi="宋体" w:eastAsia="宋体" w:cs="宋体"/>
            </w:rPr>
            <w:fldChar w:fldCharType="separate"/>
          </w:r>
          <w:r>
            <w:rPr>
              <w:rFonts w:hint="eastAsia" w:ascii="宋体" w:hAnsi="宋体" w:eastAsia="宋体" w:cs="宋体"/>
            </w:rPr>
            <w:t>2.5.3</w:t>
          </w:r>
          <w:r>
            <w:rPr>
              <w:rFonts w:hint="eastAsia" w:ascii="宋体" w:hAnsi="宋体" w:eastAsia="宋体" w:cs="宋体"/>
              <w:lang w:val="en-US" w:eastAsia="zh-CN"/>
            </w:rPr>
            <w:t xml:space="preserve"> </w:t>
          </w:r>
          <w:r>
            <w:rPr>
              <w:rFonts w:hint="eastAsia" w:ascii="宋体" w:hAnsi="宋体" w:eastAsia="宋体" w:cs="宋体"/>
            </w:rPr>
            <w:t>防雷防静电</w:t>
          </w:r>
          <w:r>
            <w:tab/>
          </w:r>
          <w:r>
            <w:fldChar w:fldCharType="begin"/>
          </w:r>
          <w:r>
            <w:instrText xml:space="preserve"> PAGEREF _Toc23221 \h </w:instrText>
          </w:r>
          <w:r>
            <w:fldChar w:fldCharType="separate"/>
          </w:r>
          <w:r>
            <w:t>20</w:t>
          </w:r>
          <w:r>
            <w:fldChar w:fldCharType="end"/>
          </w:r>
          <w:r>
            <w:rPr>
              <w:rFonts w:hint="eastAsia" w:ascii="宋体" w:hAnsi="宋体" w:eastAsia="宋体" w:cs="宋体"/>
              <w:color w:val="000000" w:themeColor="text1"/>
              <w14:textFill>
                <w14:solidFill>
                  <w14:schemeClr w14:val="tx1"/>
                </w14:solidFill>
              </w14:textFill>
            </w:rPr>
            <w:fldChar w:fldCharType="end"/>
          </w:r>
        </w:p>
        <w:p w14:paraId="6CCFFAB3">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_Toc8765 </w:instrText>
          </w:r>
          <w:r>
            <w:rPr>
              <w:rFonts w:hint="eastAsia" w:ascii="宋体" w:hAnsi="宋体" w:eastAsia="宋体" w:cs="宋体"/>
            </w:rPr>
            <w:fldChar w:fldCharType="separate"/>
          </w:r>
          <w:r>
            <w:rPr>
              <w:rFonts w:hint="eastAsia" w:ascii="宋体" w:hAnsi="宋体" w:eastAsia="宋体" w:cs="宋体"/>
            </w:rPr>
            <w:t>2.5.4</w:t>
          </w:r>
          <w:r>
            <w:rPr>
              <w:rFonts w:hint="eastAsia" w:ascii="宋体" w:hAnsi="宋体" w:eastAsia="宋体" w:cs="宋体"/>
              <w:lang w:val="en-US" w:eastAsia="zh-CN"/>
            </w:rPr>
            <w:t xml:space="preserve"> </w:t>
          </w:r>
          <w:r>
            <w:rPr>
              <w:rFonts w:hint="eastAsia" w:ascii="宋体" w:hAnsi="宋体" w:eastAsia="宋体" w:cs="宋体"/>
            </w:rPr>
            <w:t>消防</w:t>
          </w:r>
          <w:r>
            <w:tab/>
          </w:r>
          <w:r>
            <w:fldChar w:fldCharType="begin"/>
          </w:r>
          <w:r>
            <w:instrText xml:space="preserve"> PAGEREF _Toc8765 \h </w:instrText>
          </w:r>
          <w:r>
            <w:fldChar w:fldCharType="separate"/>
          </w:r>
          <w:r>
            <w:t>20</w:t>
          </w:r>
          <w:r>
            <w:fldChar w:fldCharType="end"/>
          </w:r>
          <w:r>
            <w:rPr>
              <w:rFonts w:hint="eastAsia" w:ascii="宋体" w:hAnsi="宋体" w:eastAsia="宋体" w:cs="宋体"/>
              <w:color w:val="000000" w:themeColor="text1"/>
              <w14:textFill>
                <w14:solidFill>
                  <w14:schemeClr w14:val="tx1"/>
                </w14:solidFill>
              </w14:textFill>
            </w:rPr>
            <w:fldChar w:fldCharType="end"/>
          </w:r>
        </w:p>
        <w:p w14:paraId="0747EE56">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_Toc19708 </w:instrText>
          </w:r>
          <w:r>
            <w:rPr>
              <w:rFonts w:hint="eastAsia" w:ascii="宋体" w:hAnsi="宋体" w:eastAsia="宋体" w:cs="宋体"/>
            </w:rPr>
            <w:fldChar w:fldCharType="separate"/>
          </w:r>
          <w:r>
            <w:rPr>
              <w:rFonts w:hint="eastAsia" w:ascii="宋体" w:hAnsi="宋体" w:eastAsia="宋体" w:cs="宋体"/>
              <w:lang w:val="en-US" w:eastAsia="zh-CN"/>
            </w:rPr>
            <w:t>2.5.5供气情况</w:t>
          </w:r>
          <w:r>
            <w:tab/>
          </w:r>
          <w:r>
            <w:fldChar w:fldCharType="begin"/>
          </w:r>
          <w:r>
            <w:instrText xml:space="preserve"> PAGEREF _Toc19708 \h </w:instrText>
          </w:r>
          <w:r>
            <w:fldChar w:fldCharType="separate"/>
          </w:r>
          <w:r>
            <w:t>21</w:t>
          </w:r>
          <w:r>
            <w:fldChar w:fldCharType="end"/>
          </w:r>
          <w:r>
            <w:rPr>
              <w:rFonts w:hint="eastAsia" w:ascii="宋体" w:hAnsi="宋体" w:eastAsia="宋体" w:cs="宋体"/>
              <w:color w:val="000000" w:themeColor="text1"/>
              <w14:textFill>
                <w14:solidFill>
                  <w14:schemeClr w14:val="tx1"/>
                </w14:solidFill>
              </w14:textFill>
            </w:rPr>
            <w:fldChar w:fldCharType="end"/>
          </w:r>
        </w:p>
        <w:p w14:paraId="19AEE9E4">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_Toc1008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lang w:val="en-US" w:eastAsia="zh-CN"/>
            </w:rPr>
            <w:t xml:space="preserve">6 </w:t>
          </w:r>
          <w:r>
            <w:rPr>
              <w:rFonts w:hint="eastAsia" w:ascii="宋体" w:hAnsi="宋体" w:eastAsia="宋体" w:cs="宋体"/>
            </w:rPr>
            <w:t>其他</w:t>
          </w:r>
          <w:r>
            <w:tab/>
          </w:r>
          <w:r>
            <w:fldChar w:fldCharType="begin"/>
          </w:r>
          <w:r>
            <w:instrText xml:space="preserve"> PAGEREF _Toc1008 \h </w:instrText>
          </w:r>
          <w:r>
            <w:fldChar w:fldCharType="separate"/>
          </w:r>
          <w:r>
            <w:t>21</w:t>
          </w:r>
          <w:r>
            <w:fldChar w:fldCharType="end"/>
          </w:r>
          <w:r>
            <w:rPr>
              <w:rFonts w:hint="eastAsia" w:ascii="宋体" w:hAnsi="宋体" w:eastAsia="宋体" w:cs="宋体"/>
              <w:color w:val="000000" w:themeColor="text1"/>
              <w14:textFill>
                <w14:solidFill>
                  <w14:schemeClr w14:val="tx1"/>
                </w14:solidFill>
              </w14:textFill>
            </w:rPr>
            <w:fldChar w:fldCharType="end"/>
          </w:r>
        </w:p>
        <w:p w14:paraId="3DCF9CB7">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_Toc18417 </w:instrText>
          </w:r>
          <w:r>
            <w:rPr>
              <w:rFonts w:hint="eastAsia" w:ascii="宋体" w:hAnsi="宋体" w:eastAsia="宋体" w:cs="宋体"/>
            </w:rPr>
            <w:fldChar w:fldCharType="separate"/>
          </w:r>
          <w:r>
            <w:rPr>
              <w:rFonts w:hint="eastAsia" w:ascii="宋体" w:hAnsi="宋体" w:eastAsia="宋体" w:cs="宋体"/>
              <w:lang w:val="en-US" w:eastAsia="zh-CN"/>
            </w:rPr>
            <w:t xml:space="preserve">2.6 </w:t>
          </w:r>
          <w:r>
            <w:rPr>
              <w:rFonts w:hint="eastAsia" w:ascii="宋体" w:hAnsi="宋体" w:eastAsia="宋体" w:cs="宋体"/>
            </w:rPr>
            <w:t>安全</w:t>
          </w:r>
          <w:r>
            <w:rPr>
              <w:rFonts w:hint="eastAsia" w:ascii="宋体" w:hAnsi="宋体" w:eastAsia="宋体" w:cs="宋体"/>
              <w:lang w:val="en-US" w:eastAsia="zh-CN"/>
            </w:rPr>
            <w:t>生产</w:t>
          </w:r>
          <w:r>
            <w:rPr>
              <w:rFonts w:hint="eastAsia" w:ascii="宋体" w:hAnsi="宋体" w:eastAsia="宋体" w:cs="宋体"/>
            </w:rPr>
            <w:t>管理</w:t>
          </w:r>
          <w:r>
            <w:rPr>
              <w:rFonts w:hint="eastAsia" w:ascii="宋体" w:hAnsi="宋体" w:eastAsia="宋体" w:cs="宋体"/>
              <w:lang w:val="en-US" w:eastAsia="zh-CN"/>
            </w:rPr>
            <w:t>情况</w:t>
          </w:r>
          <w:r>
            <w:tab/>
          </w:r>
          <w:r>
            <w:fldChar w:fldCharType="begin"/>
          </w:r>
          <w:r>
            <w:instrText xml:space="preserve"> PAGEREF _Toc18417 \h </w:instrText>
          </w:r>
          <w:r>
            <w:fldChar w:fldCharType="separate"/>
          </w:r>
          <w:r>
            <w:t>21</w:t>
          </w:r>
          <w:r>
            <w:fldChar w:fldCharType="end"/>
          </w:r>
          <w:r>
            <w:rPr>
              <w:rFonts w:hint="eastAsia" w:ascii="宋体" w:hAnsi="宋体" w:eastAsia="宋体" w:cs="宋体"/>
              <w:color w:val="000000" w:themeColor="text1"/>
              <w14:textFill>
                <w14:solidFill>
                  <w14:schemeClr w14:val="tx1"/>
                </w14:solidFill>
              </w14:textFill>
            </w:rPr>
            <w:fldChar w:fldCharType="end"/>
          </w:r>
        </w:p>
        <w:p w14:paraId="2AF1EF2F">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_Toc22020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val="en-US" w:eastAsia="zh-CN"/>
            </w:rPr>
            <w:t>6</w:t>
          </w:r>
          <w:r>
            <w:rPr>
              <w:rFonts w:hint="eastAsia" w:ascii="宋体" w:hAnsi="宋体" w:eastAsia="宋体" w:cs="宋体"/>
            </w:rPr>
            <w:t>.1</w:t>
          </w:r>
          <w:r>
            <w:rPr>
              <w:rFonts w:hint="eastAsia" w:ascii="宋体" w:hAnsi="宋体" w:eastAsia="宋体" w:cs="宋体"/>
              <w:lang w:val="en-US" w:eastAsia="zh-CN"/>
            </w:rPr>
            <w:t xml:space="preserve"> </w:t>
          </w:r>
          <w:r>
            <w:rPr>
              <w:rFonts w:hint="eastAsia" w:ascii="宋体" w:hAnsi="宋体" w:eastAsia="宋体" w:cs="宋体"/>
            </w:rPr>
            <w:t>工作制度</w:t>
          </w:r>
          <w:r>
            <w:rPr>
              <w:rFonts w:hint="eastAsia" w:ascii="宋体" w:hAnsi="宋体" w:eastAsia="宋体" w:cs="宋体"/>
              <w:lang w:eastAsia="zh-CN"/>
            </w:rPr>
            <w:t>、</w:t>
          </w:r>
          <w:r>
            <w:rPr>
              <w:rFonts w:hint="eastAsia" w:ascii="宋体" w:hAnsi="宋体" w:eastAsia="宋体" w:cs="宋体"/>
              <w:lang w:val="en-US" w:eastAsia="zh-CN"/>
            </w:rPr>
            <w:t>劳动定员</w:t>
          </w:r>
          <w:r>
            <w:tab/>
          </w:r>
          <w:r>
            <w:fldChar w:fldCharType="begin"/>
          </w:r>
          <w:r>
            <w:instrText xml:space="preserve"> PAGEREF _Toc22020 \h </w:instrText>
          </w:r>
          <w:r>
            <w:fldChar w:fldCharType="separate"/>
          </w:r>
          <w:r>
            <w:t>21</w:t>
          </w:r>
          <w:r>
            <w:fldChar w:fldCharType="end"/>
          </w:r>
          <w:r>
            <w:rPr>
              <w:rFonts w:hint="eastAsia" w:ascii="宋体" w:hAnsi="宋体" w:eastAsia="宋体" w:cs="宋体"/>
              <w:color w:val="000000" w:themeColor="text1"/>
              <w14:textFill>
                <w14:solidFill>
                  <w14:schemeClr w14:val="tx1"/>
                </w14:solidFill>
              </w14:textFill>
            </w:rPr>
            <w:fldChar w:fldCharType="end"/>
          </w:r>
        </w:p>
        <w:p w14:paraId="6302F7D5">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_Toc8053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val="en-US" w:eastAsia="zh-CN"/>
            </w:rPr>
            <w:t>6</w:t>
          </w:r>
          <w:r>
            <w:rPr>
              <w:rFonts w:hint="eastAsia" w:ascii="宋体" w:hAnsi="宋体" w:eastAsia="宋体" w:cs="宋体"/>
            </w:rPr>
            <w:t>.2</w:t>
          </w:r>
          <w:r>
            <w:rPr>
              <w:rFonts w:hint="eastAsia" w:ascii="宋体" w:hAnsi="宋体" w:eastAsia="宋体" w:cs="宋体"/>
              <w:lang w:val="en-US" w:eastAsia="zh-CN"/>
            </w:rPr>
            <w:t xml:space="preserve"> 安全管理机构</w:t>
          </w:r>
          <w:r>
            <w:tab/>
          </w:r>
          <w:r>
            <w:fldChar w:fldCharType="begin"/>
          </w:r>
          <w:r>
            <w:instrText xml:space="preserve"> PAGEREF _Toc8053 \h </w:instrText>
          </w:r>
          <w:r>
            <w:fldChar w:fldCharType="separate"/>
          </w:r>
          <w:r>
            <w:t>21</w:t>
          </w:r>
          <w:r>
            <w:fldChar w:fldCharType="end"/>
          </w:r>
          <w:r>
            <w:rPr>
              <w:rFonts w:hint="eastAsia" w:ascii="宋体" w:hAnsi="宋体" w:eastAsia="宋体" w:cs="宋体"/>
              <w:color w:val="000000" w:themeColor="text1"/>
              <w14:textFill>
                <w14:solidFill>
                  <w14:schemeClr w14:val="tx1"/>
                </w14:solidFill>
              </w14:textFill>
            </w:rPr>
            <w:fldChar w:fldCharType="end"/>
          </w:r>
        </w:p>
        <w:p w14:paraId="01145773">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_Toc8790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val="en-US" w:eastAsia="zh-CN"/>
            </w:rPr>
            <w:t>6</w:t>
          </w:r>
          <w:r>
            <w:rPr>
              <w:rFonts w:hint="eastAsia" w:ascii="宋体" w:hAnsi="宋体" w:eastAsia="宋体" w:cs="宋体"/>
            </w:rPr>
            <w:t>.</w:t>
          </w:r>
          <w:r>
            <w:rPr>
              <w:rFonts w:hint="eastAsia" w:ascii="宋体" w:hAnsi="宋体" w:eastAsia="宋体" w:cs="宋体"/>
              <w:lang w:val="en-US" w:eastAsia="zh-CN"/>
            </w:rPr>
            <w:t xml:space="preserve">3 </w:t>
          </w:r>
          <w:r>
            <w:rPr>
              <w:rFonts w:hint="eastAsia" w:ascii="宋体" w:hAnsi="宋体" w:eastAsia="宋体" w:cs="宋体"/>
            </w:rPr>
            <w:t>安全管理制度、安全生产责任制及安全操作规程</w:t>
          </w:r>
          <w:r>
            <w:tab/>
          </w:r>
          <w:r>
            <w:fldChar w:fldCharType="begin"/>
          </w:r>
          <w:r>
            <w:instrText xml:space="preserve"> PAGEREF _Toc8790 \h </w:instrText>
          </w:r>
          <w:r>
            <w:fldChar w:fldCharType="separate"/>
          </w:r>
          <w:r>
            <w:t>22</w:t>
          </w:r>
          <w:r>
            <w:fldChar w:fldCharType="end"/>
          </w:r>
          <w:r>
            <w:rPr>
              <w:rFonts w:hint="eastAsia" w:ascii="宋体" w:hAnsi="宋体" w:eastAsia="宋体" w:cs="宋体"/>
              <w:color w:val="000000" w:themeColor="text1"/>
              <w14:textFill>
                <w14:solidFill>
                  <w14:schemeClr w14:val="tx1"/>
                </w14:solidFill>
              </w14:textFill>
            </w:rPr>
            <w:fldChar w:fldCharType="end"/>
          </w:r>
        </w:p>
        <w:p w14:paraId="04687021">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_Toc3460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val="en-US" w:eastAsia="zh-CN"/>
            </w:rPr>
            <w:t>6</w:t>
          </w:r>
          <w:r>
            <w:rPr>
              <w:rFonts w:hint="eastAsia" w:ascii="宋体" w:hAnsi="宋体" w:eastAsia="宋体" w:cs="宋体"/>
            </w:rPr>
            <w:t>.</w:t>
          </w:r>
          <w:r>
            <w:rPr>
              <w:rFonts w:hint="eastAsia" w:ascii="宋体" w:hAnsi="宋体" w:eastAsia="宋体" w:cs="宋体"/>
              <w:lang w:val="en-US" w:eastAsia="zh-CN"/>
            </w:rPr>
            <w:t xml:space="preserve">4 </w:t>
          </w:r>
          <w:r>
            <w:rPr>
              <w:rFonts w:hint="eastAsia" w:ascii="宋体" w:hAnsi="宋体" w:eastAsia="宋体" w:cs="宋体"/>
            </w:rPr>
            <w:t>安全管理人员及特种作业人员持证上岗情况</w:t>
          </w:r>
          <w:r>
            <w:tab/>
          </w:r>
          <w:r>
            <w:fldChar w:fldCharType="begin"/>
          </w:r>
          <w:r>
            <w:instrText xml:space="preserve"> PAGEREF _Toc3460 \h </w:instrText>
          </w:r>
          <w:r>
            <w:fldChar w:fldCharType="separate"/>
          </w:r>
          <w:r>
            <w:t>23</w:t>
          </w:r>
          <w:r>
            <w:fldChar w:fldCharType="end"/>
          </w:r>
          <w:r>
            <w:rPr>
              <w:rFonts w:hint="eastAsia" w:ascii="宋体" w:hAnsi="宋体" w:eastAsia="宋体" w:cs="宋体"/>
              <w:color w:val="000000" w:themeColor="text1"/>
              <w14:textFill>
                <w14:solidFill>
                  <w14:schemeClr w14:val="tx1"/>
                </w14:solidFill>
              </w14:textFill>
            </w:rPr>
            <w:fldChar w:fldCharType="end"/>
          </w:r>
        </w:p>
        <w:p w14:paraId="29D02851">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_Toc31805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val="en-US" w:eastAsia="zh-CN"/>
            </w:rPr>
            <w:t>6</w:t>
          </w:r>
          <w:r>
            <w:rPr>
              <w:rFonts w:hint="eastAsia" w:ascii="宋体" w:hAnsi="宋体" w:eastAsia="宋体" w:cs="宋体"/>
            </w:rPr>
            <w:t>.</w:t>
          </w:r>
          <w:r>
            <w:rPr>
              <w:rFonts w:hint="eastAsia" w:ascii="宋体" w:hAnsi="宋体" w:eastAsia="宋体" w:cs="宋体"/>
              <w:lang w:val="en-US" w:eastAsia="zh-CN"/>
            </w:rPr>
            <w:t xml:space="preserve">5 </w:t>
          </w:r>
          <w:r>
            <w:rPr>
              <w:rFonts w:hint="eastAsia" w:ascii="宋体" w:hAnsi="宋体" w:eastAsia="宋体" w:cs="宋体"/>
            </w:rPr>
            <w:t>安全生产资金投入</w:t>
          </w:r>
          <w:r>
            <w:tab/>
          </w:r>
          <w:r>
            <w:fldChar w:fldCharType="begin"/>
          </w:r>
          <w:r>
            <w:instrText xml:space="preserve"> PAGEREF _Toc31805 \h </w:instrText>
          </w:r>
          <w:r>
            <w:fldChar w:fldCharType="separate"/>
          </w:r>
          <w:r>
            <w:t>24</w:t>
          </w:r>
          <w:r>
            <w:fldChar w:fldCharType="end"/>
          </w:r>
          <w:r>
            <w:rPr>
              <w:rFonts w:hint="eastAsia" w:ascii="宋体" w:hAnsi="宋体" w:eastAsia="宋体" w:cs="宋体"/>
              <w:color w:val="000000" w:themeColor="text1"/>
              <w14:textFill>
                <w14:solidFill>
                  <w14:schemeClr w14:val="tx1"/>
                </w14:solidFill>
              </w14:textFill>
            </w:rPr>
            <w:fldChar w:fldCharType="end"/>
          </w:r>
        </w:p>
        <w:p w14:paraId="08CD431F">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_Toc15418 </w:instrText>
          </w:r>
          <w:r>
            <w:rPr>
              <w:rFonts w:hint="eastAsia" w:ascii="宋体" w:hAnsi="宋体" w:eastAsia="宋体" w:cs="宋体"/>
            </w:rPr>
            <w:fldChar w:fldCharType="separate"/>
          </w:r>
          <w:r>
            <w:rPr>
              <w:rFonts w:hint="eastAsia" w:ascii="宋体" w:hAnsi="宋体" w:eastAsia="宋体" w:cs="宋体"/>
              <w:lang w:val="zh-CN" w:eastAsia="zh-CN"/>
            </w:rPr>
            <w:t>2.</w:t>
          </w:r>
          <w:r>
            <w:rPr>
              <w:rFonts w:hint="eastAsia" w:ascii="宋体" w:hAnsi="宋体" w:eastAsia="宋体" w:cs="宋体"/>
              <w:lang w:val="en-US" w:eastAsia="zh-CN"/>
            </w:rPr>
            <w:t>6</w:t>
          </w:r>
          <w:r>
            <w:rPr>
              <w:rFonts w:hint="eastAsia" w:ascii="宋体" w:hAnsi="宋体" w:eastAsia="宋体" w:cs="宋体"/>
              <w:lang w:val="zh-CN" w:eastAsia="zh-CN"/>
            </w:rPr>
            <w:t>.</w:t>
          </w:r>
          <w:r>
            <w:rPr>
              <w:rFonts w:hint="eastAsia" w:ascii="宋体" w:hAnsi="宋体" w:eastAsia="宋体" w:cs="宋体"/>
              <w:lang w:val="en-US" w:eastAsia="zh-CN"/>
            </w:rPr>
            <w:t xml:space="preserve">6 </w:t>
          </w:r>
          <w:r>
            <w:rPr>
              <w:rFonts w:hint="eastAsia" w:ascii="宋体" w:hAnsi="宋体" w:eastAsia="宋体" w:cs="宋体"/>
              <w:lang w:val="zh-CN" w:eastAsia="zh-CN"/>
            </w:rPr>
            <w:t>劳动防护用品的配备</w:t>
          </w:r>
          <w:r>
            <w:tab/>
          </w:r>
          <w:r>
            <w:fldChar w:fldCharType="begin"/>
          </w:r>
          <w:r>
            <w:instrText xml:space="preserve"> PAGEREF _Toc15418 \h </w:instrText>
          </w:r>
          <w:r>
            <w:fldChar w:fldCharType="separate"/>
          </w:r>
          <w:r>
            <w:t>25</w:t>
          </w:r>
          <w:r>
            <w:fldChar w:fldCharType="end"/>
          </w:r>
          <w:r>
            <w:rPr>
              <w:rFonts w:hint="eastAsia" w:ascii="宋体" w:hAnsi="宋体" w:eastAsia="宋体" w:cs="宋体"/>
              <w:color w:val="000000" w:themeColor="text1"/>
              <w14:textFill>
                <w14:solidFill>
                  <w14:schemeClr w14:val="tx1"/>
                </w14:solidFill>
              </w14:textFill>
            </w:rPr>
            <w:fldChar w:fldCharType="end"/>
          </w:r>
        </w:p>
        <w:p w14:paraId="060F4C58">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_Toc16632 </w:instrText>
          </w:r>
          <w:r>
            <w:rPr>
              <w:rFonts w:hint="eastAsia" w:ascii="宋体" w:hAnsi="宋体" w:eastAsia="宋体" w:cs="宋体"/>
            </w:rPr>
            <w:fldChar w:fldCharType="separate"/>
          </w:r>
          <w:r>
            <w:rPr>
              <w:rFonts w:hint="eastAsia" w:ascii="宋体" w:hAnsi="宋体" w:eastAsia="宋体" w:cs="宋体"/>
              <w:lang w:val="zh-CN" w:eastAsia="zh-CN"/>
            </w:rPr>
            <w:t>2.</w:t>
          </w:r>
          <w:r>
            <w:rPr>
              <w:rFonts w:hint="eastAsia" w:ascii="宋体" w:hAnsi="宋体" w:eastAsia="宋体" w:cs="宋体"/>
              <w:lang w:val="en-US" w:eastAsia="zh-CN"/>
            </w:rPr>
            <w:t>6</w:t>
          </w:r>
          <w:r>
            <w:rPr>
              <w:rFonts w:hint="eastAsia" w:ascii="宋体" w:hAnsi="宋体" w:eastAsia="宋体" w:cs="宋体"/>
              <w:lang w:val="zh-CN" w:eastAsia="zh-CN"/>
            </w:rPr>
            <w:t>.</w:t>
          </w:r>
          <w:r>
            <w:rPr>
              <w:rFonts w:hint="eastAsia" w:ascii="宋体" w:hAnsi="宋体" w:eastAsia="宋体" w:cs="宋体"/>
              <w:lang w:val="en-US" w:eastAsia="zh-CN"/>
            </w:rPr>
            <w:t xml:space="preserve">7 </w:t>
          </w:r>
          <w:r>
            <w:rPr>
              <w:rFonts w:hint="eastAsia" w:ascii="宋体" w:hAnsi="宋体" w:eastAsia="宋体" w:cs="宋体"/>
              <w:lang w:val="zh-CN" w:eastAsia="zh-CN"/>
            </w:rPr>
            <w:t>安全警示、标志</w:t>
          </w:r>
          <w:r>
            <w:tab/>
          </w:r>
          <w:r>
            <w:fldChar w:fldCharType="begin"/>
          </w:r>
          <w:r>
            <w:instrText xml:space="preserve"> PAGEREF _Toc16632 \h </w:instrText>
          </w:r>
          <w:r>
            <w:fldChar w:fldCharType="separate"/>
          </w:r>
          <w:r>
            <w:t>25</w:t>
          </w:r>
          <w:r>
            <w:fldChar w:fldCharType="end"/>
          </w:r>
          <w:r>
            <w:rPr>
              <w:rFonts w:hint="eastAsia" w:ascii="宋体" w:hAnsi="宋体" w:eastAsia="宋体" w:cs="宋体"/>
              <w:color w:val="000000" w:themeColor="text1"/>
              <w14:textFill>
                <w14:solidFill>
                  <w14:schemeClr w14:val="tx1"/>
                </w14:solidFill>
              </w14:textFill>
            </w:rPr>
            <w:fldChar w:fldCharType="end"/>
          </w:r>
        </w:p>
        <w:p w14:paraId="0D0746A5">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_Toc26892 </w:instrText>
          </w:r>
          <w:r>
            <w:rPr>
              <w:rFonts w:hint="eastAsia" w:ascii="宋体" w:hAnsi="宋体" w:eastAsia="宋体" w:cs="宋体"/>
            </w:rPr>
            <w:fldChar w:fldCharType="separate"/>
          </w:r>
          <w:r>
            <w:rPr>
              <w:rFonts w:hint="eastAsia" w:ascii="宋体" w:hAnsi="宋体" w:eastAsia="宋体" w:cs="宋体"/>
              <w:lang w:val="zh-CN" w:eastAsia="zh-CN"/>
            </w:rPr>
            <w:t>2.</w:t>
          </w:r>
          <w:r>
            <w:rPr>
              <w:rFonts w:hint="eastAsia" w:ascii="宋体" w:hAnsi="宋体" w:eastAsia="宋体" w:cs="宋体"/>
              <w:lang w:val="en-US" w:eastAsia="zh-CN"/>
            </w:rPr>
            <w:t>6</w:t>
          </w:r>
          <w:r>
            <w:rPr>
              <w:rFonts w:hint="eastAsia" w:ascii="宋体" w:hAnsi="宋体" w:eastAsia="宋体" w:cs="宋体"/>
              <w:lang w:val="zh-CN" w:eastAsia="zh-CN"/>
            </w:rPr>
            <w:t>.</w:t>
          </w:r>
          <w:r>
            <w:rPr>
              <w:rFonts w:hint="eastAsia" w:ascii="宋体" w:hAnsi="宋体" w:eastAsia="宋体" w:cs="宋体"/>
              <w:lang w:val="en-US" w:eastAsia="zh-CN"/>
            </w:rPr>
            <w:t xml:space="preserve">8 </w:t>
          </w:r>
          <w:r>
            <w:rPr>
              <w:rFonts w:hint="eastAsia" w:ascii="宋体" w:hAnsi="宋体" w:eastAsia="宋体" w:cs="宋体"/>
              <w:lang w:val="zh-CN" w:eastAsia="zh-CN"/>
            </w:rPr>
            <w:t>应急救援预案</w:t>
          </w:r>
          <w:r>
            <w:tab/>
          </w:r>
          <w:r>
            <w:fldChar w:fldCharType="begin"/>
          </w:r>
          <w:r>
            <w:instrText xml:space="preserve"> PAGEREF _Toc26892 \h </w:instrText>
          </w:r>
          <w:r>
            <w:fldChar w:fldCharType="separate"/>
          </w:r>
          <w:r>
            <w:t>25</w:t>
          </w:r>
          <w:r>
            <w:fldChar w:fldCharType="end"/>
          </w:r>
          <w:r>
            <w:rPr>
              <w:rFonts w:hint="eastAsia" w:ascii="宋体" w:hAnsi="宋体" w:eastAsia="宋体" w:cs="宋体"/>
              <w:color w:val="000000" w:themeColor="text1"/>
              <w14:textFill>
                <w14:solidFill>
                  <w14:schemeClr w14:val="tx1"/>
                </w14:solidFill>
              </w14:textFill>
            </w:rPr>
            <w:fldChar w:fldCharType="end"/>
          </w:r>
        </w:p>
        <w:p w14:paraId="6BDDF967">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_Toc152 </w:instrText>
          </w:r>
          <w:r>
            <w:rPr>
              <w:rFonts w:hint="eastAsia" w:ascii="宋体" w:hAnsi="宋体" w:eastAsia="宋体" w:cs="宋体"/>
            </w:rPr>
            <w:fldChar w:fldCharType="separate"/>
          </w:r>
          <w:r>
            <w:rPr>
              <w:rFonts w:hint="eastAsia" w:ascii="宋体" w:hAnsi="宋体" w:eastAsia="宋体" w:cs="宋体"/>
              <w:lang w:val="zh-CN" w:eastAsia="zh-CN"/>
            </w:rPr>
            <w:t>2.</w:t>
          </w:r>
          <w:r>
            <w:rPr>
              <w:rFonts w:hint="eastAsia" w:ascii="宋体" w:hAnsi="宋体" w:eastAsia="宋体" w:cs="宋体"/>
              <w:lang w:val="en-US" w:eastAsia="zh-CN"/>
            </w:rPr>
            <w:t>6</w:t>
          </w:r>
          <w:r>
            <w:rPr>
              <w:rFonts w:hint="eastAsia" w:ascii="宋体" w:hAnsi="宋体" w:eastAsia="宋体" w:cs="宋体"/>
              <w:lang w:val="zh-CN" w:eastAsia="zh-CN"/>
            </w:rPr>
            <w:t>.</w:t>
          </w:r>
          <w:r>
            <w:rPr>
              <w:rFonts w:hint="eastAsia" w:ascii="宋体" w:hAnsi="宋体" w:eastAsia="宋体" w:cs="宋体"/>
              <w:lang w:val="en-US" w:eastAsia="zh-CN"/>
            </w:rPr>
            <w:t xml:space="preserve">9 </w:t>
          </w:r>
          <w:r>
            <w:rPr>
              <w:rFonts w:hint="eastAsia" w:ascii="宋体" w:hAnsi="宋体" w:eastAsia="宋体" w:cs="宋体"/>
              <w:lang w:val="zh-CN" w:eastAsia="zh-CN"/>
            </w:rPr>
            <w:t>保险缴纳情况</w:t>
          </w:r>
          <w:r>
            <w:tab/>
          </w:r>
          <w:r>
            <w:fldChar w:fldCharType="begin"/>
          </w:r>
          <w:r>
            <w:instrText xml:space="preserve"> PAGEREF _Toc152 \h </w:instrText>
          </w:r>
          <w:r>
            <w:fldChar w:fldCharType="separate"/>
          </w:r>
          <w:r>
            <w:t>26</w:t>
          </w:r>
          <w:r>
            <w:fldChar w:fldCharType="end"/>
          </w:r>
          <w:r>
            <w:rPr>
              <w:rFonts w:hint="eastAsia" w:ascii="宋体" w:hAnsi="宋体" w:eastAsia="宋体" w:cs="宋体"/>
              <w:color w:val="000000" w:themeColor="text1"/>
              <w14:textFill>
                <w14:solidFill>
                  <w14:schemeClr w14:val="tx1"/>
                </w14:solidFill>
              </w14:textFill>
            </w:rPr>
            <w:fldChar w:fldCharType="end"/>
          </w:r>
        </w:p>
        <w:p w14:paraId="1A46B71F">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_Toc12937 </w:instrText>
          </w:r>
          <w:r>
            <w:rPr>
              <w:rFonts w:hint="eastAsia" w:ascii="宋体" w:hAnsi="宋体" w:eastAsia="宋体" w:cs="宋体"/>
            </w:rPr>
            <w:fldChar w:fldCharType="separate"/>
          </w:r>
          <w:r>
            <w:rPr>
              <w:rFonts w:hint="eastAsia" w:ascii="宋体" w:hAnsi="宋体" w:eastAsia="宋体" w:cs="宋体"/>
              <w:lang w:val="zh-CN" w:eastAsia="zh-CN"/>
            </w:rPr>
            <w:t>2.</w:t>
          </w:r>
          <w:r>
            <w:rPr>
              <w:rFonts w:hint="eastAsia" w:ascii="宋体" w:hAnsi="宋体" w:eastAsia="宋体" w:cs="宋体"/>
              <w:lang w:val="en-US" w:eastAsia="zh-CN"/>
            </w:rPr>
            <w:t>6</w:t>
          </w:r>
          <w:r>
            <w:rPr>
              <w:rFonts w:hint="eastAsia" w:ascii="宋体" w:hAnsi="宋体" w:eastAsia="宋体" w:cs="宋体"/>
              <w:lang w:val="zh-CN" w:eastAsia="zh-CN"/>
            </w:rPr>
            <w:t>.</w:t>
          </w:r>
          <w:r>
            <w:rPr>
              <w:rFonts w:hint="eastAsia" w:ascii="宋体" w:hAnsi="宋体" w:eastAsia="宋体" w:cs="宋体"/>
              <w:lang w:val="en-US" w:eastAsia="zh-CN"/>
            </w:rPr>
            <w:t>10</w:t>
          </w:r>
          <w:r>
            <w:rPr>
              <w:rFonts w:hint="eastAsia" w:ascii="宋体" w:hAnsi="宋体" w:eastAsia="宋体" w:cs="宋体"/>
              <w:lang w:val="zh-CN" w:eastAsia="zh-CN"/>
            </w:rPr>
            <w:t>安全生产标准化创建情况</w:t>
          </w:r>
          <w:r>
            <w:tab/>
          </w:r>
          <w:r>
            <w:fldChar w:fldCharType="begin"/>
          </w:r>
          <w:r>
            <w:instrText xml:space="preserve"> PAGEREF _Toc12937 \h </w:instrText>
          </w:r>
          <w:r>
            <w:fldChar w:fldCharType="separate"/>
          </w:r>
          <w:r>
            <w:t>26</w:t>
          </w:r>
          <w:r>
            <w:fldChar w:fldCharType="end"/>
          </w:r>
          <w:r>
            <w:rPr>
              <w:rFonts w:hint="eastAsia" w:ascii="宋体" w:hAnsi="宋体" w:eastAsia="宋体" w:cs="宋体"/>
              <w:color w:val="000000" w:themeColor="text1"/>
              <w14:textFill>
                <w14:solidFill>
                  <w14:schemeClr w14:val="tx1"/>
                </w14:solidFill>
              </w14:textFill>
            </w:rPr>
            <w:fldChar w:fldCharType="end"/>
          </w:r>
        </w:p>
        <w:p w14:paraId="5C432F92">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_Toc31528 </w:instrText>
          </w:r>
          <w:r>
            <w:rPr>
              <w:rFonts w:hint="eastAsia" w:ascii="宋体" w:hAnsi="宋体" w:eastAsia="宋体" w:cs="宋体"/>
            </w:rPr>
            <w:fldChar w:fldCharType="separate"/>
          </w:r>
          <w:r>
            <w:rPr>
              <w:rFonts w:hint="eastAsia" w:ascii="宋体" w:hAnsi="宋体" w:eastAsia="宋体" w:cs="宋体"/>
              <w:lang w:val="zh-CN" w:eastAsia="zh-CN"/>
            </w:rPr>
            <w:t>2.</w:t>
          </w:r>
          <w:r>
            <w:rPr>
              <w:rFonts w:hint="eastAsia" w:ascii="宋体" w:hAnsi="宋体" w:eastAsia="宋体" w:cs="宋体"/>
              <w:lang w:val="en-US" w:eastAsia="zh-CN"/>
            </w:rPr>
            <w:t>6</w:t>
          </w:r>
          <w:r>
            <w:rPr>
              <w:rFonts w:hint="eastAsia" w:ascii="宋体" w:hAnsi="宋体" w:eastAsia="宋体" w:cs="宋体"/>
              <w:lang w:val="zh-CN" w:eastAsia="zh-CN"/>
            </w:rPr>
            <w:t>.</w:t>
          </w:r>
          <w:r>
            <w:rPr>
              <w:rFonts w:hint="eastAsia" w:ascii="宋体" w:hAnsi="宋体" w:eastAsia="宋体" w:cs="宋体"/>
              <w:lang w:val="en-US" w:eastAsia="zh-CN"/>
            </w:rPr>
            <w:t>11 安全生产情况</w:t>
          </w:r>
          <w:r>
            <w:tab/>
          </w:r>
          <w:r>
            <w:fldChar w:fldCharType="begin"/>
          </w:r>
          <w:r>
            <w:instrText xml:space="preserve"> PAGEREF _Toc31528 \h </w:instrText>
          </w:r>
          <w:r>
            <w:fldChar w:fldCharType="separate"/>
          </w:r>
          <w:r>
            <w:t>26</w:t>
          </w:r>
          <w:r>
            <w:fldChar w:fldCharType="end"/>
          </w:r>
          <w:r>
            <w:rPr>
              <w:rFonts w:hint="eastAsia" w:ascii="宋体" w:hAnsi="宋体" w:eastAsia="宋体" w:cs="宋体"/>
              <w:color w:val="000000" w:themeColor="text1"/>
              <w14:textFill>
                <w14:solidFill>
                  <w14:schemeClr w14:val="tx1"/>
                </w14:solidFill>
              </w14:textFill>
            </w:rPr>
            <w:fldChar w:fldCharType="end"/>
          </w:r>
        </w:p>
        <w:p w14:paraId="4B2295C6">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_Toc28002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val="en-US" w:eastAsia="zh-CN"/>
            </w:rPr>
            <w:t xml:space="preserve">7 </w:t>
          </w:r>
          <w:r>
            <w:rPr>
              <w:rFonts w:hint="eastAsia" w:ascii="宋体" w:hAnsi="宋体" w:eastAsia="宋体" w:cs="宋体"/>
            </w:rPr>
            <w:t>现场照片</w:t>
          </w:r>
          <w:r>
            <w:tab/>
          </w:r>
          <w:r>
            <w:fldChar w:fldCharType="begin"/>
          </w:r>
          <w:r>
            <w:instrText xml:space="preserve"> PAGEREF _Toc28002 \h </w:instrText>
          </w:r>
          <w:r>
            <w:fldChar w:fldCharType="separate"/>
          </w:r>
          <w:r>
            <w:t>27</w:t>
          </w:r>
          <w:r>
            <w:fldChar w:fldCharType="end"/>
          </w:r>
          <w:r>
            <w:rPr>
              <w:rFonts w:hint="eastAsia" w:ascii="宋体" w:hAnsi="宋体" w:eastAsia="宋体" w:cs="宋体"/>
              <w:color w:val="000000" w:themeColor="text1"/>
              <w14:textFill>
                <w14:solidFill>
                  <w14:schemeClr w14:val="tx1"/>
                </w14:solidFill>
              </w14:textFill>
            </w:rPr>
            <w:fldChar w:fldCharType="end"/>
          </w:r>
        </w:p>
        <w:p w14:paraId="404A8F53">
          <w:pPr>
            <w:pStyle w:val="35"/>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_Toc15392 </w:instrText>
          </w:r>
          <w:r>
            <w:rPr>
              <w:rFonts w:hint="eastAsia" w:ascii="宋体" w:hAnsi="宋体" w:eastAsia="宋体" w:cs="宋体"/>
            </w:rPr>
            <w:fldChar w:fldCharType="separate"/>
          </w:r>
          <w:r>
            <w:rPr>
              <w:rFonts w:hint="eastAsia" w:ascii="宋体" w:hAnsi="宋体" w:eastAsia="宋体" w:cs="宋体"/>
            </w:rPr>
            <w:t>第3章  主要危险、有害因素辨识与分析</w:t>
          </w:r>
          <w:r>
            <w:tab/>
          </w:r>
          <w:r>
            <w:fldChar w:fldCharType="begin"/>
          </w:r>
          <w:r>
            <w:instrText xml:space="preserve"> PAGEREF _Toc15392 \h </w:instrText>
          </w:r>
          <w:r>
            <w:fldChar w:fldCharType="separate"/>
          </w:r>
          <w:r>
            <w:t>29</w:t>
          </w:r>
          <w:r>
            <w:fldChar w:fldCharType="end"/>
          </w:r>
          <w:r>
            <w:rPr>
              <w:rFonts w:hint="eastAsia" w:ascii="宋体" w:hAnsi="宋体" w:eastAsia="宋体" w:cs="宋体"/>
              <w:color w:val="000000" w:themeColor="text1"/>
              <w14:textFill>
                <w14:solidFill>
                  <w14:schemeClr w14:val="tx1"/>
                </w14:solidFill>
              </w14:textFill>
            </w:rPr>
            <w:fldChar w:fldCharType="end"/>
          </w:r>
        </w:p>
        <w:p w14:paraId="5C63B901">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_Toc659 </w:instrText>
          </w:r>
          <w:r>
            <w:rPr>
              <w:rFonts w:hint="eastAsia" w:ascii="宋体" w:hAnsi="宋体" w:eastAsia="宋体" w:cs="宋体"/>
            </w:rPr>
            <w:fldChar w:fldCharType="separate"/>
          </w:r>
          <w:r>
            <w:rPr>
              <w:rFonts w:hint="eastAsia" w:ascii="宋体" w:hAnsi="宋体" w:eastAsia="宋体" w:cs="宋体"/>
            </w:rPr>
            <w:t>3.1</w:t>
          </w:r>
          <w:r>
            <w:rPr>
              <w:rFonts w:hint="eastAsia" w:ascii="宋体" w:hAnsi="宋体" w:eastAsia="宋体" w:cs="宋体"/>
              <w:lang w:val="en-US" w:eastAsia="zh-CN"/>
            </w:rPr>
            <w:t xml:space="preserve"> </w:t>
          </w:r>
          <w:r>
            <w:rPr>
              <w:rFonts w:hint="eastAsia" w:ascii="宋体" w:hAnsi="宋体" w:eastAsia="宋体" w:cs="宋体"/>
            </w:rPr>
            <w:t>辨识与分析的目的</w:t>
          </w:r>
          <w:r>
            <w:tab/>
          </w:r>
          <w:r>
            <w:fldChar w:fldCharType="begin"/>
          </w:r>
          <w:r>
            <w:instrText xml:space="preserve"> PAGEREF _Toc659 \h </w:instrText>
          </w:r>
          <w:r>
            <w:fldChar w:fldCharType="separate"/>
          </w:r>
          <w:r>
            <w:t>29</w:t>
          </w:r>
          <w:r>
            <w:fldChar w:fldCharType="end"/>
          </w:r>
          <w:r>
            <w:rPr>
              <w:rFonts w:hint="eastAsia" w:ascii="宋体" w:hAnsi="宋体" w:eastAsia="宋体" w:cs="宋体"/>
              <w:color w:val="000000" w:themeColor="text1"/>
              <w14:textFill>
                <w14:solidFill>
                  <w14:schemeClr w14:val="tx1"/>
                </w14:solidFill>
              </w14:textFill>
            </w:rPr>
            <w:fldChar w:fldCharType="end"/>
          </w:r>
        </w:p>
        <w:p w14:paraId="638A50C5">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_Toc10200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lang w:val="en-US" w:eastAsia="zh-CN"/>
            </w:rPr>
            <w:t xml:space="preserve">2 </w:t>
          </w:r>
          <w:r>
            <w:rPr>
              <w:rFonts w:hint="eastAsia" w:ascii="宋体" w:hAnsi="宋体" w:eastAsia="宋体" w:cs="宋体"/>
            </w:rPr>
            <w:t>辨识与分析的依据</w:t>
          </w:r>
          <w:r>
            <w:tab/>
          </w:r>
          <w:r>
            <w:fldChar w:fldCharType="begin"/>
          </w:r>
          <w:r>
            <w:instrText xml:space="preserve"> PAGEREF _Toc10200 \h </w:instrText>
          </w:r>
          <w:r>
            <w:fldChar w:fldCharType="separate"/>
          </w:r>
          <w:r>
            <w:t>29</w:t>
          </w:r>
          <w:r>
            <w:fldChar w:fldCharType="end"/>
          </w:r>
          <w:r>
            <w:rPr>
              <w:rFonts w:hint="eastAsia" w:ascii="宋体" w:hAnsi="宋体" w:eastAsia="宋体" w:cs="宋体"/>
              <w:color w:val="000000" w:themeColor="text1"/>
              <w14:textFill>
                <w14:solidFill>
                  <w14:schemeClr w14:val="tx1"/>
                </w14:solidFill>
              </w14:textFill>
            </w:rPr>
            <w:fldChar w:fldCharType="end"/>
          </w:r>
        </w:p>
        <w:p w14:paraId="1067EE56">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_Toc5486 </w:instrText>
          </w:r>
          <w:r>
            <w:rPr>
              <w:rFonts w:hint="eastAsia" w:ascii="宋体" w:hAnsi="宋体" w:eastAsia="宋体" w:cs="宋体"/>
            </w:rPr>
            <w:fldChar w:fldCharType="separate"/>
          </w:r>
          <w:r>
            <w:rPr>
              <w:rFonts w:hint="eastAsia" w:ascii="宋体" w:hAnsi="宋体" w:eastAsia="宋体" w:cs="宋体"/>
              <w:lang w:val="en-US" w:eastAsia="zh-CN"/>
            </w:rPr>
            <w:t>3.3</w:t>
          </w:r>
          <w:r>
            <w:rPr>
              <w:rFonts w:hint="eastAsia" w:ascii="宋体" w:hAnsi="宋体" w:eastAsia="宋体" w:cs="宋体"/>
            </w:rPr>
            <w:t>危险、有害因素产生的原因</w:t>
          </w:r>
          <w:r>
            <w:tab/>
          </w:r>
          <w:r>
            <w:fldChar w:fldCharType="begin"/>
          </w:r>
          <w:r>
            <w:instrText xml:space="preserve"> PAGEREF _Toc5486 \h </w:instrText>
          </w:r>
          <w:r>
            <w:fldChar w:fldCharType="separate"/>
          </w:r>
          <w:r>
            <w:t>30</w:t>
          </w:r>
          <w:r>
            <w:fldChar w:fldCharType="end"/>
          </w:r>
          <w:r>
            <w:rPr>
              <w:rFonts w:hint="eastAsia" w:ascii="宋体" w:hAnsi="宋体" w:eastAsia="宋体" w:cs="宋体"/>
              <w:color w:val="000000" w:themeColor="text1"/>
              <w14:textFill>
                <w14:solidFill>
                  <w14:schemeClr w14:val="tx1"/>
                </w14:solidFill>
              </w14:textFill>
            </w:rPr>
            <w:fldChar w:fldCharType="end"/>
          </w:r>
        </w:p>
        <w:p w14:paraId="28D219F0">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_Toc3292 </w:instrText>
          </w:r>
          <w:r>
            <w:rPr>
              <w:rFonts w:hint="eastAsia" w:ascii="宋体" w:hAnsi="宋体" w:eastAsia="宋体" w:cs="宋体"/>
            </w:rPr>
            <w:fldChar w:fldCharType="separate"/>
          </w:r>
          <w:r>
            <w:rPr>
              <w:rFonts w:hint="eastAsia" w:ascii="宋体" w:hAnsi="宋体" w:eastAsia="宋体" w:cs="宋体"/>
              <w:lang w:val="en-US" w:eastAsia="zh-CN"/>
            </w:rPr>
            <w:t>3.3.1</w:t>
          </w:r>
          <w:r>
            <w:rPr>
              <w:rFonts w:hint="eastAsia" w:ascii="宋体" w:hAnsi="宋体" w:eastAsia="宋体" w:cs="宋体"/>
              <w:lang w:val="zh-CN" w:eastAsia="zh-CN"/>
            </w:rPr>
            <w:t>运行失控与设备故障</w:t>
          </w:r>
          <w:r>
            <w:tab/>
          </w:r>
          <w:r>
            <w:fldChar w:fldCharType="begin"/>
          </w:r>
          <w:r>
            <w:instrText xml:space="preserve"> PAGEREF _Toc3292 \h </w:instrText>
          </w:r>
          <w:r>
            <w:fldChar w:fldCharType="separate"/>
          </w:r>
          <w:r>
            <w:t>30</w:t>
          </w:r>
          <w:r>
            <w:fldChar w:fldCharType="end"/>
          </w:r>
          <w:r>
            <w:rPr>
              <w:rFonts w:hint="eastAsia" w:ascii="宋体" w:hAnsi="宋体" w:eastAsia="宋体" w:cs="宋体"/>
              <w:color w:val="000000" w:themeColor="text1"/>
              <w14:textFill>
                <w14:solidFill>
                  <w14:schemeClr w14:val="tx1"/>
                </w14:solidFill>
              </w14:textFill>
            </w:rPr>
            <w:fldChar w:fldCharType="end"/>
          </w:r>
        </w:p>
        <w:p w14:paraId="79A40EE3">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_Toc31794 </w:instrText>
          </w:r>
          <w:r>
            <w:rPr>
              <w:rFonts w:hint="eastAsia" w:ascii="宋体" w:hAnsi="宋体" w:eastAsia="宋体" w:cs="宋体"/>
            </w:rPr>
            <w:fldChar w:fldCharType="separate"/>
          </w:r>
          <w:r>
            <w:rPr>
              <w:rFonts w:hint="eastAsia" w:ascii="宋体" w:hAnsi="宋体" w:eastAsia="宋体" w:cs="宋体"/>
              <w:lang w:val="en-US" w:eastAsia="zh-CN"/>
            </w:rPr>
            <w:t>3.3.2人员失误</w:t>
          </w:r>
          <w:r>
            <w:tab/>
          </w:r>
          <w:r>
            <w:fldChar w:fldCharType="begin"/>
          </w:r>
          <w:r>
            <w:instrText xml:space="preserve"> PAGEREF _Toc31794 \h </w:instrText>
          </w:r>
          <w:r>
            <w:fldChar w:fldCharType="separate"/>
          </w:r>
          <w:r>
            <w:t>31</w:t>
          </w:r>
          <w:r>
            <w:fldChar w:fldCharType="end"/>
          </w:r>
          <w:r>
            <w:rPr>
              <w:rFonts w:hint="eastAsia" w:ascii="宋体" w:hAnsi="宋体" w:eastAsia="宋体" w:cs="宋体"/>
              <w:color w:val="000000" w:themeColor="text1"/>
              <w14:textFill>
                <w14:solidFill>
                  <w14:schemeClr w14:val="tx1"/>
                </w14:solidFill>
              </w14:textFill>
            </w:rPr>
            <w:fldChar w:fldCharType="end"/>
          </w:r>
        </w:p>
        <w:p w14:paraId="6B3107CD">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_Toc10943 </w:instrText>
          </w:r>
          <w:r>
            <w:rPr>
              <w:rFonts w:hint="eastAsia" w:ascii="宋体" w:hAnsi="宋体" w:eastAsia="宋体" w:cs="宋体"/>
            </w:rPr>
            <w:fldChar w:fldCharType="separate"/>
          </w:r>
          <w:r>
            <w:rPr>
              <w:rFonts w:hint="eastAsia" w:ascii="宋体" w:hAnsi="宋体" w:eastAsia="宋体" w:cs="宋体"/>
              <w:lang w:val="en-US" w:eastAsia="zh-CN"/>
            </w:rPr>
            <w:t>3.3.3管理缺陷</w:t>
          </w:r>
          <w:r>
            <w:tab/>
          </w:r>
          <w:r>
            <w:fldChar w:fldCharType="begin"/>
          </w:r>
          <w:r>
            <w:instrText xml:space="preserve"> PAGEREF _Toc10943 \h </w:instrText>
          </w:r>
          <w:r>
            <w:fldChar w:fldCharType="separate"/>
          </w:r>
          <w:r>
            <w:t>31</w:t>
          </w:r>
          <w:r>
            <w:fldChar w:fldCharType="end"/>
          </w:r>
          <w:r>
            <w:rPr>
              <w:rFonts w:hint="eastAsia" w:ascii="宋体" w:hAnsi="宋体" w:eastAsia="宋体" w:cs="宋体"/>
              <w:color w:val="000000" w:themeColor="text1"/>
              <w14:textFill>
                <w14:solidFill>
                  <w14:schemeClr w14:val="tx1"/>
                </w14:solidFill>
              </w14:textFill>
            </w:rPr>
            <w:fldChar w:fldCharType="end"/>
          </w:r>
        </w:p>
        <w:p w14:paraId="3395C2D0">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_Toc28956 </w:instrText>
          </w:r>
          <w:r>
            <w:rPr>
              <w:rFonts w:hint="eastAsia" w:ascii="宋体" w:hAnsi="宋体" w:eastAsia="宋体" w:cs="宋体"/>
            </w:rPr>
            <w:fldChar w:fldCharType="separate"/>
          </w:r>
          <w:r>
            <w:rPr>
              <w:rFonts w:hint="eastAsia" w:ascii="宋体" w:hAnsi="宋体" w:eastAsia="宋体" w:cs="宋体"/>
              <w:lang w:val="en-US" w:eastAsia="zh-CN"/>
            </w:rPr>
            <w:t>3.3.4环境因素</w:t>
          </w:r>
          <w:r>
            <w:tab/>
          </w:r>
          <w:r>
            <w:fldChar w:fldCharType="begin"/>
          </w:r>
          <w:r>
            <w:instrText xml:space="preserve"> PAGEREF _Toc28956 \h </w:instrText>
          </w:r>
          <w:r>
            <w:fldChar w:fldCharType="separate"/>
          </w:r>
          <w:r>
            <w:t>31</w:t>
          </w:r>
          <w:r>
            <w:fldChar w:fldCharType="end"/>
          </w:r>
          <w:r>
            <w:rPr>
              <w:rFonts w:hint="eastAsia" w:ascii="宋体" w:hAnsi="宋体" w:eastAsia="宋体" w:cs="宋体"/>
              <w:color w:val="000000" w:themeColor="text1"/>
              <w14:textFill>
                <w14:solidFill>
                  <w14:schemeClr w14:val="tx1"/>
                </w14:solidFill>
              </w14:textFill>
            </w:rPr>
            <w:fldChar w:fldCharType="end"/>
          </w:r>
        </w:p>
        <w:p w14:paraId="0ECE8454">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_Toc4324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lang w:val="en-US" w:eastAsia="zh-CN"/>
            </w:rPr>
            <w:t xml:space="preserve">4 </w:t>
          </w:r>
          <w:r>
            <w:rPr>
              <w:rFonts w:hint="eastAsia" w:ascii="宋体" w:hAnsi="宋体" w:eastAsia="宋体" w:cs="宋体"/>
            </w:rPr>
            <w:t>主要危险、有害物质</w:t>
          </w:r>
          <w:r>
            <w:rPr>
              <w:rFonts w:hint="eastAsia" w:ascii="宋体" w:hAnsi="宋体" w:eastAsia="宋体" w:cs="宋体"/>
              <w:lang w:val="en-US" w:eastAsia="zh-CN"/>
            </w:rPr>
            <w:t>辨识与分析</w:t>
          </w:r>
          <w:r>
            <w:tab/>
          </w:r>
          <w:r>
            <w:fldChar w:fldCharType="begin"/>
          </w:r>
          <w:r>
            <w:instrText xml:space="preserve"> PAGEREF _Toc4324 \h </w:instrText>
          </w:r>
          <w:r>
            <w:fldChar w:fldCharType="separate"/>
          </w:r>
          <w:r>
            <w:t>31</w:t>
          </w:r>
          <w:r>
            <w:fldChar w:fldCharType="end"/>
          </w:r>
          <w:r>
            <w:rPr>
              <w:rFonts w:hint="eastAsia" w:ascii="宋体" w:hAnsi="宋体" w:eastAsia="宋体" w:cs="宋体"/>
              <w:color w:val="000000" w:themeColor="text1"/>
              <w14:textFill>
                <w14:solidFill>
                  <w14:schemeClr w14:val="tx1"/>
                </w14:solidFill>
              </w14:textFill>
            </w:rPr>
            <w:fldChar w:fldCharType="end"/>
          </w:r>
        </w:p>
        <w:p w14:paraId="1268DBED">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_Toc24094 </w:instrText>
          </w:r>
          <w:r>
            <w:rPr>
              <w:rFonts w:hint="eastAsia" w:ascii="宋体" w:hAnsi="宋体" w:eastAsia="宋体" w:cs="宋体"/>
            </w:rPr>
            <w:fldChar w:fldCharType="separate"/>
          </w:r>
          <w:r>
            <w:rPr>
              <w:rFonts w:hint="eastAsia" w:ascii="宋体" w:hAnsi="宋体" w:eastAsia="宋体" w:cs="宋体"/>
              <w:lang w:val="en-US" w:eastAsia="zh-CN"/>
            </w:rPr>
            <w:t>3.4.1主要危险、有害物质辨识</w:t>
          </w:r>
          <w:r>
            <w:tab/>
          </w:r>
          <w:r>
            <w:fldChar w:fldCharType="begin"/>
          </w:r>
          <w:r>
            <w:instrText xml:space="preserve"> PAGEREF _Toc24094 \h </w:instrText>
          </w:r>
          <w:r>
            <w:fldChar w:fldCharType="separate"/>
          </w:r>
          <w:r>
            <w:t>31</w:t>
          </w:r>
          <w:r>
            <w:fldChar w:fldCharType="end"/>
          </w:r>
          <w:r>
            <w:rPr>
              <w:rFonts w:hint="eastAsia" w:ascii="宋体" w:hAnsi="宋体" w:eastAsia="宋体" w:cs="宋体"/>
              <w:color w:val="000000" w:themeColor="text1"/>
              <w14:textFill>
                <w14:solidFill>
                  <w14:schemeClr w14:val="tx1"/>
                </w14:solidFill>
              </w14:textFill>
            </w:rPr>
            <w:fldChar w:fldCharType="end"/>
          </w:r>
        </w:p>
        <w:p w14:paraId="559778DA">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_Toc8493 </w:instrText>
          </w:r>
          <w:r>
            <w:rPr>
              <w:rFonts w:hint="eastAsia" w:ascii="宋体" w:hAnsi="宋体" w:eastAsia="宋体" w:cs="宋体"/>
            </w:rPr>
            <w:fldChar w:fldCharType="separate"/>
          </w:r>
          <w:r>
            <w:rPr>
              <w:rFonts w:hint="eastAsia" w:ascii="宋体" w:hAnsi="宋体" w:eastAsia="宋体" w:cs="宋体"/>
              <w:lang w:val="en-US" w:eastAsia="zh-CN"/>
            </w:rPr>
            <w:t>3.4.2危险化学品辨识</w:t>
          </w:r>
          <w:r>
            <w:tab/>
          </w:r>
          <w:r>
            <w:fldChar w:fldCharType="begin"/>
          </w:r>
          <w:r>
            <w:instrText xml:space="preserve"> PAGEREF _Toc8493 \h </w:instrText>
          </w:r>
          <w:r>
            <w:fldChar w:fldCharType="separate"/>
          </w:r>
          <w:r>
            <w:t>32</w:t>
          </w:r>
          <w:r>
            <w:fldChar w:fldCharType="end"/>
          </w:r>
          <w:r>
            <w:rPr>
              <w:rFonts w:hint="eastAsia" w:ascii="宋体" w:hAnsi="宋体" w:eastAsia="宋体" w:cs="宋体"/>
              <w:color w:val="000000" w:themeColor="text1"/>
              <w14:textFill>
                <w14:solidFill>
                  <w14:schemeClr w14:val="tx1"/>
                </w14:solidFill>
              </w14:textFill>
            </w:rPr>
            <w:fldChar w:fldCharType="end"/>
          </w:r>
        </w:p>
        <w:p w14:paraId="3AB357B1">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_Toc1661 </w:instrText>
          </w:r>
          <w:r>
            <w:rPr>
              <w:rFonts w:hint="eastAsia" w:ascii="宋体" w:hAnsi="宋体" w:eastAsia="宋体" w:cs="宋体"/>
            </w:rPr>
            <w:fldChar w:fldCharType="separate"/>
          </w:r>
          <w:r>
            <w:rPr>
              <w:rFonts w:hint="eastAsia" w:ascii="宋体" w:hAnsi="宋体" w:eastAsia="宋体" w:cs="宋体"/>
            </w:rPr>
            <w:t>3.5</w:t>
          </w:r>
          <w:r>
            <w:rPr>
              <w:rFonts w:hint="eastAsia" w:ascii="宋体" w:hAnsi="宋体" w:eastAsia="宋体" w:cs="宋体"/>
              <w:lang w:val="en-US" w:eastAsia="zh-CN"/>
            </w:rPr>
            <w:t>厂址及总平面布置</w:t>
          </w:r>
          <w:r>
            <w:rPr>
              <w:rFonts w:hint="eastAsia" w:ascii="宋体" w:hAnsi="宋体" w:eastAsia="宋体" w:cs="宋体"/>
            </w:rPr>
            <w:t>主要危险、有害因素辨识与分析</w:t>
          </w:r>
          <w:r>
            <w:tab/>
          </w:r>
          <w:r>
            <w:fldChar w:fldCharType="begin"/>
          </w:r>
          <w:r>
            <w:instrText xml:space="preserve"> PAGEREF _Toc1661 \h </w:instrText>
          </w:r>
          <w:r>
            <w:fldChar w:fldCharType="separate"/>
          </w:r>
          <w:r>
            <w:t>33</w:t>
          </w:r>
          <w:r>
            <w:fldChar w:fldCharType="end"/>
          </w:r>
          <w:r>
            <w:rPr>
              <w:rFonts w:hint="eastAsia" w:ascii="宋体" w:hAnsi="宋体" w:eastAsia="宋体" w:cs="宋体"/>
              <w:color w:val="000000" w:themeColor="text1"/>
              <w14:textFill>
                <w14:solidFill>
                  <w14:schemeClr w14:val="tx1"/>
                </w14:solidFill>
              </w14:textFill>
            </w:rPr>
            <w:fldChar w:fldCharType="end"/>
          </w:r>
        </w:p>
        <w:p w14:paraId="7F1E24B0">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_Toc32519 </w:instrText>
          </w:r>
          <w:r>
            <w:rPr>
              <w:rFonts w:hint="eastAsia" w:ascii="宋体" w:hAnsi="宋体" w:eastAsia="宋体" w:cs="宋体"/>
            </w:rPr>
            <w:fldChar w:fldCharType="separate"/>
          </w:r>
          <w:r>
            <w:rPr>
              <w:rFonts w:hint="eastAsia" w:ascii="宋体" w:hAnsi="宋体" w:eastAsia="宋体" w:cs="宋体"/>
              <w:lang w:val="en-US" w:eastAsia="zh-CN"/>
            </w:rPr>
            <w:t>3.5.1厂址危险性分析</w:t>
          </w:r>
          <w:r>
            <w:tab/>
          </w:r>
          <w:r>
            <w:fldChar w:fldCharType="begin"/>
          </w:r>
          <w:r>
            <w:instrText xml:space="preserve"> PAGEREF _Toc32519 \h </w:instrText>
          </w:r>
          <w:r>
            <w:fldChar w:fldCharType="separate"/>
          </w:r>
          <w:r>
            <w:t>33</w:t>
          </w:r>
          <w:r>
            <w:fldChar w:fldCharType="end"/>
          </w:r>
          <w:r>
            <w:rPr>
              <w:rFonts w:hint="eastAsia" w:ascii="宋体" w:hAnsi="宋体" w:eastAsia="宋体" w:cs="宋体"/>
              <w:color w:val="000000" w:themeColor="text1"/>
              <w14:textFill>
                <w14:solidFill>
                  <w14:schemeClr w14:val="tx1"/>
                </w14:solidFill>
              </w14:textFill>
            </w:rPr>
            <w:fldChar w:fldCharType="end"/>
          </w:r>
        </w:p>
        <w:p w14:paraId="70DAF6B1">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_Toc16423 </w:instrText>
          </w:r>
          <w:r>
            <w:rPr>
              <w:rFonts w:hint="eastAsia" w:ascii="宋体" w:hAnsi="宋体" w:eastAsia="宋体" w:cs="宋体"/>
            </w:rPr>
            <w:fldChar w:fldCharType="separate"/>
          </w:r>
          <w:r>
            <w:rPr>
              <w:rFonts w:hint="eastAsia" w:ascii="宋体" w:hAnsi="宋体" w:eastAsia="宋体" w:cs="宋体"/>
              <w:lang w:val="en-US" w:eastAsia="zh-CN"/>
            </w:rPr>
            <w:t>3.5.2总平面布置危险性分析</w:t>
          </w:r>
          <w:r>
            <w:tab/>
          </w:r>
          <w:r>
            <w:fldChar w:fldCharType="begin"/>
          </w:r>
          <w:r>
            <w:instrText xml:space="preserve"> PAGEREF _Toc16423 \h </w:instrText>
          </w:r>
          <w:r>
            <w:fldChar w:fldCharType="separate"/>
          </w:r>
          <w:r>
            <w:t>35</w:t>
          </w:r>
          <w:r>
            <w:fldChar w:fldCharType="end"/>
          </w:r>
          <w:r>
            <w:rPr>
              <w:rFonts w:hint="eastAsia" w:ascii="宋体" w:hAnsi="宋体" w:eastAsia="宋体" w:cs="宋体"/>
              <w:color w:val="000000" w:themeColor="text1"/>
              <w14:textFill>
                <w14:solidFill>
                  <w14:schemeClr w14:val="tx1"/>
                </w14:solidFill>
              </w14:textFill>
            </w:rPr>
            <w:fldChar w:fldCharType="end"/>
          </w:r>
        </w:p>
        <w:p w14:paraId="03BCE472">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_Toc20477 </w:instrText>
          </w:r>
          <w:r>
            <w:rPr>
              <w:rFonts w:hint="eastAsia" w:ascii="宋体" w:hAnsi="宋体" w:eastAsia="宋体" w:cs="宋体"/>
            </w:rPr>
            <w:fldChar w:fldCharType="separate"/>
          </w:r>
          <w:r>
            <w:rPr>
              <w:rFonts w:hint="eastAsia" w:ascii="宋体" w:hAnsi="宋体" w:eastAsia="宋体" w:cs="宋体"/>
              <w:lang w:val="en-US" w:eastAsia="zh-CN"/>
            </w:rPr>
            <w:t>3.5.3公用工程和辅助设施的危险、有害因素辨识</w:t>
          </w:r>
          <w:r>
            <w:tab/>
          </w:r>
          <w:r>
            <w:fldChar w:fldCharType="begin"/>
          </w:r>
          <w:r>
            <w:instrText xml:space="preserve"> PAGEREF _Toc20477 \h </w:instrText>
          </w:r>
          <w:r>
            <w:fldChar w:fldCharType="separate"/>
          </w:r>
          <w:r>
            <w:t>35</w:t>
          </w:r>
          <w:r>
            <w:fldChar w:fldCharType="end"/>
          </w:r>
          <w:r>
            <w:rPr>
              <w:rFonts w:hint="eastAsia" w:ascii="宋体" w:hAnsi="宋体" w:eastAsia="宋体" w:cs="宋体"/>
              <w:color w:val="000000" w:themeColor="text1"/>
              <w14:textFill>
                <w14:solidFill>
                  <w14:schemeClr w14:val="tx1"/>
                </w14:solidFill>
              </w14:textFill>
            </w:rPr>
            <w:fldChar w:fldCharType="end"/>
          </w:r>
        </w:p>
        <w:p w14:paraId="257893E8">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_Toc27787 </w:instrText>
          </w:r>
          <w:r>
            <w:rPr>
              <w:rFonts w:hint="eastAsia" w:ascii="宋体" w:hAnsi="宋体" w:eastAsia="宋体" w:cs="宋体"/>
            </w:rPr>
            <w:fldChar w:fldCharType="separate"/>
          </w:r>
          <w:r>
            <w:rPr>
              <w:rFonts w:hint="eastAsia" w:ascii="宋体" w:hAnsi="宋体" w:eastAsia="宋体" w:cs="宋体"/>
            </w:rPr>
            <w:t>3.6主要危险、有害因素类别分析</w:t>
          </w:r>
          <w:r>
            <w:tab/>
          </w:r>
          <w:r>
            <w:fldChar w:fldCharType="begin"/>
          </w:r>
          <w:r>
            <w:instrText xml:space="preserve"> PAGEREF _Toc27787 \h </w:instrText>
          </w:r>
          <w:r>
            <w:fldChar w:fldCharType="separate"/>
          </w:r>
          <w:r>
            <w:t>39</w:t>
          </w:r>
          <w:r>
            <w:fldChar w:fldCharType="end"/>
          </w:r>
          <w:r>
            <w:rPr>
              <w:rFonts w:hint="eastAsia" w:ascii="宋体" w:hAnsi="宋体" w:eastAsia="宋体" w:cs="宋体"/>
              <w:color w:val="000000" w:themeColor="text1"/>
              <w14:textFill>
                <w14:solidFill>
                  <w14:schemeClr w14:val="tx1"/>
                </w14:solidFill>
              </w14:textFill>
            </w:rPr>
            <w:fldChar w:fldCharType="end"/>
          </w:r>
        </w:p>
        <w:p w14:paraId="04B33531">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_Toc8610 </w:instrText>
          </w:r>
          <w:r>
            <w:rPr>
              <w:rFonts w:hint="eastAsia" w:ascii="宋体" w:hAnsi="宋体" w:eastAsia="宋体" w:cs="宋体"/>
            </w:rPr>
            <w:fldChar w:fldCharType="separate"/>
          </w:r>
          <w:r>
            <w:rPr>
              <w:rFonts w:hint="eastAsia" w:ascii="宋体" w:hAnsi="宋体" w:eastAsia="宋体" w:cs="宋体"/>
              <w:lang w:val="en-US" w:eastAsia="zh-CN"/>
            </w:rPr>
            <w:t>3.6.1火灾危险性分析</w:t>
          </w:r>
          <w:r>
            <w:tab/>
          </w:r>
          <w:r>
            <w:fldChar w:fldCharType="begin"/>
          </w:r>
          <w:r>
            <w:instrText xml:space="preserve"> PAGEREF _Toc8610 \h </w:instrText>
          </w:r>
          <w:r>
            <w:fldChar w:fldCharType="separate"/>
          </w:r>
          <w:r>
            <w:t>39</w:t>
          </w:r>
          <w:r>
            <w:fldChar w:fldCharType="end"/>
          </w:r>
          <w:r>
            <w:rPr>
              <w:rFonts w:hint="eastAsia" w:ascii="宋体" w:hAnsi="宋体" w:eastAsia="宋体" w:cs="宋体"/>
              <w:color w:val="000000" w:themeColor="text1"/>
              <w14:textFill>
                <w14:solidFill>
                  <w14:schemeClr w14:val="tx1"/>
                </w14:solidFill>
              </w14:textFill>
            </w:rPr>
            <w:fldChar w:fldCharType="end"/>
          </w:r>
        </w:p>
        <w:p w14:paraId="4985F39B">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_Toc21829 </w:instrText>
          </w:r>
          <w:r>
            <w:rPr>
              <w:rFonts w:hint="eastAsia" w:ascii="宋体" w:hAnsi="宋体" w:eastAsia="宋体" w:cs="宋体"/>
            </w:rPr>
            <w:fldChar w:fldCharType="separate"/>
          </w:r>
          <w:r>
            <w:rPr>
              <w:rFonts w:hint="eastAsia" w:ascii="宋体" w:hAnsi="宋体" w:eastAsia="宋体" w:cs="宋体"/>
              <w:lang w:val="en-US" w:eastAsia="zh-CN"/>
            </w:rPr>
            <w:t>3.6.2容器爆炸危险性分析</w:t>
          </w:r>
          <w:r>
            <w:tab/>
          </w:r>
          <w:r>
            <w:fldChar w:fldCharType="begin"/>
          </w:r>
          <w:r>
            <w:instrText xml:space="preserve"> PAGEREF _Toc21829 \h </w:instrText>
          </w:r>
          <w:r>
            <w:fldChar w:fldCharType="separate"/>
          </w:r>
          <w:r>
            <w:t>41</w:t>
          </w:r>
          <w:r>
            <w:fldChar w:fldCharType="end"/>
          </w:r>
          <w:r>
            <w:rPr>
              <w:rFonts w:hint="eastAsia" w:ascii="宋体" w:hAnsi="宋体" w:eastAsia="宋体" w:cs="宋体"/>
              <w:color w:val="000000" w:themeColor="text1"/>
              <w14:textFill>
                <w14:solidFill>
                  <w14:schemeClr w14:val="tx1"/>
                </w14:solidFill>
              </w14:textFill>
            </w:rPr>
            <w:fldChar w:fldCharType="end"/>
          </w:r>
        </w:p>
        <w:p w14:paraId="00CDB208">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_Toc10262 </w:instrText>
          </w:r>
          <w:r>
            <w:rPr>
              <w:rFonts w:hint="eastAsia" w:ascii="宋体" w:hAnsi="宋体" w:eastAsia="宋体" w:cs="宋体"/>
            </w:rPr>
            <w:fldChar w:fldCharType="separate"/>
          </w:r>
          <w:r>
            <w:rPr>
              <w:rFonts w:hint="eastAsia" w:ascii="宋体" w:hAnsi="宋体" w:eastAsia="宋体" w:cs="宋体"/>
              <w:lang w:val="en-US" w:eastAsia="zh-CN"/>
            </w:rPr>
            <w:t>3.6.3机械伤害危险性分析</w:t>
          </w:r>
          <w:r>
            <w:tab/>
          </w:r>
          <w:r>
            <w:fldChar w:fldCharType="begin"/>
          </w:r>
          <w:r>
            <w:instrText xml:space="preserve"> PAGEREF _Toc10262 \h </w:instrText>
          </w:r>
          <w:r>
            <w:fldChar w:fldCharType="separate"/>
          </w:r>
          <w:r>
            <w:t>41</w:t>
          </w:r>
          <w:r>
            <w:fldChar w:fldCharType="end"/>
          </w:r>
          <w:r>
            <w:rPr>
              <w:rFonts w:hint="eastAsia" w:ascii="宋体" w:hAnsi="宋体" w:eastAsia="宋体" w:cs="宋体"/>
              <w:color w:val="000000" w:themeColor="text1"/>
              <w14:textFill>
                <w14:solidFill>
                  <w14:schemeClr w14:val="tx1"/>
                </w14:solidFill>
              </w14:textFill>
            </w:rPr>
            <w:fldChar w:fldCharType="end"/>
          </w:r>
        </w:p>
        <w:p w14:paraId="183960B5">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_Toc24951 </w:instrText>
          </w:r>
          <w:r>
            <w:rPr>
              <w:rFonts w:hint="eastAsia" w:ascii="宋体" w:hAnsi="宋体" w:eastAsia="宋体" w:cs="宋体"/>
            </w:rPr>
            <w:fldChar w:fldCharType="separate"/>
          </w:r>
          <w:r>
            <w:rPr>
              <w:rFonts w:hint="eastAsia" w:ascii="宋体" w:hAnsi="宋体" w:eastAsia="宋体" w:cs="宋体"/>
              <w:lang w:val="en-US" w:eastAsia="zh-CN"/>
            </w:rPr>
            <w:t>3.6.4高处坠落危险性分析</w:t>
          </w:r>
          <w:r>
            <w:tab/>
          </w:r>
          <w:r>
            <w:fldChar w:fldCharType="begin"/>
          </w:r>
          <w:r>
            <w:instrText xml:space="preserve"> PAGEREF _Toc24951 \h </w:instrText>
          </w:r>
          <w:r>
            <w:fldChar w:fldCharType="separate"/>
          </w:r>
          <w:r>
            <w:t>42</w:t>
          </w:r>
          <w:r>
            <w:fldChar w:fldCharType="end"/>
          </w:r>
          <w:r>
            <w:rPr>
              <w:rFonts w:hint="eastAsia" w:ascii="宋体" w:hAnsi="宋体" w:eastAsia="宋体" w:cs="宋体"/>
              <w:color w:val="000000" w:themeColor="text1"/>
              <w14:textFill>
                <w14:solidFill>
                  <w14:schemeClr w14:val="tx1"/>
                </w14:solidFill>
              </w14:textFill>
            </w:rPr>
            <w:fldChar w:fldCharType="end"/>
          </w:r>
        </w:p>
        <w:p w14:paraId="200B742D">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_Toc6721 </w:instrText>
          </w:r>
          <w:r>
            <w:rPr>
              <w:rFonts w:hint="eastAsia" w:ascii="宋体" w:hAnsi="宋体" w:eastAsia="宋体" w:cs="宋体"/>
            </w:rPr>
            <w:fldChar w:fldCharType="separate"/>
          </w:r>
          <w:r>
            <w:rPr>
              <w:rFonts w:hint="eastAsia" w:ascii="宋体" w:hAnsi="宋体" w:eastAsia="宋体" w:cs="宋体"/>
              <w:lang w:val="en-US" w:eastAsia="zh-CN"/>
            </w:rPr>
            <w:t>3.6.5触电事故危险性素分析</w:t>
          </w:r>
          <w:r>
            <w:tab/>
          </w:r>
          <w:r>
            <w:fldChar w:fldCharType="begin"/>
          </w:r>
          <w:r>
            <w:instrText xml:space="preserve"> PAGEREF _Toc6721 \h </w:instrText>
          </w:r>
          <w:r>
            <w:fldChar w:fldCharType="separate"/>
          </w:r>
          <w:r>
            <w:t>43</w:t>
          </w:r>
          <w:r>
            <w:fldChar w:fldCharType="end"/>
          </w:r>
          <w:r>
            <w:rPr>
              <w:rFonts w:hint="eastAsia" w:ascii="宋体" w:hAnsi="宋体" w:eastAsia="宋体" w:cs="宋体"/>
              <w:color w:val="000000" w:themeColor="text1"/>
              <w14:textFill>
                <w14:solidFill>
                  <w14:schemeClr w14:val="tx1"/>
                </w14:solidFill>
              </w14:textFill>
            </w:rPr>
            <w:fldChar w:fldCharType="end"/>
          </w:r>
        </w:p>
        <w:p w14:paraId="3B6CE4C2">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_Toc19953 </w:instrText>
          </w:r>
          <w:r>
            <w:rPr>
              <w:rFonts w:hint="eastAsia" w:ascii="宋体" w:hAnsi="宋体" w:eastAsia="宋体" w:cs="宋体"/>
            </w:rPr>
            <w:fldChar w:fldCharType="separate"/>
          </w:r>
          <w:r>
            <w:rPr>
              <w:rFonts w:hint="eastAsia" w:ascii="宋体" w:hAnsi="宋体" w:eastAsia="宋体" w:cs="宋体"/>
              <w:lang w:val="en-US" w:eastAsia="zh-CN"/>
            </w:rPr>
            <w:t>3.6.6物体打击危险性分析</w:t>
          </w:r>
          <w:r>
            <w:tab/>
          </w:r>
          <w:r>
            <w:fldChar w:fldCharType="begin"/>
          </w:r>
          <w:r>
            <w:instrText xml:space="preserve"> PAGEREF _Toc19953 \h </w:instrText>
          </w:r>
          <w:r>
            <w:fldChar w:fldCharType="separate"/>
          </w:r>
          <w:r>
            <w:t>43</w:t>
          </w:r>
          <w:r>
            <w:fldChar w:fldCharType="end"/>
          </w:r>
          <w:r>
            <w:rPr>
              <w:rFonts w:hint="eastAsia" w:ascii="宋体" w:hAnsi="宋体" w:eastAsia="宋体" w:cs="宋体"/>
              <w:color w:val="000000" w:themeColor="text1"/>
              <w14:textFill>
                <w14:solidFill>
                  <w14:schemeClr w14:val="tx1"/>
                </w14:solidFill>
              </w14:textFill>
            </w:rPr>
            <w:fldChar w:fldCharType="end"/>
          </w:r>
        </w:p>
        <w:p w14:paraId="37A8C007">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_Toc7275 </w:instrText>
          </w:r>
          <w:r>
            <w:rPr>
              <w:rFonts w:hint="eastAsia" w:ascii="宋体" w:hAnsi="宋体" w:eastAsia="宋体" w:cs="宋体"/>
            </w:rPr>
            <w:fldChar w:fldCharType="separate"/>
          </w:r>
          <w:r>
            <w:rPr>
              <w:rFonts w:hint="eastAsia" w:ascii="宋体" w:hAnsi="宋体" w:eastAsia="宋体" w:cs="宋体"/>
              <w:lang w:val="en-US" w:eastAsia="zh-CN"/>
            </w:rPr>
            <w:t>3.6.7车辆伤害危险性分析</w:t>
          </w:r>
          <w:r>
            <w:tab/>
          </w:r>
          <w:r>
            <w:fldChar w:fldCharType="begin"/>
          </w:r>
          <w:r>
            <w:instrText xml:space="preserve"> PAGEREF _Toc7275 \h </w:instrText>
          </w:r>
          <w:r>
            <w:fldChar w:fldCharType="separate"/>
          </w:r>
          <w:r>
            <w:t>44</w:t>
          </w:r>
          <w:r>
            <w:fldChar w:fldCharType="end"/>
          </w:r>
          <w:r>
            <w:rPr>
              <w:rFonts w:hint="eastAsia" w:ascii="宋体" w:hAnsi="宋体" w:eastAsia="宋体" w:cs="宋体"/>
              <w:color w:val="000000" w:themeColor="text1"/>
              <w14:textFill>
                <w14:solidFill>
                  <w14:schemeClr w14:val="tx1"/>
                </w14:solidFill>
              </w14:textFill>
            </w:rPr>
            <w:fldChar w:fldCharType="end"/>
          </w:r>
        </w:p>
        <w:p w14:paraId="23ACE0CE">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_Toc10579 </w:instrText>
          </w:r>
          <w:r>
            <w:rPr>
              <w:rFonts w:hint="eastAsia" w:ascii="宋体" w:hAnsi="宋体" w:eastAsia="宋体" w:cs="宋体"/>
            </w:rPr>
            <w:fldChar w:fldCharType="separate"/>
          </w:r>
          <w:r>
            <w:rPr>
              <w:rFonts w:hint="eastAsia" w:ascii="宋体" w:hAnsi="宋体" w:eastAsia="宋体" w:cs="宋体"/>
              <w:lang w:val="en-US" w:eastAsia="zh-CN"/>
            </w:rPr>
            <w:t>3.6.8坍塌危险性分析</w:t>
          </w:r>
          <w:r>
            <w:tab/>
          </w:r>
          <w:r>
            <w:fldChar w:fldCharType="begin"/>
          </w:r>
          <w:r>
            <w:instrText xml:space="preserve"> PAGEREF _Toc10579 \h </w:instrText>
          </w:r>
          <w:r>
            <w:fldChar w:fldCharType="separate"/>
          </w:r>
          <w:r>
            <w:t>45</w:t>
          </w:r>
          <w:r>
            <w:fldChar w:fldCharType="end"/>
          </w:r>
          <w:r>
            <w:rPr>
              <w:rFonts w:hint="eastAsia" w:ascii="宋体" w:hAnsi="宋体" w:eastAsia="宋体" w:cs="宋体"/>
              <w:color w:val="000000" w:themeColor="text1"/>
              <w14:textFill>
                <w14:solidFill>
                  <w14:schemeClr w14:val="tx1"/>
                </w14:solidFill>
              </w14:textFill>
            </w:rPr>
            <w:fldChar w:fldCharType="end"/>
          </w:r>
        </w:p>
        <w:p w14:paraId="21F99B3E">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_Toc15047 </w:instrText>
          </w:r>
          <w:r>
            <w:rPr>
              <w:rFonts w:hint="eastAsia" w:ascii="宋体" w:hAnsi="宋体" w:eastAsia="宋体" w:cs="宋体"/>
            </w:rPr>
            <w:fldChar w:fldCharType="separate"/>
          </w:r>
          <w:r>
            <w:rPr>
              <w:rFonts w:hint="eastAsia" w:ascii="宋体" w:hAnsi="宋体" w:eastAsia="宋体" w:cs="宋体"/>
              <w:lang w:val="en-US" w:eastAsia="zh-CN"/>
            </w:rPr>
            <w:t>3.6.9 起重伤害危险性分析</w:t>
          </w:r>
          <w:r>
            <w:tab/>
          </w:r>
          <w:r>
            <w:fldChar w:fldCharType="begin"/>
          </w:r>
          <w:r>
            <w:instrText xml:space="preserve"> PAGEREF _Toc15047 \h </w:instrText>
          </w:r>
          <w:r>
            <w:fldChar w:fldCharType="separate"/>
          </w:r>
          <w:r>
            <w:t>45</w:t>
          </w:r>
          <w:r>
            <w:fldChar w:fldCharType="end"/>
          </w:r>
          <w:r>
            <w:rPr>
              <w:rFonts w:hint="eastAsia" w:ascii="宋体" w:hAnsi="宋体" w:eastAsia="宋体" w:cs="宋体"/>
              <w:color w:val="000000" w:themeColor="text1"/>
              <w14:textFill>
                <w14:solidFill>
                  <w14:schemeClr w14:val="tx1"/>
                </w14:solidFill>
              </w14:textFill>
            </w:rPr>
            <w:fldChar w:fldCharType="end"/>
          </w:r>
        </w:p>
        <w:p w14:paraId="13B81B2F">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_Toc14933 </w:instrText>
          </w:r>
          <w:r>
            <w:rPr>
              <w:rFonts w:hint="eastAsia" w:ascii="宋体" w:hAnsi="宋体" w:eastAsia="宋体" w:cs="宋体"/>
            </w:rPr>
            <w:fldChar w:fldCharType="separate"/>
          </w:r>
          <w:r>
            <w:rPr>
              <w:rFonts w:hint="eastAsia" w:ascii="宋体" w:hAnsi="宋体" w:eastAsia="宋体" w:cs="宋体"/>
              <w:lang w:val="en-US" w:eastAsia="zh-CN"/>
            </w:rPr>
            <w:t>3.6.10静电、雷电危险性分析</w:t>
          </w:r>
          <w:r>
            <w:tab/>
          </w:r>
          <w:r>
            <w:fldChar w:fldCharType="begin"/>
          </w:r>
          <w:r>
            <w:instrText xml:space="preserve"> PAGEREF _Toc14933 \h </w:instrText>
          </w:r>
          <w:r>
            <w:fldChar w:fldCharType="separate"/>
          </w:r>
          <w:r>
            <w:t>47</w:t>
          </w:r>
          <w:r>
            <w:fldChar w:fldCharType="end"/>
          </w:r>
          <w:r>
            <w:rPr>
              <w:rFonts w:hint="eastAsia" w:ascii="宋体" w:hAnsi="宋体" w:eastAsia="宋体" w:cs="宋体"/>
              <w:color w:val="000000" w:themeColor="text1"/>
              <w14:textFill>
                <w14:solidFill>
                  <w14:schemeClr w14:val="tx1"/>
                </w14:solidFill>
              </w14:textFill>
            </w:rPr>
            <w:fldChar w:fldCharType="end"/>
          </w:r>
        </w:p>
        <w:p w14:paraId="2034D0F4">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_Toc19098 </w:instrText>
          </w:r>
          <w:r>
            <w:rPr>
              <w:rFonts w:hint="eastAsia" w:ascii="宋体" w:hAnsi="宋体" w:eastAsia="宋体" w:cs="宋体"/>
            </w:rPr>
            <w:fldChar w:fldCharType="separate"/>
          </w:r>
          <w:r>
            <w:rPr>
              <w:rFonts w:hint="eastAsia" w:ascii="宋体" w:hAnsi="宋体" w:eastAsia="宋体" w:cs="宋体"/>
              <w:lang w:val="en-US" w:eastAsia="zh-CN"/>
            </w:rPr>
            <w:t>3.6.11其他伤害危险性分析</w:t>
          </w:r>
          <w:r>
            <w:tab/>
          </w:r>
          <w:r>
            <w:fldChar w:fldCharType="begin"/>
          </w:r>
          <w:r>
            <w:instrText xml:space="preserve"> PAGEREF _Toc19098 \h </w:instrText>
          </w:r>
          <w:r>
            <w:fldChar w:fldCharType="separate"/>
          </w:r>
          <w:r>
            <w:t>48</w:t>
          </w:r>
          <w:r>
            <w:fldChar w:fldCharType="end"/>
          </w:r>
          <w:r>
            <w:rPr>
              <w:rFonts w:hint="eastAsia" w:ascii="宋体" w:hAnsi="宋体" w:eastAsia="宋体" w:cs="宋体"/>
              <w:color w:val="000000" w:themeColor="text1"/>
              <w14:textFill>
                <w14:solidFill>
                  <w14:schemeClr w14:val="tx1"/>
                </w14:solidFill>
              </w14:textFill>
            </w:rPr>
            <w:fldChar w:fldCharType="end"/>
          </w:r>
        </w:p>
        <w:p w14:paraId="542546BF">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_Toc11502 </w:instrText>
          </w:r>
          <w:r>
            <w:rPr>
              <w:rFonts w:hint="eastAsia" w:ascii="宋体" w:hAnsi="宋体" w:eastAsia="宋体" w:cs="宋体"/>
            </w:rPr>
            <w:fldChar w:fldCharType="separate"/>
          </w:r>
          <w:r>
            <w:rPr>
              <w:rFonts w:hint="eastAsia" w:ascii="宋体" w:hAnsi="宋体" w:eastAsia="宋体" w:cs="宋体"/>
            </w:rPr>
            <w:t>3.7特殊作业危险性分析</w:t>
          </w:r>
          <w:r>
            <w:tab/>
          </w:r>
          <w:r>
            <w:fldChar w:fldCharType="begin"/>
          </w:r>
          <w:r>
            <w:instrText xml:space="preserve"> PAGEREF _Toc11502 \h </w:instrText>
          </w:r>
          <w:r>
            <w:fldChar w:fldCharType="separate"/>
          </w:r>
          <w:r>
            <w:t>49</w:t>
          </w:r>
          <w:r>
            <w:fldChar w:fldCharType="end"/>
          </w:r>
          <w:r>
            <w:rPr>
              <w:rFonts w:hint="eastAsia" w:ascii="宋体" w:hAnsi="宋体" w:eastAsia="宋体" w:cs="宋体"/>
              <w:color w:val="000000" w:themeColor="text1"/>
              <w14:textFill>
                <w14:solidFill>
                  <w14:schemeClr w14:val="tx1"/>
                </w14:solidFill>
              </w14:textFill>
            </w:rPr>
            <w:fldChar w:fldCharType="end"/>
          </w:r>
        </w:p>
        <w:p w14:paraId="55A6D0AB">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_Toc19644 </w:instrText>
          </w:r>
          <w:r>
            <w:rPr>
              <w:rFonts w:hint="eastAsia" w:ascii="宋体" w:hAnsi="宋体" w:eastAsia="宋体" w:cs="宋体"/>
            </w:rPr>
            <w:fldChar w:fldCharType="separate"/>
          </w:r>
          <w:r>
            <w:rPr>
              <w:rFonts w:hint="eastAsia" w:ascii="宋体" w:hAnsi="宋体" w:eastAsia="宋体" w:cs="宋体"/>
              <w:lang w:val="en-US" w:eastAsia="zh-CN"/>
            </w:rPr>
            <w:t>3.7.1临时用电作业危险、有害因素分析</w:t>
          </w:r>
          <w:r>
            <w:tab/>
          </w:r>
          <w:r>
            <w:fldChar w:fldCharType="begin"/>
          </w:r>
          <w:r>
            <w:instrText xml:space="preserve"> PAGEREF _Toc19644 \h </w:instrText>
          </w:r>
          <w:r>
            <w:fldChar w:fldCharType="separate"/>
          </w:r>
          <w:r>
            <w:t>49</w:t>
          </w:r>
          <w:r>
            <w:fldChar w:fldCharType="end"/>
          </w:r>
          <w:r>
            <w:rPr>
              <w:rFonts w:hint="eastAsia" w:ascii="宋体" w:hAnsi="宋体" w:eastAsia="宋体" w:cs="宋体"/>
              <w:color w:val="000000" w:themeColor="text1"/>
              <w14:textFill>
                <w14:solidFill>
                  <w14:schemeClr w14:val="tx1"/>
                </w14:solidFill>
              </w14:textFill>
            </w:rPr>
            <w:fldChar w:fldCharType="end"/>
          </w:r>
        </w:p>
        <w:p w14:paraId="74FBA5A9">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_Toc22629 </w:instrText>
          </w:r>
          <w:r>
            <w:rPr>
              <w:rFonts w:hint="eastAsia" w:ascii="宋体" w:hAnsi="宋体" w:eastAsia="宋体" w:cs="宋体"/>
            </w:rPr>
            <w:fldChar w:fldCharType="separate"/>
          </w:r>
          <w:r>
            <w:rPr>
              <w:rFonts w:hint="eastAsia" w:ascii="宋体" w:hAnsi="宋体" w:eastAsia="宋体" w:cs="宋体"/>
              <w:lang w:val="en-US" w:eastAsia="zh-CN"/>
            </w:rPr>
            <w:t>3.7.2动火作业危险、有害因素分析</w:t>
          </w:r>
          <w:r>
            <w:tab/>
          </w:r>
          <w:r>
            <w:fldChar w:fldCharType="begin"/>
          </w:r>
          <w:r>
            <w:instrText xml:space="preserve"> PAGEREF _Toc22629 \h </w:instrText>
          </w:r>
          <w:r>
            <w:fldChar w:fldCharType="separate"/>
          </w:r>
          <w:r>
            <w:t>50</w:t>
          </w:r>
          <w:r>
            <w:fldChar w:fldCharType="end"/>
          </w:r>
          <w:r>
            <w:rPr>
              <w:rFonts w:hint="eastAsia" w:ascii="宋体" w:hAnsi="宋体" w:eastAsia="宋体" w:cs="宋体"/>
              <w:color w:val="000000" w:themeColor="text1"/>
              <w14:textFill>
                <w14:solidFill>
                  <w14:schemeClr w14:val="tx1"/>
                </w14:solidFill>
              </w14:textFill>
            </w:rPr>
            <w:fldChar w:fldCharType="end"/>
          </w:r>
        </w:p>
        <w:p w14:paraId="64A7DCB5">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_Toc30172 </w:instrText>
          </w:r>
          <w:r>
            <w:rPr>
              <w:rFonts w:hint="eastAsia" w:ascii="宋体" w:hAnsi="宋体" w:eastAsia="宋体" w:cs="宋体"/>
            </w:rPr>
            <w:fldChar w:fldCharType="separate"/>
          </w:r>
          <w:r>
            <w:rPr>
              <w:rFonts w:hint="eastAsia" w:ascii="宋体" w:hAnsi="宋体" w:eastAsia="宋体" w:cs="宋体"/>
              <w:lang w:val="en-US" w:eastAsia="zh-CN"/>
            </w:rPr>
            <w:t>3.7.3高处作业危险、有害因素分析</w:t>
          </w:r>
          <w:r>
            <w:tab/>
          </w:r>
          <w:r>
            <w:fldChar w:fldCharType="begin"/>
          </w:r>
          <w:r>
            <w:instrText xml:space="preserve"> PAGEREF _Toc30172 \h </w:instrText>
          </w:r>
          <w:r>
            <w:fldChar w:fldCharType="separate"/>
          </w:r>
          <w:r>
            <w:t>50</w:t>
          </w:r>
          <w:r>
            <w:fldChar w:fldCharType="end"/>
          </w:r>
          <w:r>
            <w:rPr>
              <w:rFonts w:hint="eastAsia" w:ascii="宋体" w:hAnsi="宋体" w:eastAsia="宋体" w:cs="宋体"/>
              <w:color w:val="000000" w:themeColor="text1"/>
              <w14:textFill>
                <w14:solidFill>
                  <w14:schemeClr w14:val="tx1"/>
                </w14:solidFill>
              </w14:textFill>
            </w:rPr>
            <w:fldChar w:fldCharType="end"/>
          </w:r>
        </w:p>
        <w:p w14:paraId="0ABF27C4">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_Toc5906 </w:instrText>
          </w:r>
          <w:r>
            <w:rPr>
              <w:rFonts w:hint="eastAsia" w:ascii="宋体" w:hAnsi="宋体" w:eastAsia="宋体" w:cs="宋体"/>
            </w:rPr>
            <w:fldChar w:fldCharType="separate"/>
          </w:r>
          <w:r>
            <w:rPr>
              <w:rFonts w:hint="eastAsia" w:ascii="宋体" w:hAnsi="宋体" w:eastAsia="宋体" w:cs="宋体"/>
              <w:lang w:val="en-US" w:eastAsia="zh-CN"/>
            </w:rPr>
            <w:t>3.7.4</w:t>
          </w:r>
          <w:r>
            <w:rPr>
              <w:rFonts w:hint="eastAsia" w:ascii="宋体" w:hAnsi="宋体" w:eastAsia="宋体" w:cs="宋体"/>
            </w:rPr>
            <w:t>吊装作业</w:t>
          </w:r>
          <w:r>
            <w:rPr>
              <w:rFonts w:hint="eastAsia" w:ascii="宋体" w:hAnsi="宋体" w:eastAsia="宋体" w:cs="宋体"/>
              <w:lang w:val="en-US" w:eastAsia="zh-CN"/>
            </w:rPr>
            <w:t>危险、有害因素分析</w:t>
          </w:r>
          <w:r>
            <w:tab/>
          </w:r>
          <w:r>
            <w:fldChar w:fldCharType="begin"/>
          </w:r>
          <w:r>
            <w:instrText xml:space="preserve"> PAGEREF _Toc5906 \h </w:instrText>
          </w:r>
          <w:r>
            <w:fldChar w:fldCharType="separate"/>
          </w:r>
          <w:r>
            <w:t>51</w:t>
          </w:r>
          <w:r>
            <w:fldChar w:fldCharType="end"/>
          </w:r>
          <w:r>
            <w:rPr>
              <w:rFonts w:hint="eastAsia" w:ascii="宋体" w:hAnsi="宋体" w:eastAsia="宋体" w:cs="宋体"/>
              <w:color w:val="000000" w:themeColor="text1"/>
              <w14:textFill>
                <w14:solidFill>
                  <w14:schemeClr w14:val="tx1"/>
                </w14:solidFill>
              </w14:textFill>
            </w:rPr>
            <w:fldChar w:fldCharType="end"/>
          </w:r>
        </w:p>
        <w:p w14:paraId="6D36E66A">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_Toc21969 </w:instrText>
          </w:r>
          <w:r>
            <w:rPr>
              <w:rFonts w:hint="eastAsia" w:ascii="宋体" w:hAnsi="宋体" w:eastAsia="宋体" w:cs="宋体"/>
            </w:rPr>
            <w:fldChar w:fldCharType="separate"/>
          </w:r>
          <w:r>
            <w:rPr>
              <w:rFonts w:hint="eastAsia" w:ascii="宋体" w:hAnsi="宋体" w:eastAsia="宋体" w:cs="宋体"/>
            </w:rPr>
            <w:t>3.8设备检维修过程危险、有害因素分析</w:t>
          </w:r>
          <w:r>
            <w:tab/>
          </w:r>
          <w:r>
            <w:fldChar w:fldCharType="begin"/>
          </w:r>
          <w:r>
            <w:instrText xml:space="preserve"> PAGEREF _Toc21969 \h </w:instrText>
          </w:r>
          <w:r>
            <w:fldChar w:fldCharType="separate"/>
          </w:r>
          <w:r>
            <w:t>51</w:t>
          </w:r>
          <w:r>
            <w:fldChar w:fldCharType="end"/>
          </w:r>
          <w:r>
            <w:rPr>
              <w:rFonts w:hint="eastAsia" w:ascii="宋体" w:hAnsi="宋体" w:eastAsia="宋体" w:cs="宋体"/>
              <w:color w:val="000000" w:themeColor="text1"/>
              <w14:textFill>
                <w14:solidFill>
                  <w14:schemeClr w14:val="tx1"/>
                </w14:solidFill>
              </w14:textFill>
            </w:rPr>
            <w:fldChar w:fldCharType="end"/>
          </w:r>
        </w:p>
        <w:p w14:paraId="594F55AC">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_Toc17629 </w:instrText>
          </w:r>
          <w:r>
            <w:rPr>
              <w:rFonts w:hint="eastAsia" w:ascii="宋体" w:hAnsi="宋体" w:eastAsia="宋体" w:cs="宋体"/>
            </w:rPr>
            <w:fldChar w:fldCharType="separate"/>
          </w:r>
          <w:r>
            <w:rPr>
              <w:rFonts w:hint="eastAsia" w:ascii="宋体" w:hAnsi="宋体" w:eastAsia="宋体" w:cs="宋体"/>
            </w:rPr>
            <w:t>3.9安全管理危险性分析</w:t>
          </w:r>
          <w:r>
            <w:tab/>
          </w:r>
          <w:r>
            <w:fldChar w:fldCharType="begin"/>
          </w:r>
          <w:r>
            <w:instrText xml:space="preserve"> PAGEREF _Toc17629 \h </w:instrText>
          </w:r>
          <w:r>
            <w:fldChar w:fldCharType="separate"/>
          </w:r>
          <w:r>
            <w:t>53</w:t>
          </w:r>
          <w:r>
            <w:fldChar w:fldCharType="end"/>
          </w:r>
          <w:r>
            <w:rPr>
              <w:rFonts w:hint="eastAsia" w:ascii="宋体" w:hAnsi="宋体" w:eastAsia="宋体" w:cs="宋体"/>
              <w:color w:val="000000" w:themeColor="text1"/>
              <w14:textFill>
                <w14:solidFill>
                  <w14:schemeClr w14:val="tx1"/>
                </w14:solidFill>
              </w14:textFill>
            </w:rPr>
            <w:fldChar w:fldCharType="end"/>
          </w:r>
        </w:p>
        <w:p w14:paraId="0E09FC68">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_Toc32395 </w:instrText>
          </w:r>
          <w:r>
            <w:rPr>
              <w:rFonts w:hint="eastAsia" w:ascii="宋体" w:hAnsi="宋体" w:eastAsia="宋体" w:cs="宋体"/>
            </w:rPr>
            <w:fldChar w:fldCharType="separate"/>
          </w:r>
          <w:r>
            <w:rPr>
              <w:rFonts w:hint="eastAsia" w:ascii="宋体" w:hAnsi="宋体" w:eastAsia="宋体" w:cs="宋体"/>
              <w:lang w:val="en-US" w:eastAsia="zh-CN"/>
            </w:rPr>
            <w:t>3.9.1安全管理组织体系方面危险性分析</w:t>
          </w:r>
          <w:r>
            <w:tab/>
          </w:r>
          <w:r>
            <w:fldChar w:fldCharType="begin"/>
          </w:r>
          <w:r>
            <w:instrText xml:space="preserve"> PAGEREF _Toc32395 \h </w:instrText>
          </w:r>
          <w:r>
            <w:fldChar w:fldCharType="separate"/>
          </w:r>
          <w:r>
            <w:t>53</w:t>
          </w:r>
          <w:r>
            <w:fldChar w:fldCharType="end"/>
          </w:r>
          <w:r>
            <w:rPr>
              <w:rFonts w:hint="eastAsia" w:ascii="宋体" w:hAnsi="宋体" w:eastAsia="宋体" w:cs="宋体"/>
              <w:color w:val="000000" w:themeColor="text1"/>
              <w14:textFill>
                <w14:solidFill>
                  <w14:schemeClr w14:val="tx1"/>
                </w14:solidFill>
              </w14:textFill>
            </w:rPr>
            <w:fldChar w:fldCharType="end"/>
          </w:r>
        </w:p>
        <w:p w14:paraId="6E99C6CD">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_Toc25343 </w:instrText>
          </w:r>
          <w:r>
            <w:rPr>
              <w:rFonts w:hint="eastAsia" w:ascii="宋体" w:hAnsi="宋体" w:eastAsia="宋体" w:cs="宋体"/>
            </w:rPr>
            <w:fldChar w:fldCharType="separate"/>
          </w:r>
          <w:r>
            <w:rPr>
              <w:rFonts w:hint="eastAsia" w:ascii="宋体" w:hAnsi="宋体" w:eastAsia="宋体" w:cs="宋体"/>
              <w:lang w:val="en-US" w:eastAsia="zh-CN"/>
            </w:rPr>
            <w:t>3.9.2安全管理制度方面危险性分析</w:t>
          </w:r>
          <w:r>
            <w:tab/>
          </w:r>
          <w:r>
            <w:fldChar w:fldCharType="begin"/>
          </w:r>
          <w:r>
            <w:instrText xml:space="preserve"> PAGEREF _Toc25343 \h </w:instrText>
          </w:r>
          <w:r>
            <w:fldChar w:fldCharType="separate"/>
          </w:r>
          <w:r>
            <w:t>54</w:t>
          </w:r>
          <w:r>
            <w:fldChar w:fldCharType="end"/>
          </w:r>
          <w:r>
            <w:rPr>
              <w:rFonts w:hint="eastAsia" w:ascii="宋体" w:hAnsi="宋体" w:eastAsia="宋体" w:cs="宋体"/>
              <w:color w:val="000000" w:themeColor="text1"/>
              <w14:textFill>
                <w14:solidFill>
                  <w14:schemeClr w14:val="tx1"/>
                </w14:solidFill>
              </w14:textFill>
            </w:rPr>
            <w:fldChar w:fldCharType="end"/>
          </w:r>
        </w:p>
        <w:p w14:paraId="3629A845">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_Toc20313 </w:instrText>
          </w:r>
          <w:r>
            <w:rPr>
              <w:rFonts w:hint="eastAsia" w:ascii="宋体" w:hAnsi="宋体" w:eastAsia="宋体" w:cs="宋体"/>
            </w:rPr>
            <w:fldChar w:fldCharType="separate"/>
          </w:r>
          <w:r>
            <w:rPr>
              <w:rFonts w:hint="eastAsia" w:ascii="宋体" w:hAnsi="宋体" w:eastAsia="宋体" w:cs="宋体"/>
              <w:lang w:val="en-US" w:eastAsia="zh-CN"/>
            </w:rPr>
            <w:t>3.9.3事故应急方面危险性分析</w:t>
          </w:r>
          <w:r>
            <w:tab/>
          </w:r>
          <w:r>
            <w:fldChar w:fldCharType="begin"/>
          </w:r>
          <w:r>
            <w:instrText xml:space="preserve"> PAGEREF _Toc20313 \h </w:instrText>
          </w:r>
          <w:r>
            <w:fldChar w:fldCharType="separate"/>
          </w:r>
          <w:r>
            <w:t>54</w:t>
          </w:r>
          <w:r>
            <w:fldChar w:fldCharType="end"/>
          </w:r>
          <w:r>
            <w:rPr>
              <w:rFonts w:hint="eastAsia" w:ascii="宋体" w:hAnsi="宋体" w:eastAsia="宋体" w:cs="宋体"/>
              <w:color w:val="000000" w:themeColor="text1"/>
              <w14:textFill>
                <w14:solidFill>
                  <w14:schemeClr w14:val="tx1"/>
                </w14:solidFill>
              </w14:textFill>
            </w:rPr>
            <w:fldChar w:fldCharType="end"/>
          </w:r>
        </w:p>
        <w:p w14:paraId="615F73F6">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_Toc4761 </w:instrText>
          </w:r>
          <w:r>
            <w:rPr>
              <w:rFonts w:hint="eastAsia" w:ascii="宋体" w:hAnsi="宋体" w:eastAsia="宋体" w:cs="宋体"/>
            </w:rPr>
            <w:fldChar w:fldCharType="separate"/>
          </w:r>
          <w:r>
            <w:rPr>
              <w:rFonts w:hint="eastAsia" w:ascii="宋体" w:hAnsi="宋体" w:eastAsia="宋体" w:cs="宋体"/>
            </w:rPr>
            <w:t>3.10重大危险源辨识</w:t>
          </w:r>
          <w:r>
            <w:tab/>
          </w:r>
          <w:r>
            <w:fldChar w:fldCharType="begin"/>
          </w:r>
          <w:r>
            <w:instrText xml:space="preserve"> PAGEREF _Toc4761 \h </w:instrText>
          </w:r>
          <w:r>
            <w:fldChar w:fldCharType="separate"/>
          </w:r>
          <w:r>
            <w:t>55</w:t>
          </w:r>
          <w:r>
            <w:fldChar w:fldCharType="end"/>
          </w:r>
          <w:r>
            <w:rPr>
              <w:rFonts w:hint="eastAsia" w:ascii="宋体" w:hAnsi="宋体" w:eastAsia="宋体" w:cs="宋体"/>
              <w:color w:val="000000" w:themeColor="text1"/>
              <w14:textFill>
                <w14:solidFill>
                  <w14:schemeClr w14:val="tx1"/>
                </w14:solidFill>
              </w14:textFill>
            </w:rPr>
            <w:fldChar w:fldCharType="end"/>
          </w:r>
        </w:p>
        <w:p w14:paraId="157C1FF6">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_Toc28580 </w:instrText>
          </w:r>
          <w:r>
            <w:rPr>
              <w:rFonts w:hint="eastAsia" w:ascii="宋体" w:hAnsi="宋体" w:eastAsia="宋体" w:cs="宋体"/>
            </w:rPr>
            <w:fldChar w:fldCharType="separate"/>
          </w:r>
          <w:r>
            <w:rPr>
              <w:rFonts w:hint="eastAsia" w:ascii="宋体" w:hAnsi="宋体" w:eastAsia="宋体" w:cs="宋体"/>
              <w:lang w:val="en-US" w:eastAsia="zh-CN"/>
            </w:rPr>
            <w:t>3.10.1方法介绍</w:t>
          </w:r>
          <w:r>
            <w:tab/>
          </w:r>
          <w:r>
            <w:fldChar w:fldCharType="begin"/>
          </w:r>
          <w:r>
            <w:instrText xml:space="preserve"> PAGEREF _Toc28580 \h </w:instrText>
          </w:r>
          <w:r>
            <w:fldChar w:fldCharType="separate"/>
          </w:r>
          <w:r>
            <w:t>55</w:t>
          </w:r>
          <w:r>
            <w:fldChar w:fldCharType="end"/>
          </w:r>
          <w:r>
            <w:rPr>
              <w:rFonts w:hint="eastAsia" w:ascii="宋体" w:hAnsi="宋体" w:eastAsia="宋体" w:cs="宋体"/>
              <w:color w:val="000000" w:themeColor="text1"/>
              <w14:textFill>
                <w14:solidFill>
                  <w14:schemeClr w14:val="tx1"/>
                </w14:solidFill>
              </w14:textFill>
            </w:rPr>
            <w:fldChar w:fldCharType="end"/>
          </w:r>
        </w:p>
        <w:p w14:paraId="2E0663E7">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_Toc25871 </w:instrText>
          </w:r>
          <w:r>
            <w:rPr>
              <w:rFonts w:hint="eastAsia" w:ascii="宋体" w:hAnsi="宋体" w:eastAsia="宋体" w:cs="宋体"/>
            </w:rPr>
            <w:fldChar w:fldCharType="separate"/>
          </w:r>
          <w:r>
            <w:rPr>
              <w:rFonts w:hint="eastAsia" w:ascii="宋体" w:hAnsi="宋体" w:eastAsia="宋体" w:cs="宋体"/>
              <w:lang w:val="en-US" w:eastAsia="zh-CN"/>
            </w:rPr>
            <w:t>3.10.2辨识过程及结果</w:t>
          </w:r>
          <w:r>
            <w:tab/>
          </w:r>
          <w:r>
            <w:fldChar w:fldCharType="begin"/>
          </w:r>
          <w:r>
            <w:instrText xml:space="preserve"> PAGEREF _Toc25871 \h </w:instrText>
          </w:r>
          <w:r>
            <w:fldChar w:fldCharType="separate"/>
          </w:r>
          <w:r>
            <w:t>56</w:t>
          </w:r>
          <w:r>
            <w:fldChar w:fldCharType="end"/>
          </w:r>
          <w:r>
            <w:rPr>
              <w:rFonts w:hint="eastAsia" w:ascii="宋体" w:hAnsi="宋体" w:eastAsia="宋体" w:cs="宋体"/>
              <w:color w:val="000000" w:themeColor="text1"/>
              <w14:textFill>
                <w14:solidFill>
                  <w14:schemeClr w14:val="tx1"/>
                </w14:solidFill>
              </w14:textFill>
            </w:rPr>
            <w:fldChar w:fldCharType="end"/>
          </w:r>
        </w:p>
        <w:p w14:paraId="7734A928">
          <w:pPr>
            <w:pStyle w:val="35"/>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_Toc7256 </w:instrText>
          </w:r>
          <w:r>
            <w:rPr>
              <w:rFonts w:hint="eastAsia" w:ascii="宋体" w:hAnsi="宋体" w:eastAsia="宋体" w:cs="宋体"/>
            </w:rPr>
            <w:fldChar w:fldCharType="separate"/>
          </w:r>
          <w:r>
            <w:rPr>
              <w:rFonts w:hint="eastAsia" w:ascii="宋体" w:hAnsi="宋体" w:eastAsia="宋体" w:cs="宋体"/>
            </w:rPr>
            <w:t>第4章  评价单元划分及评价方法选择</w:t>
          </w:r>
          <w:r>
            <w:tab/>
          </w:r>
          <w:r>
            <w:fldChar w:fldCharType="begin"/>
          </w:r>
          <w:r>
            <w:instrText xml:space="preserve"> PAGEREF _Toc7256 \h </w:instrText>
          </w:r>
          <w:r>
            <w:fldChar w:fldCharType="separate"/>
          </w:r>
          <w:r>
            <w:t>57</w:t>
          </w:r>
          <w:r>
            <w:fldChar w:fldCharType="end"/>
          </w:r>
          <w:r>
            <w:rPr>
              <w:rFonts w:hint="eastAsia" w:ascii="宋体" w:hAnsi="宋体" w:eastAsia="宋体" w:cs="宋体"/>
              <w:color w:val="000000" w:themeColor="text1"/>
              <w14:textFill>
                <w14:solidFill>
                  <w14:schemeClr w14:val="tx1"/>
                </w14:solidFill>
              </w14:textFill>
            </w:rPr>
            <w:fldChar w:fldCharType="end"/>
          </w:r>
        </w:p>
        <w:p w14:paraId="0BFBA96A">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_Toc14423 </w:instrText>
          </w:r>
          <w:r>
            <w:rPr>
              <w:rFonts w:hint="eastAsia" w:ascii="宋体" w:hAnsi="宋体" w:eastAsia="宋体" w:cs="宋体"/>
            </w:rPr>
            <w:fldChar w:fldCharType="separate"/>
          </w:r>
          <w:r>
            <w:rPr>
              <w:rFonts w:hint="eastAsia" w:ascii="宋体" w:hAnsi="宋体" w:eastAsia="宋体" w:cs="宋体"/>
            </w:rPr>
            <w:t>4.1</w:t>
          </w:r>
          <w:r>
            <w:rPr>
              <w:rFonts w:hint="eastAsia" w:ascii="宋体" w:hAnsi="宋体" w:eastAsia="宋体" w:cs="宋体"/>
              <w:lang w:val="en-US" w:eastAsia="zh-CN"/>
            </w:rPr>
            <w:t xml:space="preserve"> </w:t>
          </w:r>
          <w:r>
            <w:rPr>
              <w:rFonts w:hint="eastAsia" w:ascii="宋体" w:hAnsi="宋体" w:eastAsia="宋体" w:cs="宋体"/>
            </w:rPr>
            <w:t>安全评价单元划分</w:t>
          </w:r>
          <w:r>
            <w:tab/>
          </w:r>
          <w:r>
            <w:fldChar w:fldCharType="begin"/>
          </w:r>
          <w:r>
            <w:instrText xml:space="preserve"> PAGEREF _Toc14423 \h </w:instrText>
          </w:r>
          <w:r>
            <w:fldChar w:fldCharType="separate"/>
          </w:r>
          <w:r>
            <w:t>57</w:t>
          </w:r>
          <w:r>
            <w:fldChar w:fldCharType="end"/>
          </w:r>
          <w:r>
            <w:rPr>
              <w:rFonts w:hint="eastAsia" w:ascii="宋体" w:hAnsi="宋体" w:eastAsia="宋体" w:cs="宋体"/>
              <w:color w:val="000000" w:themeColor="text1"/>
              <w14:textFill>
                <w14:solidFill>
                  <w14:schemeClr w14:val="tx1"/>
                </w14:solidFill>
              </w14:textFill>
            </w:rPr>
            <w:fldChar w:fldCharType="end"/>
          </w:r>
        </w:p>
        <w:p w14:paraId="7AA9C8C9">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_Toc17788 </w:instrText>
          </w:r>
          <w:r>
            <w:rPr>
              <w:rFonts w:hint="eastAsia" w:ascii="宋体" w:hAnsi="宋体" w:eastAsia="宋体" w:cs="宋体"/>
            </w:rPr>
            <w:fldChar w:fldCharType="separate"/>
          </w:r>
          <w:r>
            <w:rPr>
              <w:rFonts w:hint="eastAsia" w:ascii="宋体" w:hAnsi="宋体" w:eastAsia="宋体" w:cs="宋体"/>
              <w:lang w:val="en-US" w:eastAsia="zh-CN"/>
            </w:rPr>
            <w:t>4.1.1 评价单元划分原则</w:t>
          </w:r>
          <w:r>
            <w:tab/>
          </w:r>
          <w:r>
            <w:fldChar w:fldCharType="begin"/>
          </w:r>
          <w:r>
            <w:instrText xml:space="preserve"> PAGEREF _Toc17788 \h </w:instrText>
          </w:r>
          <w:r>
            <w:fldChar w:fldCharType="separate"/>
          </w:r>
          <w:r>
            <w:t>57</w:t>
          </w:r>
          <w:r>
            <w:fldChar w:fldCharType="end"/>
          </w:r>
          <w:r>
            <w:rPr>
              <w:rFonts w:hint="eastAsia" w:ascii="宋体" w:hAnsi="宋体" w:eastAsia="宋体" w:cs="宋体"/>
              <w:color w:val="000000" w:themeColor="text1"/>
              <w14:textFill>
                <w14:solidFill>
                  <w14:schemeClr w14:val="tx1"/>
                </w14:solidFill>
              </w14:textFill>
            </w:rPr>
            <w:fldChar w:fldCharType="end"/>
          </w:r>
        </w:p>
        <w:p w14:paraId="348539CC">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_Toc18070 </w:instrText>
          </w:r>
          <w:r>
            <w:rPr>
              <w:rFonts w:hint="eastAsia" w:ascii="宋体" w:hAnsi="宋体" w:eastAsia="宋体" w:cs="宋体"/>
            </w:rPr>
            <w:fldChar w:fldCharType="separate"/>
          </w:r>
          <w:r>
            <w:rPr>
              <w:rFonts w:hint="eastAsia" w:ascii="宋体" w:hAnsi="宋体" w:eastAsia="宋体" w:cs="宋体"/>
              <w:lang w:val="en-US" w:eastAsia="zh-CN"/>
            </w:rPr>
            <w:t>4.1.2评价单元划分方法</w:t>
          </w:r>
          <w:r>
            <w:tab/>
          </w:r>
          <w:r>
            <w:fldChar w:fldCharType="begin"/>
          </w:r>
          <w:r>
            <w:instrText xml:space="preserve"> PAGEREF _Toc18070 \h </w:instrText>
          </w:r>
          <w:r>
            <w:fldChar w:fldCharType="separate"/>
          </w:r>
          <w:r>
            <w:t>57</w:t>
          </w:r>
          <w:r>
            <w:fldChar w:fldCharType="end"/>
          </w:r>
          <w:r>
            <w:rPr>
              <w:rFonts w:hint="eastAsia" w:ascii="宋体" w:hAnsi="宋体" w:eastAsia="宋体" w:cs="宋体"/>
              <w:color w:val="000000" w:themeColor="text1"/>
              <w14:textFill>
                <w14:solidFill>
                  <w14:schemeClr w14:val="tx1"/>
                </w14:solidFill>
              </w14:textFill>
            </w:rPr>
            <w:fldChar w:fldCharType="end"/>
          </w:r>
        </w:p>
        <w:p w14:paraId="1BEE4A04">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_Toc9692 </w:instrText>
          </w:r>
          <w:r>
            <w:rPr>
              <w:rFonts w:hint="eastAsia" w:ascii="宋体" w:hAnsi="宋体" w:eastAsia="宋体" w:cs="宋体"/>
            </w:rPr>
            <w:fldChar w:fldCharType="separate"/>
          </w:r>
          <w:r>
            <w:rPr>
              <w:rFonts w:hint="eastAsia" w:ascii="宋体" w:hAnsi="宋体" w:eastAsia="宋体" w:cs="宋体"/>
            </w:rPr>
            <w:t>4.2</w:t>
          </w:r>
          <w:r>
            <w:rPr>
              <w:rFonts w:hint="eastAsia" w:ascii="宋体" w:hAnsi="宋体" w:eastAsia="宋体" w:cs="宋体"/>
              <w:lang w:val="en-US" w:eastAsia="zh-CN"/>
            </w:rPr>
            <w:t xml:space="preserve"> </w:t>
          </w:r>
          <w:r>
            <w:rPr>
              <w:rFonts w:hint="eastAsia" w:ascii="宋体" w:hAnsi="宋体" w:eastAsia="宋体" w:cs="宋体"/>
            </w:rPr>
            <w:t>评价单元划分结果</w:t>
          </w:r>
          <w:r>
            <w:tab/>
          </w:r>
          <w:r>
            <w:fldChar w:fldCharType="begin"/>
          </w:r>
          <w:r>
            <w:instrText xml:space="preserve"> PAGEREF _Toc9692 \h </w:instrText>
          </w:r>
          <w:r>
            <w:fldChar w:fldCharType="separate"/>
          </w:r>
          <w:r>
            <w:t>58</w:t>
          </w:r>
          <w:r>
            <w:fldChar w:fldCharType="end"/>
          </w:r>
          <w:r>
            <w:rPr>
              <w:rFonts w:hint="eastAsia" w:ascii="宋体" w:hAnsi="宋体" w:eastAsia="宋体" w:cs="宋体"/>
              <w:color w:val="000000" w:themeColor="text1"/>
              <w14:textFill>
                <w14:solidFill>
                  <w14:schemeClr w14:val="tx1"/>
                </w14:solidFill>
              </w14:textFill>
            </w:rPr>
            <w:fldChar w:fldCharType="end"/>
          </w:r>
        </w:p>
        <w:p w14:paraId="5A8A5D56">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_Toc3005 </w:instrText>
          </w:r>
          <w:r>
            <w:rPr>
              <w:rFonts w:hint="eastAsia" w:ascii="宋体" w:hAnsi="宋体" w:eastAsia="宋体" w:cs="宋体"/>
            </w:rPr>
            <w:fldChar w:fldCharType="separate"/>
          </w:r>
          <w:r>
            <w:rPr>
              <w:rFonts w:hint="eastAsia" w:ascii="宋体" w:hAnsi="宋体" w:eastAsia="宋体" w:cs="宋体"/>
            </w:rPr>
            <w:t>4.3</w:t>
          </w:r>
          <w:r>
            <w:rPr>
              <w:rFonts w:hint="eastAsia" w:ascii="宋体" w:hAnsi="宋体" w:eastAsia="宋体" w:cs="宋体"/>
              <w:lang w:val="en-US" w:eastAsia="zh-CN"/>
            </w:rPr>
            <w:t xml:space="preserve"> </w:t>
          </w:r>
          <w:r>
            <w:rPr>
              <w:rFonts w:hint="eastAsia" w:ascii="宋体" w:hAnsi="宋体" w:eastAsia="宋体" w:cs="宋体"/>
            </w:rPr>
            <w:t>评价方法的确定</w:t>
          </w:r>
          <w:r>
            <w:tab/>
          </w:r>
          <w:r>
            <w:fldChar w:fldCharType="begin"/>
          </w:r>
          <w:r>
            <w:instrText xml:space="preserve"> PAGEREF _Toc3005 \h </w:instrText>
          </w:r>
          <w:r>
            <w:fldChar w:fldCharType="separate"/>
          </w:r>
          <w:r>
            <w:t>58</w:t>
          </w:r>
          <w:r>
            <w:fldChar w:fldCharType="end"/>
          </w:r>
          <w:r>
            <w:rPr>
              <w:rFonts w:hint="eastAsia" w:ascii="宋体" w:hAnsi="宋体" w:eastAsia="宋体" w:cs="宋体"/>
              <w:color w:val="000000" w:themeColor="text1"/>
              <w14:textFill>
                <w14:solidFill>
                  <w14:schemeClr w14:val="tx1"/>
                </w14:solidFill>
              </w14:textFill>
            </w:rPr>
            <w:fldChar w:fldCharType="end"/>
          </w:r>
        </w:p>
        <w:p w14:paraId="61DEF331">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_Toc3246 </w:instrText>
          </w:r>
          <w:r>
            <w:rPr>
              <w:rFonts w:hint="eastAsia" w:ascii="宋体" w:hAnsi="宋体" w:eastAsia="宋体" w:cs="宋体"/>
            </w:rPr>
            <w:fldChar w:fldCharType="separate"/>
          </w:r>
          <w:r>
            <w:rPr>
              <w:rFonts w:hint="eastAsia" w:ascii="宋体" w:hAnsi="宋体" w:eastAsia="宋体" w:cs="宋体"/>
            </w:rPr>
            <w:t>4.4</w:t>
          </w:r>
          <w:r>
            <w:rPr>
              <w:rFonts w:hint="eastAsia" w:ascii="宋体" w:hAnsi="宋体" w:eastAsia="宋体" w:cs="宋体"/>
              <w:lang w:val="en-US" w:eastAsia="zh-CN"/>
            </w:rPr>
            <w:t xml:space="preserve"> </w:t>
          </w:r>
          <w:r>
            <w:rPr>
              <w:rFonts w:hint="eastAsia" w:ascii="宋体" w:hAnsi="宋体" w:eastAsia="宋体" w:cs="宋体"/>
            </w:rPr>
            <w:t>评价方法介绍</w:t>
          </w:r>
          <w:r>
            <w:tab/>
          </w:r>
          <w:r>
            <w:fldChar w:fldCharType="begin"/>
          </w:r>
          <w:r>
            <w:instrText xml:space="preserve"> PAGEREF _Toc3246 \h </w:instrText>
          </w:r>
          <w:r>
            <w:fldChar w:fldCharType="separate"/>
          </w:r>
          <w:r>
            <w:t>59</w:t>
          </w:r>
          <w:r>
            <w:fldChar w:fldCharType="end"/>
          </w:r>
          <w:r>
            <w:rPr>
              <w:rFonts w:hint="eastAsia" w:ascii="宋体" w:hAnsi="宋体" w:eastAsia="宋体" w:cs="宋体"/>
              <w:color w:val="000000" w:themeColor="text1"/>
              <w14:textFill>
                <w14:solidFill>
                  <w14:schemeClr w14:val="tx1"/>
                </w14:solidFill>
              </w14:textFill>
            </w:rPr>
            <w:fldChar w:fldCharType="end"/>
          </w:r>
        </w:p>
        <w:p w14:paraId="3EB95046">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_Toc30988 </w:instrText>
          </w:r>
          <w:r>
            <w:rPr>
              <w:rFonts w:hint="eastAsia" w:ascii="宋体" w:hAnsi="宋体" w:eastAsia="宋体" w:cs="宋体"/>
            </w:rPr>
            <w:fldChar w:fldCharType="separate"/>
          </w:r>
          <w:r>
            <w:rPr>
              <w:rFonts w:hint="eastAsia" w:ascii="宋体" w:hAnsi="宋体" w:eastAsia="宋体" w:cs="宋体"/>
              <w:lang w:val="en-US" w:eastAsia="zh-CN"/>
            </w:rPr>
            <w:t>4.4.1安全检查表法（SCA）</w:t>
          </w:r>
          <w:r>
            <w:tab/>
          </w:r>
          <w:r>
            <w:fldChar w:fldCharType="begin"/>
          </w:r>
          <w:r>
            <w:instrText xml:space="preserve"> PAGEREF _Toc30988 \h </w:instrText>
          </w:r>
          <w:r>
            <w:fldChar w:fldCharType="separate"/>
          </w:r>
          <w:r>
            <w:t>59</w:t>
          </w:r>
          <w:r>
            <w:fldChar w:fldCharType="end"/>
          </w:r>
          <w:r>
            <w:rPr>
              <w:rFonts w:hint="eastAsia" w:ascii="宋体" w:hAnsi="宋体" w:eastAsia="宋体" w:cs="宋体"/>
              <w:color w:val="000000" w:themeColor="text1"/>
              <w14:textFill>
                <w14:solidFill>
                  <w14:schemeClr w14:val="tx1"/>
                </w14:solidFill>
              </w14:textFill>
            </w:rPr>
            <w:fldChar w:fldCharType="end"/>
          </w:r>
        </w:p>
        <w:p w14:paraId="593288A0">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_Toc4496 </w:instrText>
          </w:r>
          <w:r>
            <w:rPr>
              <w:rFonts w:hint="eastAsia" w:ascii="宋体" w:hAnsi="宋体" w:eastAsia="宋体" w:cs="宋体"/>
            </w:rPr>
            <w:fldChar w:fldCharType="separate"/>
          </w:r>
          <w:r>
            <w:rPr>
              <w:rFonts w:hint="eastAsia" w:ascii="宋体" w:hAnsi="宋体" w:eastAsia="宋体" w:cs="宋体"/>
              <w:lang w:val="en-US" w:eastAsia="zh-CN"/>
            </w:rPr>
            <w:t>4.4.2作业条件危险性评价法（LEC）</w:t>
          </w:r>
          <w:r>
            <w:tab/>
          </w:r>
          <w:r>
            <w:fldChar w:fldCharType="begin"/>
          </w:r>
          <w:r>
            <w:instrText xml:space="preserve"> PAGEREF _Toc4496 \h </w:instrText>
          </w:r>
          <w:r>
            <w:fldChar w:fldCharType="separate"/>
          </w:r>
          <w:r>
            <w:t>59</w:t>
          </w:r>
          <w:r>
            <w:fldChar w:fldCharType="end"/>
          </w:r>
          <w:r>
            <w:rPr>
              <w:rFonts w:hint="eastAsia" w:ascii="宋体" w:hAnsi="宋体" w:eastAsia="宋体" w:cs="宋体"/>
              <w:color w:val="000000" w:themeColor="text1"/>
              <w14:textFill>
                <w14:solidFill>
                  <w14:schemeClr w14:val="tx1"/>
                </w14:solidFill>
              </w14:textFill>
            </w:rPr>
            <w:fldChar w:fldCharType="end"/>
          </w:r>
        </w:p>
        <w:p w14:paraId="3F8D2691">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_Toc28062 </w:instrText>
          </w:r>
          <w:r>
            <w:rPr>
              <w:rFonts w:hint="eastAsia" w:ascii="宋体" w:hAnsi="宋体" w:eastAsia="宋体" w:cs="宋体"/>
            </w:rPr>
            <w:fldChar w:fldCharType="separate"/>
          </w:r>
          <w:r>
            <w:rPr>
              <w:rFonts w:hint="eastAsia" w:ascii="宋体" w:hAnsi="宋体" w:eastAsia="宋体" w:cs="宋体"/>
              <w:lang w:val="en-US" w:eastAsia="zh-CN"/>
            </w:rPr>
            <w:t>4.5</w:t>
          </w:r>
          <w:r>
            <w:rPr>
              <w:rFonts w:hint="eastAsia" w:ascii="宋体" w:hAnsi="宋体" w:eastAsia="宋体" w:cs="宋体"/>
            </w:rPr>
            <w:t>评价方法选择理由</w:t>
          </w:r>
          <w:r>
            <w:tab/>
          </w:r>
          <w:r>
            <w:fldChar w:fldCharType="begin"/>
          </w:r>
          <w:r>
            <w:instrText xml:space="preserve"> PAGEREF _Toc28062 \h </w:instrText>
          </w:r>
          <w:r>
            <w:fldChar w:fldCharType="separate"/>
          </w:r>
          <w:r>
            <w:t>62</w:t>
          </w:r>
          <w:r>
            <w:fldChar w:fldCharType="end"/>
          </w:r>
          <w:r>
            <w:rPr>
              <w:rFonts w:hint="eastAsia" w:ascii="宋体" w:hAnsi="宋体" w:eastAsia="宋体" w:cs="宋体"/>
              <w:color w:val="000000" w:themeColor="text1"/>
              <w14:textFill>
                <w14:solidFill>
                  <w14:schemeClr w14:val="tx1"/>
                </w14:solidFill>
              </w14:textFill>
            </w:rPr>
            <w:fldChar w:fldCharType="end"/>
          </w:r>
        </w:p>
        <w:p w14:paraId="5A080BB1">
          <w:pPr>
            <w:pStyle w:val="35"/>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_Toc27992 </w:instrText>
          </w:r>
          <w:r>
            <w:rPr>
              <w:rFonts w:hint="eastAsia" w:ascii="宋体" w:hAnsi="宋体" w:eastAsia="宋体" w:cs="宋体"/>
            </w:rPr>
            <w:fldChar w:fldCharType="separate"/>
          </w:r>
          <w:r>
            <w:rPr>
              <w:rFonts w:hint="eastAsia" w:ascii="宋体" w:hAnsi="宋体" w:eastAsia="宋体" w:cs="宋体"/>
            </w:rPr>
            <w:t>第5章  定性、定量评价</w:t>
          </w:r>
          <w:r>
            <w:tab/>
          </w:r>
          <w:r>
            <w:fldChar w:fldCharType="begin"/>
          </w:r>
          <w:r>
            <w:instrText xml:space="preserve"> PAGEREF _Toc27992 \h </w:instrText>
          </w:r>
          <w:r>
            <w:fldChar w:fldCharType="separate"/>
          </w:r>
          <w:r>
            <w:t>63</w:t>
          </w:r>
          <w:r>
            <w:fldChar w:fldCharType="end"/>
          </w:r>
          <w:r>
            <w:rPr>
              <w:rFonts w:hint="eastAsia" w:ascii="宋体" w:hAnsi="宋体" w:eastAsia="宋体" w:cs="宋体"/>
              <w:color w:val="000000" w:themeColor="text1"/>
              <w14:textFill>
                <w14:solidFill>
                  <w14:schemeClr w14:val="tx1"/>
                </w14:solidFill>
              </w14:textFill>
            </w:rPr>
            <w:fldChar w:fldCharType="end"/>
          </w:r>
        </w:p>
        <w:p w14:paraId="60F6736C">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_Toc25710 </w:instrText>
          </w:r>
          <w:r>
            <w:rPr>
              <w:rFonts w:hint="eastAsia" w:ascii="宋体" w:hAnsi="宋体" w:eastAsia="宋体" w:cs="宋体"/>
            </w:rPr>
            <w:fldChar w:fldCharType="separate"/>
          </w:r>
          <w:r>
            <w:rPr>
              <w:rFonts w:hint="eastAsia" w:ascii="宋体" w:hAnsi="宋体" w:eastAsia="宋体" w:cs="宋体"/>
            </w:rPr>
            <w:t>5.1</w:t>
          </w:r>
          <w:r>
            <w:rPr>
              <w:rFonts w:hint="eastAsia" w:ascii="宋体" w:hAnsi="宋体" w:eastAsia="宋体" w:cs="宋体"/>
              <w:lang w:val="en-US" w:eastAsia="zh-CN"/>
            </w:rPr>
            <w:t xml:space="preserve"> </w:t>
          </w:r>
          <w:r>
            <w:rPr>
              <w:rFonts w:hint="eastAsia" w:ascii="宋体" w:hAnsi="宋体" w:eastAsia="宋体" w:cs="宋体"/>
            </w:rPr>
            <w:t>厂址及总平面布置评价单元</w:t>
          </w:r>
          <w:r>
            <w:tab/>
          </w:r>
          <w:r>
            <w:fldChar w:fldCharType="begin"/>
          </w:r>
          <w:r>
            <w:instrText xml:space="preserve"> PAGEREF _Toc25710 \h </w:instrText>
          </w:r>
          <w:r>
            <w:fldChar w:fldCharType="separate"/>
          </w:r>
          <w:r>
            <w:t>63</w:t>
          </w:r>
          <w:r>
            <w:fldChar w:fldCharType="end"/>
          </w:r>
          <w:r>
            <w:rPr>
              <w:rFonts w:hint="eastAsia" w:ascii="宋体" w:hAnsi="宋体" w:eastAsia="宋体" w:cs="宋体"/>
              <w:color w:val="000000" w:themeColor="text1"/>
              <w14:textFill>
                <w14:solidFill>
                  <w14:schemeClr w14:val="tx1"/>
                </w14:solidFill>
              </w14:textFill>
            </w:rPr>
            <w:fldChar w:fldCharType="end"/>
          </w:r>
        </w:p>
        <w:p w14:paraId="0B57549C">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_Toc18062 </w:instrText>
          </w:r>
          <w:r>
            <w:rPr>
              <w:rFonts w:hint="eastAsia" w:ascii="宋体" w:hAnsi="宋体" w:eastAsia="宋体" w:cs="宋体"/>
            </w:rPr>
            <w:fldChar w:fldCharType="separate"/>
          </w:r>
          <w:r>
            <w:rPr>
              <w:rFonts w:hint="eastAsia" w:ascii="宋体" w:hAnsi="宋体" w:eastAsia="宋体" w:cs="宋体"/>
              <w:lang w:val="en-US" w:eastAsia="zh-CN"/>
            </w:rPr>
            <w:t>5.1.1厂址及总平面布置安全检查表</w:t>
          </w:r>
          <w:r>
            <w:tab/>
          </w:r>
          <w:r>
            <w:fldChar w:fldCharType="begin"/>
          </w:r>
          <w:r>
            <w:instrText xml:space="preserve"> PAGEREF _Toc18062 \h </w:instrText>
          </w:r>
          <w:r>
            <w:fldChar w:fldCharType="separate"/>
          </w:r>
          <w:r>
            <w:t>63</w:t>
          </w:r>
          <w:r>
            <w:fldChar w:fldCharType="end"/>
          </w:r>
          <w:r>
            <w:rPr>
              <w:rFonts w:hint="eastAsia" w:ascii="宋体" w:hAnsi="宋体" w:eastAsia="宋体" w:cs="宋体"/>
              <w:color w:val="000000" w:themeColor="text1"/>
              <w14:textFill>
                <w14:solidFill>
                  <w14:schemeClr w14:val="tx1"/>
                </w14:solidFill>
              </w14:textFill>
            </w:rPr>
            <w:fldChar w:fldCharType="end"/>
          </w:r>
        </w:p>
        <w:p w14:paraId="464F79F2">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_Toc2937 </w:instrText>
          </w:r>
          <w:r>
            <w:rPr>
              <w:rFonts w:hint="eastAsia" w:ascii="宋体" w:hAnsi="宋体" w:eastAsia="宋体" w:cs="宋体"/>
            </w:rPr>
            <w:fldChar w:fldCharType="separate"/>
          </w:r>
          <w:r>
            <w:rPr>
              <w:rFonts w:hint="eastAsia" w:ascii="宋体" w:hAnsi="宋体" w:eastAsia="宋体" w:cs="宋体"/>
              <w:lang w:val="en-US" w:eastAsia="zh-CN"/>
            </w:rPr>
            <w:t>5.1.2 评价小结</w:t>
          </w:r>
          <w:r>
            <w:tab/>
          </w:r>
          <w:r>
            <w:fldChar w:fldCharType="begin"/>
          </w:r>
          <w:r>
            <w:instrText xml:space="preserve"> PAGEREF _Toc2937 \h </w:instrText>
          </w:r>
          <w:r>
            <w:fldChar w:fldCharType="separate"/>
          </w:r>
          <w:r>
            <w:t>69</w:t>
          </w:r>
          <w:r>
            <w:fldChar w:fldCharType="end"/>
          </w:r>
          <w:r>
            <w:rPr>
              <w:rFonts w:hint="eastAsia" w:ascii="宋体" w:hAnsi="宋体" w:eastAsia="宋体" w:cs="宋体"/>
              <w:color w:val="000000" w:themeColor="text1"/>
              <w14:textFill>
                <w14:solidFill>
                  <w14:schemeClr w14:val="tx1"/>
                </w14:solidFill>
              </w14:textFill>
            </w:rPr>
            <w:fldChar w:fldCharType="end"/>
          </w:r>
        </w:p>
        <w:p w14:paraId="04B3FF73">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_Toc30343 </w:instrText>
          </w:r>
          <w:r>
            <w:rPr>
              <w:rFonts w:hint="eastAsia" w:ascii="宋体" w:hAnsi="宋体" w:eastAsia="宋体" w:cs="宋体"/>
            </w:rPr>
            <w:fldChar w:fldCharType="separate"/>
          </w:r>
          <w:r>
            <w:rPr>
              <w:rFonts w:hint="eastAsia" w:ascii="宋体" w:hAnsi="宋体" w:eastAsia="宋体" w:cs="宋体"/>
            </w:rPr>
            <w:t>5.2</w:t>
          </w:r>
          <w:r>
            <w:rPr>
              <w:rFonts w:hint="eastAsia" w:ascii="宋体" w:hAnsi="宋体" w:eastAsia="宋体" w:cs="宋体"/>
              <w:lang w:val="en-US" w:eastAsia="zh-CN"/>
            </w:rPr>
            <w:t xml:space="preserve"> 生产</w:t>
          </w:r>
          <w:r>
            <w:rPr>
              <w:rFonts w:hint="eastAsia" w:ascii="宋体" w:hAnsi="宋体" w:eastAsia="宋体" w:cs="宋体"/>
            </w:rPr>
            <w:t>工艺</w:t>
          </w:r>
          <w:r>
            <w:rPr>
              <w:rFonts w:hint="eastAsia" w:ascii="宋体" w:hAnsi="宋体" w:eastAsia="宋体" w:cs="宋体"/>
              <w:lang w:val="en-US" w:eastAsia="zh-CN"/>
            </w:rPr>
            <w:t>及设备设施</w:t>
          </w:r>
          <w:r>
            <w:rPr>
              <w:rFonts w:hint="eastAsia" w:ascii="宋体" w:hAnsi="宋体" w:eastAsia="宋体" w:cs="宋体"/>
            </w:rPr>
            <w:t>评价单元</w:t>
          </w:r>
          <w:r>
            <w:tab/>
          </w:r>
          <w:r>
            <w:fldChar w:fldCharType="begin"/>
          </w:r>
          <w:r>
            <w:instrText xml:space="preserve"> PAGEREF _Toc30343 \h </w:instrText>
          </w:r>
          <w:r>
            <w:fldChar w:fldCharType="separate"/>
          </w:r>
          <w:r>
            <w:t>69</w:t>
          </w:r>
          <w:r>
            <w:fldChar w:fldCharType="end"/>
          </w:r>
          <w:r>
            <w:rPr>
              <w:rFonts w:hint="eastAsia" w:ascii="宋体" w:hAnsi="宋体" w:eastAsia="宋体" w:cs="宋体"/>
              <w:color w:val="000000" w:themeColor="text1"/>
              <w14:textFill>
                <w14:solidFill>
                  <w14:schemeClr w14:val="tx1"/>
                </w14:solidFill>
              </w14:textFill>
            </w:rPr>
            <w:fldChar w:fldCharType="end"/>
          </w:r>
        </w:p>
        <w:p w14:paraId="14574DE9">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_Toc21729 </w:instrText>
          </w:r>
          <w:r>
            <w:rPr>
              <w:rFonts w:hint="eastAsia" w:ascii="宋体" w:hAnsi="宋体" w:eastAsia="宋体" w:cs="宋体"/>
            </w:rPr>
            <w:fldChar w:fldCharType="separate"/>
          </w:r>
          <w:r>
            <w:rPr>
              <w:rFonts w:hint="eastAsia" w:ascii="宋体" w:hAnsi="宋体" w:eastAsia="宋体" w:cs="宋体"/>
              <w:lang w:val="en-US" w:eastAsia="zh-CN"/>
            </w:rPr>
            <w:t>5.2.1 安全检查表</w:t>
          </w:r>
          <w:r>
            <w:tab/>
          </w:r>
          <w:r>
            <w:fldChar w:fldCharType="begin"/>
          </w:r>
          <w:r>
            <w:instrText xml:space="preserve"> PAGEREF _Toc21729 \h </w:instrText>
          </w:r>
          <w:r>
            <w:fldChar w:fldCharType="separate"/>
          </w:r>
          <w:r>
            <w:t>69</w:t>
          </w:r>
          <w:r>
            <w:fldChar w:fldCharType="end"/>
          </w:r>
          <w:r>
            <w:rPr>
              <w:rFonts w:hint="eastAsia" w:ascii="宋体" w:hAnsi="宋体" w:eastAsia="宋体" w:cs="宋体"/>
              <w:color w:val="000000" w:themeColor="text1"/>
              <w14:textFill>
                <w14:solidFill>
                  <w14:schemeClr w14:val="tx1"/>
                </w14:solidFill>
              </w14:textFill>
            </w:rPr>
            <w:fldChar w:fldCharType="end"/>
          </w:r>
        </w:p>
        <w:p w14:paraId="06C3D92E">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_Toc23106 </w:instrText>
          </w:r>
          <w:r>
            <w:rPr>
              <w:rFonts w:hint="eastAsia" w:ascii="宋体" w:hAnsi="宋体" w:eastAsia="宋体" w:cs="宋体"/>
            </w:rPr>
            <w:fldChar w:fldCharType="separate"/>
          </w:r>
          <w:r>
            <w:rPr>
              <w:rFonts w:hint="eastAsia" w:ascii="宋体" w:hAnsi="宋体" w:eastAsia="宋体" w:cs="宋体"/>
              <w:lang w:val="en-US" w:eastAsia="zh-CN"/>
            </w:rPr>
            <w:t>5.2.2作业条件危险性分析</w:t>
          </w:r>
          <w:r>
            <w:tab/>
          </w:r>
          <w:r>
            <w:fldChar w:fldCharType="begin"/>
          </w:r>
          <w:r>
            <w:instrText xml:space="preserve"> PAGEREF _Toc23106 \h </w:instrText>
          </w:r>
          <w:r>
            <w:fldChar w:fldCharType="separate"/>
          </w:r>
          <w:r>
            <w:t>74</w:t>
          </w:r>
          <w:r>
            <w:fldChar w:fldCharType="end"/>
          </w:r>
          <w:r>
            <w:rPr>
              <w:rFonts w:hint="eastAsia" w:ascii="宋体" w:hAnsi="宋体" w:eastAsia="宋体" w:cs="宋体"/>
              <w:color w:val="000000" w:themeColor="text1"/>
              <w14:textFill>
                <w14:solidFill>
                  <w14:schemeClr w14:val="tx1"/>
                </w14:solidFill>
              </w14:textFill>
            </w:rPr>
            <w:fldChar w:fldCharType="end"/>
          </w:r>
        </w:p>
        <w:p w14:paraId="0EE3A004">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_Toc15855 </w:instrText>
          </w:r>
          <w:r>
            <w:rPr>
              <w:rFonts w:hint="eastAsia" w:ascii="宋体" w:hAnsi="宋体" w:eastAsia="宋体" w:cs="宋体"/>
            </w:rPr>
            <w:fldChar w:fldCharType="separate"/>
          </w:r>
          <w:r>
            <w:rPr>
              <w:rFonts w:hint="eastAsia" w:ascii="宋体" w:hAnsi="宋体" w:eastAsia="宋体" w:cs="宋体"/>
              <w:lang w:val="en-US" w:eastAsia="zh-CN"/>
            </w:rPr>
            <w:t>5.2.3单元小结</w:t>
          </w:r>
          <w:r>
            <w:tab/>
          </w:r>
          <w:r>
            <w:fldChar w:fldCharType="begin"/>
          </w:r>
          <w:r>
            <w:instrText xml:space="preserve"> PAGEREF _Toc15855 \h </w:instrText>
          </w:r>
          <w:r>
            <w:fldChar w:fldCharType="separate"/>
          </w:r>
          <w:r>
            <w:t>75</w:t>
          </w:r>
          <w:r>
            <w:fldChar w:fldCharType="end"/>
          </w:r>
          <w:r>
            <w:rPr>
              <w:rFonts w:hint="eastAsia" w:ascii="宋体" w:hAnsi="宋体" w:eastAsia="宋体" w:cs="宋体"/>
              <w:color w:val="000000" w:themeColor="text1"/>
              <w14:textFill>
                <w14:solidFill>
                  <w14:schemeClr w14:val="tx1"/>
                </w14:solidFill>
              </w14:textFill>
            </w:rPr>
            <w:fldChar w:fldCharType="end"/>
          </w:r>
        </w:p>
        <w:p w14:paraId="654AFFB9">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_Toc27545 </w:instrText>
          </w:r>
          <w:r>
            <w:rPr>
              <w:rFonts w:hint="eastAsia" w:ascii="宋体" w:hAnsi="宋体" w:eastAsia="宋体" w:cs="宋体"/>
            </w:rPr>
            <w:fldChar w:fldCharType="separate"/>
          </w:r>
          <w:r>
            <w:rPr>
              <w:rFonts w:hint="eastAsia" w:ascii="宋体" w:hAnsi="宋体" w:eastAsia="宋体" w:cs="宋体"/>
            </w:rPr>
            <w:t>5.3安全防护设施评价单元</w:t>
          </w:r>
          <w:r>
            <w:tab/>
          </w:r>
          <w:r>
            <w:fldChar w:fldCharType="begin"/>
          </w:r>
          <w:r>
            <w:instrText xml:space="preserve"> PAGEREF _Toc27545 \h </w:instrText>
          </w:r>
          <w:r>
            <w:fldChar w:fldCharType="separate"/>
          </w:r>
          <w:r>
            <w:t>76</w:t>
          </w:r>
          <w:r>
            <w:fldChar w:fldCharType="end"/>
          </w:r>
          <w:r>
            <w:rPr>
              <w:rFonts w:hint="eastAsia" w:ascii="宋体" w:hAnsi="宋体" w:eastAsia="宋体" w:cs="宋体"/>
              <w:color w:val="000000" w:themeColor="text1"/>
              <w14:textFill>
                <w14:solidFill>
                  <w14:schemeClr w14:val="tx1"/>
                </w14:solidFill>
              </w14:textFill>
            </w:rPr>
            <w:fldChar w:fldCharType="end"/>
          </w:r>
        </w:p>
        <w:p w14:paraId="4AEC079A">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_Toc4283 </w:instrText>
          </w:r>
          <w:r>
            <w:rPr>
              <w:rFonts w:hint="eastAsia" w:ascii="宋体" w:hAnsi="宋体" w:eastAsia="宋体" w:cs="宋体"/>
            </w:rPr>
            <w:fldChar w:fldCharType="separate"/>
          </w:r>
          <w:r>
            <w:rPr>
              <w:rFonts w:hint="eastAsia" w:ascii="宋体" w:hAnsi="宋体" w:eastAsia="宋体" w:cs="宋体"/>
              <w:lang w:val="en-US" w:eastAsia="zh-CN"/>
            </w:rPr>
            <w:t>5.3.1常规防护设施和措施安全检查表法</w:t>
          </w:r>
          <w:r>
            <w:tab/>
          </w:r>
          <w:r>
            <w:fldChar w:fldCharType="begin"/>
          </w:r>
          <w:r>
            <w:instrText xml:space="preserve"> PAGEREF _Toc4283 \h </w:instrText>
          </w:r>
          <w:r>
            <w:fldChar w:fldCharType="separate"/>
          </w:r>
          <w:r>
            <w:t>76</w:t>
          </w:r>
          <w:r>
            <w:fldChar w:fldCharType="end"/>
          </w:r>
          <w:r>
            <w:rPr>
              <w:rFonts w:hint="eastAsia" w:ascii="宋体" w:hAnsi="宋体" w:eastAsia="宋体" w:cs="宋体"/>
              <w:color w:val="000000" w:themeColor="text1"/>
              <w14:textFill>
                <w14:solidFill>
                  <w14:schemeClr w14:val="tx1"/>
                </w14:solidFill>
              </w14:textFill>
            </w:rPr>
            <w:fldChar w:fldCharType="end"/>
          </w:r>
        </w:p>
        <w:p w14:paraId="34D12071">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_Toc11877 </w:instrText>
          </w:r>
          <w:r>
            <w:rPr>
              <w:rFonts w:hint="eastAsia" w:ascii="宋体" w:hAnsi="宋体" w:eastAsia="宋体" w:cs="宋体"/>
            </w:rPr>
            <w:fldChar w:fldCharType="separate"/>
          </w:r>
          <w:r>
            <w:rPr>
              <w:rFonts w:hint="eastAsia" w:ascii="宋体" w:hAnsi="宋体" w:eastAsia="宋体" w:cs="宋体"/>
              <w:lang w:val="en-US" w:eastAsia="zh-CN"/>
            </w:rPr>
            <w:t>5.3.2防雷、防静电安全评价子单元安全检查表</w:t>
          </w:r>
          <w:r>
            <w:tab/>
          </w:r>
          <w:r>
            <w:fldChar w:fldCharType="begin"/>
          </w:r>
          <w:r>
            <w:instrText xml:space="preserve"> PAGEREF _Toc11877 \h </w:instrText>
          </w:r>
          <w:r>
            <w:fldChar w:fldCharType="separate"/>
          </w:r>
          <w:r>
            <w:t>80</w:t>
          </w:r>
          <w:r>
            <w:fldChar w:fldCharType="end"/>
          </w:r>
          <w:r>
            <w:rPr>
              <w:rFonts w:hint="eastAsia" w:ascii="宋体" w:hAnsi="宋体" w:eastAsia="宋体" w:cs="宋体"/>
              <w:color w:val="000000" w:themeColor="text1"/>
              <w14:textFill>
                <w14:solidFill>
                  <w14:schemeClr w14:val="tx1"/>
                </w14:solidFill>
              </w14:textFill>
            </w:rPr>
            <w:fldChar w:fldCharType="end"/>
          </w:r>
        </w:p>
        <w:p w14:paraId="04982EFA">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_Toc10208 </w:instrText>
          </w:r>
          <w:r>
            <w:rPr>
              <w:rFonts w:hint="eastAsia" w:ascii="宋体" w:hAnsi="宋体" w:eastAsia="宋体" w:cs="宋体"/>
            </w:rPr>
            <w:fldChar w:fldCharType="separate"/>
          </w:r>
          <w:r>
            <w:rPr>
              <w:rFonts w:hint="eastAsia" w:ascii="宋体" w:hAnsi="宋体" w:eastAsia="宋体" w:cs="宋体"/>
              <w:lang w:val="en-US" w:eastAsia="zh-CN"/>
            </w:rPr>
            <w:t>5.3.3单元评价小结</w:t>
          </w:r>
          <w:r>
            <w:tab/>
          </w:r>
          <w:r>
            <w:fldChar w:fldCharType="begin"/>
          </w:r>
          <w:r>
            <w:instrText xml:space="preserve"> PAGEREF _Toc10208 \h </w:instrText>
          </w:r>
          <w:r>
            <w:fldChar w:fldCharType="separate"/>
          </w:r>
          <w:r>
            <w:t>80</w:t>
          </w:r>
          <w:r>
            <w:fldChar w:fldCharType="end"/>
          </w:r>
          <w:r>
            <w:rPr>
              <w:rFonts w:hint="eastAsia" w:ascii="宋体" w:hAnsi="宋体" w:eastAsia="宋体" w:cs="宋体"/>
              <w:color w:val="000000" w:themeColor="text1"/>
              <w14:textFill>
                <w14:solidFill>
                  <w14:schemeClr w14:val="tx1"/>
                </w14:solidFill>
              </w14:textFill>
            </w:rPr>
            <w:fldChar w:fldCharType="end"/>
          </w:r>
        </w:p>
        <w:p w14:paraId="5B3A6B6B">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_Toc5881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lang w:val="en-US" w:eastAsia="zh-CN"/>
            </w:rPr>
            <w:t>4</w:t>
          </w:r>
          <w:r>
            <w:rPr>
              <w:rFonts w:hint="eastAsia" w:ascii="宋体" w:hAnsi="宋体" w:eastAsia="宋体" w:cs="宋体"/>
            </w:rPr>
            <w:t>公用工程及辅助设施评价单元</w:t>
          </w:r>
          <w:r>
            <w:tab/>
          </w:r>
          <w:r>
            <w:fldChar w:fldCharType="begin"/>
          </w:r>
          <w:r>
            <w:instrText xml:space="preserve"> PAGEREF _Toc5881 \h </w:instrText>
          </w:r>
          <w:r>
            <w:fldChar w:fldCharType="separate"/>
          </w:r>
          <w:r>
            <w:t>81</w:t>
          </w:r>
          <w:r>
            <w:fldChar w:fldCharType="end"/>
          </w:r>
          <w:r>
            <w:rPr>
              <w:rFonts w:hint="eastAsia" w:ascii="宋体" w:hAnsi="宋体" w:eastAsia="宋体" w:cs="宋体"/>
              <w:color w:val="000000" w:themeColor="text1"/>
              <w14:textFill>
                <w14:solidFill>
                  <w14:schemeClr w14:val="tx1"/>
                </w14:solidFill>
              </w14:textFill>
            </w:rPr>
            <w:fldChar w:fldCharType="end"/>
          </w:r>
        </w:p>
        <w:p w14:paraId="1BCF9242">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_Toc32325 </w:instrText>
          </w:r>
          <w:r>
            <w:rPr>
              <w:rFonts w:hint="eastAsia" w:ascii="宋体" w:hAnsi="宋体" w:eastAsia="宋体" w:cs="宋体"/>
            </w:rPr>
            <w:fldChar w:fldCharType="separate"/>
          </w:r>
          <w:r>
            <w:rPr>
              <w:rFonts w:hint="eastAsia" w:ascii="宋体" w:hAnsi="宋体" w:eastAsia="宋体" w:cs="宋体"/>
              <w:lang w:val="en-US" w:eastAsia="zh-CN"/>
            </w:rPr>
            <w:t>5.4.1 供配电系统安全检查表</w:t>
          </w:r>
          <w:r>
            <w:tab/>
          </w:r>
          <w:r>
            <w:fldChar w:fldCharType="begin"/>
          </w:r>
          <w:r>
            <w:instrText xml:space="preserve"> PAGEREF _Toc32325 \h </w:instrText>
          </w:r>
          <w:r>
            <w:fldChar w:fldCharType="separate"/>
          </w:r>
          <w:r>
            <w:t>81</w:t>
          </w:r>
          <w:r>
            <w:fldChar w:fldCharType="end"/>
          </w:r>
          <w:r>
            <w:rPr>
              <w:rFonts w:hint="eastAsia" w:ascii="宋体" w:hAnsi="宋体" w:eastAsia="宋体" w:cs="宋体"/>
              <w:color w:val="000000" w:themeColor="text1"/>
              <w14:textFill>
                <w14:solidFill>
                  <w14:schemeClr w14:val="tx1"/>
                </w14:solidFill>
              </w14:textFill>
            </w:rPr>
            <w:fldChar w:fldCharType="end"/>
          </w:r>
        </w:p>
        <w:p w14:paraId="06AD3016">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_Toc5385 </w:instrText>
          </w:r>
          <w:r>
            <w:rPr>
              <w:rFonts w:hint="eastAsia" w:ascii="宋体" w:hAnsi="宋体" w:eastAsia="宋体" w:cs="宋体"/>
            </w:rPr>
            <w:fldChar w:fldCharType="separate"/>
          </w:r>
          <w:r>
            <w:rPr>
              <w:rFonts w:hint="eastAsia" w:ascii="宋体" w:hAnsi="宋体" w:eastAsia="宋体" w:cs="宋体"/>
              <w:lang w:val="en-US" w:eastAsia="zh-CN"/>
            </w:rPr>
            <w:t>5.4.2 给排水系统安全检查表</w:t>
          </w:r>
          <w:r>
            <w:tab/>
          </w:r>
          <w:r>
            <w:fldChar w:fldCharType="begin"/>
          </w:r>
          <w:r>
            <w:instrText xml:space="preserve"> PAGEREF _Toc5385 \h </w:instrText>
          </w:r>
          <w:r>
            <w:fldChar w:fldCharType="separate"/>
          </w:r>
          <w:r>
            <w:t>81</w:t>
          </w:r>
          <w:r>
            <w:fldChar w:fldCharType="end"/>
          </w:r>
          <w:r>
            <w:rPr>
              <w:rFonts w:hint="eastAsia" w:ascii="宋体" w:hAnsi="宋体" w:eastAsia="宋体" w:cs="宋体"/>
              <w:color w:val="000000" w:themeColor="text1"/>
              <w14:textFill>
                <w14:solidFill>
                  <w14:schemeClr w14:val="tx1"/>
                </w14:solidFill>
              </w14:textFill>
            </w:rPr>
            <w:fldChar w:fldCharType="end"/>
          </w:r>
        </w:p>
        <w:p w14:paraId="5D97A31B">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_Toc27509 </w:instrText>
          </w:r>
          <w:r>
            <w:rPr>
              <w:rFonts w:hint="eastAsia" w:ascii="宋体" w:hAnsi="宋体" w:eastAsia="宋体" w:cs="宋体"/>
            </w:rPr>
            <w:fldChar w:fldCharType="separate"/>
          </w:r>
          <w:r>
            <w:rPr>
              <w:rFonts w:hint="eastAsia" w:ascii="宋体" w:hAnsi="宋体" w:eastAsia="宋体" w:cs="宋体"/>
              <w:lang w:val="en-US" w:eastAsia="zh-CN"/>
            </w:rPr>
            <w:t>5.4.3 消防系统安全检查表</w:t>
          </w:r>
          <w:r>
            <w:tab/>
          </w:r>
          <w:r>
            <w:fldChar w:fldCharType="begin"/>
          </w:r>
          <w:r>
            <w:instrText xml:space="preserve"> PAGEREF _Toc27509 \h </w:instrText>
          </w:r>
          <w:r>
            <w:fldChar w:fldCharType="separate"/>
          </w:r>
          <w:r>
            <w:t>82</w:t>
          </w:r>
          <w:r>
            <w:fldChar w:fldCharType="end"/>
          </w:r>
          <w:r>
            <w:rPr>
              <w:rFonts w:hint="eastAsia" w:ascii="宋体" w:hAnsi="宋体" w:eastAsia="宋体" w:cs="宋体"/>
              <w:color w:val="000000" w:themeColor="text1"/>
              <w14:textFill>
                <w14:solidFill>
                  <w14:schemeClr w14:val="tx1"/>
                </w14:solidFill>
              </w14:textFill>
            </w:rPr>
            <w:fldChar w:fldCharType="end"/>
          </w:r>
        </w:p>
        <w:p w14:paraId="0F84EBE7">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_Toc22011 </w:instrText>
          </w:r>
          <w:r>
            <w:rPr>
              <w:rFonts w:hint="eastAsia" w:ascii="宋体" w:hAnsi="宋体" w:eastAsia="宋体" w:cs="宋体"/>
            </w:rPr>
            <w:fldChar w:fldCharType="separate"/>
          </w:r>
          <w:r>
            <w:rPr>
              <w:rFonts w:hint="eastAsia" w:ascii="宋体" w:hAnsi="宋体" w:eastAsia="宋体" w:cs="宋体"/>
              <w:lang w:val="en-US" w:eastAsia="zh-CN"/>
            </w:rPr>
            <w:t>5.4.4 单元小结</w:t>
          </w:r>
          <w:r>
            <w:tab/>
          </w:r>
          <w:r>
            <w:fldChar w:fldCharType="begin"/>
          </w:r>
          <w:r>
            <w:instrText xml:space="preserve"> PAGEREF _Toc22011 \h </w:instrText>
          </w:r>
          <w:r>
            <w:fldChar w:fldCharType="separate"/>
          </w:r>
          <w:r>
            <w:t>83</w:t>
          </w:r>
          <w:r>
            <w:fldChar w:fldCharType="end"/>
          </w:r>
          <w:r>
            <w:rPr>
              <w:rFonts w:hint="eastAsia" w:ascii="宋体" w:hAnsi="宋体" w:eastAsia="宋体" w:cs="宋体"/>
              <w:color w:val="000000" w:themeColor="text1"/>
              <w14:textFill>
                <w14:solidFill>
                  <w14:schemeClr w14:val="tx1"/>
                </w14:solidFill>
              </w14:textFill>
            </w:rPr>
            <w:fldChar w:fldCharType="end"/>
          </w:r>
        </w:p>
        <w:p w14:paraId="5AF47B52">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_Toc21301 </w:instrText>
          </w:r>
          <w:r>
            <w:rPr>
              <w:rFonts w:hint="eastAsia" w:ascii="宋体" w:hAnsi="宋体" w:eastAsia="宋体" w:cs="宋体"/>
            </w:rPr>
            <w:fldChar w:fldCharType="separate"/>
          </w:r>
          <w:r>
            <w:rPr>
              <w:rFonts w:hint="eastAsia" w:ascii="宋体" w:hAnsi="宋体" w:eastAsia="宋体" w:cs="宋体"/>
            </w:rPr>
            <w:t>5.5</w:t>
          </w:r>
          <w:r>
            <w:rPr>
              <w:rFonts w:hint="eastAsia" w:ascii="宋体" w:hAnsi="宋体" w:eastAsia="宋体" w:cs="宋体"/>
              <w:lang w:val="en-US" w:eastAsia="zh-CN"/>
            </w:rPr>
            <w:t xml:space="preserve"> </w:t>
          </w:r>
          <w:r>
            <w:rPr>
              <w:rFonts w:hint="eastAsia" w:ascii="宋体" w:hAnsi="宋体" w:eastAsia="宋体" w:cs="宋体"/>
            </w:rPr>
            <w:t>安全生产管理评价单元</w:t>
          </w:r>
          <w:r>
            <w:tab/>
          </w:r>
          <w:r>
            <w:fldChar w:fldCharType="begin"/>
          </w:r>
          <w:r>
            <w:instrText xml:space="preserve"> PAGEREF _Toc21301 \h </w:instrText>
          </w:r>
          <w:r>
            <w:fldChar w:fldCharType="separate"/>
          </w:r>
          <w:r>
            <w:t>83</w:t>
          </w:r>
          <w:r>
            <w:fldChar w:fldCharType="end"/>
          </w:r>
          <w:r>
            <w:rPr>
              <w:rFonts w:hint="eastAsia" w:ascii="宋体" w:hAnsi="宋体" w:eastAsia="宋体" w:cs="宋体"/>
              <w:color w:val="000000" w:themeColor="text1"/>
              <w14:textFill>
                <w14:solidFill>
                  <w14:schemeClr w14:val="tx1"/>
                </w14:solidFill>
              </w14:textFill>
            </w:rPr>
            <w:fldChar w:fldCharType="end"/>
          </w:r>
        </w:p>
        <w:p w14:paraId="0AADB528">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_Toc21137 </w:instrText>
          </w:r>
          <w:r>
            <w:rPr>
              <w:rFonts w:hint="eastAsia" w:ascii="宋体" w:hAnsi="宋体" w:eastAsia="宋体" w:cs="宋体"/>
            </w:rPr>
            <w:fldChar w:fldCharType="separate"/>
          </w:r>
          <w:r>
            <w:rPr>
              <w:rFonts w:hint="eastAsia" w:ascii="宋体" w:hAnsi="宋体" w:eastAsia="宋体" w:cs="宋体"/>
              <w:lang w:val="en-US" w:eastAsia="zh-CN"/>
            </w:rPr>
            <w:t>5.5.1安全管理检查表</w:t>
          </w:r>
          <w:r>
            <w:tab/>
          </w:r>
          <w:r>
            <w:fldChar w:fldCharType="begin"/>
          </w:r>
          <w:r>
            <w:instrText xml:space="preserve"> PAGEREF _Toc21137 \h </w:instrText>
          </w:r>
          <w:r>
            <w:fldChar w:fldCharType="separate"/>
          </w:r>
          <w:r>
            <w:t>83</w:t>
          </w:r>
          <w:r>
            <w:fldChar w:fldCharType="end"/>
          </w:r>
          <w:r>
            <w:rPr>
              <w:rFonts w:hint="eastAsia" w:ascii="宋体" w:hAnsi="宋体" w:eastAsia="宋体" w:cs="宋体"/>
              <w:color w:val="000000" w:themeColor="text1"/>
              <w14:textFill>
                <w14:solidFill>
                  <w14:schemeClr w14:val="tx1"/>
                </w14:solidFill>
              </w14:textFill>
            </w:rPr>
            <w:fldChar w:fldCharType="end"/>
          </w:r>
        </w:p>
        <w:p w14:paraId="7988329C">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_Toc9999 </w:instrText>
          </w:r>
          <w:r>
            <w:rPr>
              <w:rFonts w:hint="eastAsia" w:ascii="宋体" w:hAnsi="宋体" w:eastAsia="宋体" w:cs="宋体"/>
            </w:rPr>
            <w:fldChar w:fldCharType="separate"/>
          </w:r>
          <w:r>
            <w:rPr>
              <w:rFonts w:hint="eastAsia" w:ascii="宋体" w:hAnsi="宋体" w:eastAsia="宋体" w:cs="宋体"/>
              <w:lang w:val="en-US" w:eastAsia="zh-CN"/>
            </w:rPr>
            <w:t>5.5.2 应急救援预案</w:t>
          </w:r>
          <w:r>
            <w:tab/>
          </w:r>
          <w:r>
            <w:fldChar w:fldCharType="begin"/>
          </w:r>
          <w:r>
            <w:instrText xml:space="preserve"> PAGEREF _Toc9999 \h </w:instrText>
          </w:r>
          <w:r>
            <w:fldChar w:fldCharType="separate"/>
          </w:r>
          <w:r>
            <w:t>87</w:t>
          </w:r>
          <w:r>
            <w:fldChar w:fldCharType="end"/>
          </w:r>
          <w:r>
            <w:rPr>
              <w:rFonts w:hint="eastAsia" w:ascii="宋体" w:hAnsi="宋体" w:eastAsia="宋体" w:cs="宋体"/>
              <w:color w:val="000000" w:themeColor="text1"/>
              <w14:textFill>
                <w14:solidFill>
                  <w14:schemeClr w14:val="tx1"/>
                </w14:solidFill>
              </w14:textFill>
            </w:rPr>
            <w:fldChar w:fldCharType="end"/>
          </w:r>
        </w:p>
        <w:p w14:paraId="18BA726F">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_Toc19155 </w:instrText>
          </w:r>
          <w:r>
            <w:rPr>
              <w:rFonts w:hint="eastAsia" w:ascii="宋体" w:hAnsi="宋体" w:eastAsia="宋体" w:cs="宋体"/>
            </w:rPr>
            <w:fldChar w:fldCharType="separate"/>
          </w:r>
          <w:r>
            <w:rPr>
              <w:rFonts w:hint="eastAsia" w:ascii="宋体" w:hAnsi="宋体" w:eastAsia="宋体" w:cs="宋体"/>
              <w:lang w:val="en-US" w:eastAsia="zh-CN"/>
            </w:rPr>
            <w:t>5.5.3 单元小结</w:t>
          </w:r>
          <w:r>
            <w:tab/>
          </w:r>
          <w:r>
            <w:fldChar w:fldCharType="begin"/>
          </w:r>
          <w:r>
            <w:instrText xml:space="preserve"> PAGEREF _Toc19155 \h </w:instrText>
          </w:r>
          <w:r>
            <w:fldChar w:fldCharType="separate"/>
          </w:r>
          <w:r>
            <w:t>89</w:t>
          </w:r>
          <w:r>
            <w:fldChar w:fldCharType="end"/>
          </w:r>
          <w:r>
            <w:rPr>
              <w:rFonts w:hint="eastAsia" w:ascii="宋体" w:hAnsi="宋体" w:eastAsia="宋体" w:cs="宋体"/>
              <w:color w:val="000000" w:themeColor="text1"/>
              <w14:textFill>
                <w14:solidFill>
                  <w14:schemeClr w14:val="tx1"/>
                </w14:solidFill>
              </w14:textFill>
            </w:rPr>
            <w:fldChar w:fldCharType="end"/>
          </w:r>
        </w:p>
        <w:p w14:paraId="4F950A1B">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_Toc28932 </w:instrText>
          </w:r>
          <w:r>
            <w:rPr>
              <w:rFonts w:hint="eastAsia" w:ascii="宋体" w:hAnsi="宋体" w:eastAsia="宋体" w:cs="宋体"/>
            </w:rPr>
            <w:fldChar w:fldCharType="separate"/>
          </w:r>
          <w:r>
            <w:rPr>
              <w:rFonts w:hint="eastAsia" w:ascii="宋体" w:hAnsi="宋体" w:eastAsia="宋体" w:cs="宋体"/>
            </w:rPr>
            <w:t>5.6 重大事故隐患</w:t>
          </w:r>
          <w:r>
            <w:rPr>
              <w:rFonts w:hint="eastAsia" w:ascii="宋体" w:hAnsi="宋体" w:eastAsia="宋体" w:cs="宋体"/>
              <w:lang w:val="en-US" w:eastAsia="zh-CN"/>
            </w:rPr>
            <w:t>评价</w:t>
          </w:r>
          <w:r>
            <w:rPr>
              <w:rFonts w:hint="eastAsia" w:ascii="宋体" w:hAnsi="宋体" w:eastAsia="宋体" w:cs="宋体"/>
            </w:rPr>
            <w:t>单元</w:t>
          </w:r>
          <w:r>
            <w:tab/>
          </w:r>
          <w:r>
            <w:fldChar w:fldCharType="begin"/>
          </w:r>
          <w:r>
            <w:instrText xml:space="preserve"> PAGEREF _Toc28932 \h </w:instrText>
          </w:r>
          <w:r>
            <w:fldChar w:fldCharType="separate"/>
          </w:r>
          <w:r>
            <w:t>89</w:t>
          </w:r>
          <w:r>
            <w:fldChar w:fldCharType="end"/>
          </w:r>
          <w:r>
            <w:rPr>
              <w:rFonts w:hint="eastAsia" w:ascii="宋体" w:hAnsi="宋体" w:eastAsia="宋体" w:cs="宋体"/>
              <w:color w:val="000000" w:themeColor="text1"/>
              <w14:textFill>
                <w14:solidFill>
                  <w14:schemeClr w14:val="tx1"/>
                </w14:solidFill>
              </w14:textFill>
            </w:rPr>
            <w:fldChar w:fldCharType="end"/>
          </w:r>
        </w:p>
        <w:p w14:paraId="309BDA1E">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_Toc10857 </w:instrText>
          </w:r>
          <w:r>
            <w:rPr>
              <w:rFonts w:hint="eastAsia" w:ascii="宋体" w:hAnsi="宋体" w:eastAsia="宋体" w:cs="宋体"/>
            </w:rPr>
            <w:fldChar w:fldCharType="separate"/>
          </w:r>
          <w:r>
            <w:rPr>
              <w:rFonts w:hint="eastAsia" w:ascii="宋体" w:hAnsi="宋体" w:eastAsia="宋体" w:cs="宋体"/>
              <w:lang w:val="en-US" w:eastAsia="zh-CN"/>
            </w:rPr>
            <w:t>5.7评价小结</w:t>
          </w:r>
          <w:r>
            <w:tab/>
          </w:r>
          <w:r>
            <w:fldChar w:fldCharType="begin"/>
          </w:r>
          <w:r>
            <w:instrText xml:space="preserve"> PAGEREF _Toc10857 \h </w:instrText>
          </w:r>
          <w:r>
            <w:fldChar w:fldCharType="separate"/>
          </w:r>
          <w:r>
            <w:t>91</w:t>
          </w:r>
          <w:r>
            <w:fldChar w:fldCharType="end"/>
          </w:r>
          <w:r>
            <w:rPr>
              <w:rFonts w:hint="eastAsia" w:ascii="宋体" w:hAnsi="宋体" w:eastAsia="宋体" w:cs="宋体"/>
              <w:color w:val="000000" w:themeColor="text1"/>
              <w14:textFill>
                <w14:solidFill>
                  <w14:schemeClr w14:val="tx1"/>
                </w14:solidFill>
              </w14:textFill>
            </w:rPr>
            <w:fldChar w:fldCharType="end"/>
          </w:r>
        </w:p>
        <w:p w14:paraId="1F54E213">
          <w:pPr>
            <w:pStyle w:val="35"/>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_Toc6401 </w:instrText>
          </w:r>
          <w:r>
            <w:rPr>
              <w:rFonts w:hint="eastAsia" w:ascii="宋体" w:hAnsi="宋体" w:eastAsia="宋体" w:cs="宋体"/>
            </w:rPr>
            <w:fldChar w:fldCharType="separate"/>
          </w:r>
          <w:r>
            <w:rPr>
              <w:rFonts w:hint="eastAsia" w:ascii="宋体" w:hAnsi="宋体" w:eastAsia="宋体" w:cs="宋体"/>
            </w:rPr>
            <w:t>第6章  主要存在问题及安全对策措施建议</w:t>
          </w:r>
          <w:r>
            <w:tab/>
          </w:r>
          <w:r>
            <w:fldChar w:fldCharType="begin"/>
          </w:r>
          <w:r>
            <w:instrText xml:space="preserve"> PAGEREF _Toc6401 \h </w:instrText>
          </w:r>
          <w:r>
            <w:fldChar w:fldCharType="separate"/>
          </w:r>
          <w:r>
            <w:t>92</w:t>
          </w:r>
          <w:r>
            <w:fldChar w:fldCharType="end"/>
          </w:r>
          <w:r>
            <w:rPr>
              <w:rFonts w:hint="eastAsia" w:ascii="宋体" w:hAnsi="宋体" w:eastAsia="宋体" w:cs="宋体"/>
              <w:color w:val="000000" w:themeColor="text1"/>
              <w14:textFill>
                <w14:solidFill>
                  <w14:schemeClr w14:val="tx1"/>
                </w14:solidFill>
              </w14:textFill>
            </w:rPr>
            <w:fldChar w:fldCharType="end"/>
          </w:r>
        </w:p>
        <w:p w14:paraId="1E9DE599">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_Toc24783 </w:instrText>
          </w:r>
          <w:r>
            <w:rPr>
              <w:rFonts w:hint="eastAsia" w:ascii="宋体" w:hAnsi="宋体" w:eastAsia="宋体" w:cs="宋体"/>
            </w:rPr>
            <w:fldChar w:fldCharType="separate"/>
          </w:r>
          <w:r>
            <w:rPr>
              <w:rFonts w:hint="eastAsia" w:ascii="宋体" w:hAnsi="宋体" w:eastAsia="宋体" w:cs="宋体"/>
            </w:rPr>
            <w:t>6.1</w:t>
          </w:r>
          <w:r>
            <w:rPr>
              <w:rFonts w:hint="eastAsia" w:ascii="宋体" w:hAnsi="宋体" w:eastAsia="宋体" w:cs="宋体"/>
              <w:lang w:val="en-US" w:eastAsia="zh-CN"/>
            </w:rPr>
            <w:t xml:space="preserve"> </w:t>
          </w:r>
          <w:r>
            <w:rPr>
              <w:rFonts w:hint="eastAsia" w:ascii="宋体" w:hAnsi="宋体" w:eastAsia="宋体" w:cs="宋体"/>
            </w:rPr>
            <w:t>主要存在问题</w:t>
          </w:r>
          <w:r>
            <w:tab/>
          </w:r>
          <w:r>
            <w:fldChar w:fldCharType="begin"/>
          </w:r>
          <w:r>
            <w:instrText xml:space="preserve"> PAGEREF _Toc24783 \h </w:instrText>
          </w:r>
          <w:r>
            <w:fldChar w:fldCharType="separate"/>
          </w:r>
          <w:r>
            <w:t>92</w:t>
          </w:r>
          <w:r>
            <w:fldChar w:fldCharType="end"/>
          </w:r>
          <w:r>
            <w:rPr>
              <w:rFonts w:hint="eastAsia" w:ascii="宋体" w:hAnsi="宋体" w:eastAsia="宋体" w:cs="宋体"/>
              <w:color w:val="000000" w:themeColor="text1"/>
              <w14:textFill>
                <w14:solidFill>
                  <w14:schemeClr w14:val="tx1"/>
                </w14:solidFill>
              </w14:textFill>
            </w:rPr>
            <w:fldChar w:fldCharType="end"/>
          </w:r>
        </w:p>
        <w:p w14:paraId="2F652339">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_Toc25296 </w:instrText>
          </w:r>
          <w:r>
            <w:rPr>
              <w:rFonts w:hint="eastAsia" w:ascii="宋体" w:hAnsi="宋体" w:eastAsia="宋体" w:cs="宋体"/>
            </w:rPr>
            <w:fldChar w:fldCharType="separate"/>
          </w:r>
          <w:r>
            <w:rPr>
              <w:rFonts w:hint="eastAsia" w:ascii="宋体" w:hAnsi="宋体" w:eastAsia="宋体" w:cs="宋体"/>
            </w:rPr>
            <w:t>6.2</w:t>
          </w:r>
          <w:r>
            <w:rPr>
              <w:rFonts w:hint="eastAsia" w:ascii="宋体" w:hAnsi="宋体" w:eastAsia="宋体" w:cs="宋体"/>
              <w:lang w:val="en-US" w:eastAsia="zh-CN"/>
            </w:rPr>
            <w:t xml:space="preserve"> </w:t>
          </w:r>
          <w:r>
            <w:rPr>
              <w:rFonts w:hint="eastAsia" w:ascii="宋体" w:hAnsi="宋体" w:eastAsia="宋体" w:cs="宋体"/>
            </w:rPr>
            <w:t>安全技术对策措施建议</w:t>
          </w:r>
          <w:r>
            <w:tab/>
          </w:r>
          <w:r>
            <w:fldChar w:fldCharType="begin"/>
          </w:r>
          <w:r>
            <w:instrText xml:space="preserve"> PAGEREF _Toc25296 \h </w:instrText>
          </w:r>
          <w:r>
            <w:fldChar w:fldCharType="separate"/>
          </w:r>
          <w:r>
            <w:t>92</w:t>
          </w:r>
          <w:r>
            <w:fldChar w:fldCharType="end"/>
          </w:r>
          <w:r>
            <w:rPr>
              <w:rFonts w:hint="eastAsia" w:ascii="宋体" w:hAnsi="宋体" w:eastAsia="宋体" w:cs="宋体"/>
              <w:color w:val="000000" w:themeColor="text1"/>
              <w14:textFill>
                <w14:solidFill>
                  <w14:schemeClr w14:val="tx1"/>
                </w14:solidFill>
              </w14:textFill>
            </w:rPr>
            <w:fldChar w:fldCharType="end"/>
          </w:r>
        </w:p>
        <w:p w14:paraId="4C9B2D30">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_Toc21503 </w:instrText>
          </w:r>
          <w:r>
            <w:rPr>
              <w:rFonts w:hint="eastAsia" w:ascii="宋体" w:hAnsi="宋体" w:eastAsia="宋体" w:cs="宋体"/>
            </w:rPr>
            <w:fldChar w:fldCharType="separate"/>
          </w:r>
          <w:r>
            <w:rPr>
              <w:rFonts w:hint="eastAsia" w:ascii="宋体" w:hAnsi="宋体" w:eastAsia="宋体" w:cs="宋体"/>
            </w:rPr>
            <w:t>6.3</w:t>
          </w:r>
          <w:r>
            <w:rPr>
              <w:rFonts w:hint="eastAsia" w:ascii="宋体" w:hAnsi="宋体" w:eastAsia="宋体" w:cs="宋体"/>
              <w:lang w:val="en-US" w:eastAsia="zh-CN"/>
            </w:rPr>
            <w:t xml:space="preserve"> </w:t>
          </w:r>
          <w:r>
            <w:rPr>
              <w:rFonts w:hint="eastAsia" w:ascii="宋体" w:hAnsi="宋体" w:eastAsia="宋体" w:cs="宋体"/>
            </w:rPr>
            <w:t>安全生产管理建议</w:t>
          </w:r>
          <w:r>
            <w:tab/>
          </w:r>
          <w:r>
            <w:fldChar w:fldCharType="begin"/>
          </w:r>
          <w:r>
            <w:instrText xml:space="preserve"> PAGEREF _Toc21503 \h </w:instrText>
          </w:r>
          <w:r>
            <w:fldChar w:fldCharType="separate"/>
          </w:r>
          <w:r>
            <w:t>94</w:t>
          </w:r>
          <w:r>
            <w:fldChar w:fldCharType="end"/>
          </w:r>
          <w:r>
            <w:rPr>
              <w:rFonts w:hint="eastAsia" w:ascii="宋体" w:hAnsi="宋体" w:eastAsia="宋体" w:cs="宋体"/>
              <w:color w:val="000000" w:themeColor="text1"/>
              <w14:textFill>
                <w14:solidFill>
                  <w14:schemeClr w14:val="tx1"/>
                </w14:solidFill>
              </w14:textFill>
            </w:rPr>
            <w:fldChar w:fldCharType="end"/>
          </w:r>
        </w:p>
        <w:p w14:paraId="2B32B7A0">
          <w:pPr>
            <w:pStyle w:val="35"/>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_Toc20621 </w:instrText>
          </w:r>
          <w:r>
            <w:rPr>
              <w:rFonts w:hint="eastAsia" w:ascii="宋体" w:hAnsi="宋体" w:eastAsia="宋体" w:cs="宋体"/>
            </w:rPr>
            <w:fldChar w:fldCharType="separate"/>
          </w:r>
          <w:r>
            <w:rPr>
              <w:rFonts w:hint="eastAsia" w:ascii="宋体" w:hAnsi="宋体" w:eastAsia="宋体" w:cs="宋体"/>
            </w:rPr>
            <w:t>第7章  安全现状评价结论</w:t>
          </w:r>
          <w:r>
            <w:tab/>
          </w:r>
          <w:r>
            <w:fldChar w:fldCharType="begin"/>
          </w:r>
          <w:r>
            <w:instrText xml:space="preserve"> PAGEREF _Toc20621 \h </w:instrText>
          </w:r>
          <w:r>
            <w:fldChar w:fldCharType="separate"/>
          </w:r>
          <w:r>
            <w:t>98</w:t>
          </w:r>
          <w:r>
            <w:fldChar w:fldCharType="end"/>
          </w:r>
          <w:r>
            <w:rPr>
              <w:rFonts w:hint="eastAsia" w:ascii="宋体" w:hAnsi="宋体" w:eastAsia="宋体" w:cs="宋体"/>
              <w:color w:val="000000" w:themeColor="text1"/>
              <w14:textFill>
                <w14:solidFill>
                  <w14:schemeClr w14:val="tx1"/>
                </w14:solidFill>
              </w14:textFill>
            </w:rPr>
            <w:fldChar w:fldCharType="end"/>
          </w:r>
        </w:p>
        <w:p w14:paraId="28B4C5FE">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_Toc2434 </w:instrText>
          </w:r>
          <w:r>
            <w:rPr>
              <w:rFonts w:hint="eastAsia" w:ascii="宋体" w:hAnsi="宋体" w:eastAsia="宋体" w:cs="宋体"/>
            </w:rPr>
            <w:fldChar w:fldCharType="separate"/>
          </w:r>
          <w:r>
            <w:rPr>
              <w:rFonts w:hint="eastAsia" w:ascii="宋体" w:hAnsi="宋体" w:eastAsia="宋体" w:cs="宋体"/>
            </w:rPr>
            <w:t>7.1</w:t>
          </w:r>
          <w:r>
            <w:rPr>
              <w:rFonts w:hint="eastAsia" w:ascii="宋体" w:hAnsi="宋体" w:eastAsia="宋体" w:cs="宋体"/>
              <w:lang w:val="en-US" w:eastAsia="zh-CN"/>
            </w:rPr>
            <w:t xml:space="preserve"> </w:t>
          </w:r>
          <w:r>
            <w:rPr>
              <w:rFonts w:hint="eastAsia" w:ascii="宋体" w:hAnsi="宋体" w:eastAsia="宋体" w:cs="宋体"/>
            </w:rPr>
            <w:t>主要危险、有害因素评价结果</w:t>
          </w:r>
          <w:r>
            <w:tab/>
          </w:r>
          <w:r>
            <w:fldChar w:fldCharType="begin"/>
          </w:r>
          <w:r>
            <w:instrText xml:space="preserve"> PAGEREF _Toc2434 \h </w:instrText>
          </w:r>
          <w:r>
            <w:fldChar w:fldCharType="separate"/>
          </w:r>
          <w:r>
            <w:t>98</w:t>
          </w:r>
          <w:r>
            <w:fldChar w:fldCharType="end"/>
          </w:r>
          <w:r>
            <w:rPr>
              <w:rFonts w:hint="eastAsia" w:ascii="宋体" w:hAnsi="宋体" w:eastAsia="宋体" w:cs="宋体"/>
              <w:color w:val="000000" w:themeColor="text1"/>
              <w14:textFill>
                <w14:solidFill>
                  <w14:schemeClr w14:val="tx1"/>
                </w14:solidFill>
              </w14:textFill>
            </w:rPr>
            <w:fldChar w:fldCharType="end"/>
          </w:r>
        </w:p>
        <w:p w14:paraId="59F0749F">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_Toc13815 </w:instrText>
          </w:r>
          <w:r>
            <w:rPr>
              <w:rFonts w:hint="eastAsia" w:ascii="宋体" w:hAnsi="宋体" w:eastAsia="宋体" w:cs="宋体"/>
            </w:rPr>
            <w:fldChar w:fldCharType="separate"/>
          </w:r>
          <w:r>
            <w:rPr>
              <w:rFonts w:hint="eastAsia" w:ascii="宋体" w:hAnsi="宋体" w:eastAsia="宋体" w:cs="宋体"/>
              <w:lang w:val="en-US" w:eastAsia="zh-CN"/>
            </w:rPr>
            <w:t>7.1.1 主要危险、有害因素</w:t>
          </w:r>
          <w:r>
            <w:tab/>
          </w:r>
          <w:r>
            <w:fldChar w:fldCharType="begin"/>
          </w:r>
          <w:r>
            <w:instrText xml:space="preserve"> PAGEREF _Toc13815 \h </w:instrText>
          </w:r>
          <w:r>
            <w:fldChar w:fldCharType="separate"/>
          </w:r>
          <w:r>
            <w:t>98</w:t>
          </w:r>
          <w:r>
            <w:fldChar w:fldCharType="end"/>
          </w:r>
          <w:r>
            <w:rPr>
              <w:rFonts w:hint="eastAsia" w:ascii="宋体" w:hAnsi="宋体" w:eastAsia="宋体" w:cs="宋体"/>
              <w:color w:val="000000" w:themeColor="text1"/>
              <w14:textFill>
                <w14:solidFill>
                  <w14:schemeClr w14:val="tx1"/>
                </w14:solidFill>
              </w14:textFill>
            </w:rPr>
            <w:fldChar w:fldCharType="end"/>
          </w:r>
        </w:p>
        <w:p w14:paraId="7F994CF6">
          <w:pPr>
            <w:pStyle w:val="27"/>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_Toc16655 </w:instrText>
          </w:r>
          <w:r>
            <w:rPr>
              <w:rFonts w:hint="eastAsia" w:ascii="宋体" w:hAnsi="宋体" w:eastAsia="宋体" w:cs="宋体"/>
            </w:rPr>
            <w:fldChar w:fldCharType="separate"/>
          </w:r>
          <w:r>
            <w:rPr>
              <w:rFonts w:hint="eastAsia" w:ascii="宋体" w:hAnsi="宋体" w:eastAsia="宋体" w:cs="宋体"/>
              <w:lang w:val="en-US" w:eastAsia="zh-CN"/>
            </w:rPr>
            <w:t>7.1.2 本项目存在的主要危险、有害因素及存在部位</w:t>
          </w:r>
          <w:r>
            <w:tab/>
          </w:r>
          <w:r>
            <w:fldChar w:fldCharType="begin"/>
          </w:r>
          <w:r>
            <w:instrText xml:space="preserve"> PAGEREF _Toc16655 \h </w:instrText>
          </w:r>
          <w:r>
            <w:fldChar w:fldCharType="separate"/>
          </w:r>
          <w:r>
            <w:t>98</w:t>
          </w:r>
          <w:r>
            <w:fldChar w:fldCharType="end"/>
          </w:r>
          <w:r>
            <w:rPr>
              <w:rFonts w:hint="eastAsia" w:ascii="宋体" w:hAnsi="宋体" w:eastAsia="宋体" w:cs="宋体"/>
              <w:color w:val="000000" w:themeColor="text1"/>
              <w14:textFill>
                <w14:solidFill>
                  <w14:schemeClr w14:val="tx1"/>
                </w14:solidFill>
              </w14:textFill>
            </w:rPr>
            <w:fldChar w:fldCharType="end"/>
          </w:r>
        </w:p>
        <w:p w14:paraId="30C88372">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_Toc27408 </w:instrText>
          </w:r>
          <w:r>
            <w:rPr>
              <w:rFonts w:hint="eastAsia" w:ascii="宋体" w:hAnsi="宋体" w:eastAsia="宋体" w:cs="宋体"/>
            </w:rPr>
            <w:fldChar w:fldCharType="separate"/>
          </w:r>
          <w:r>
            <w:rPr>
              <w:rFonts w:hint="eastAsia" w:ascii="宋体" w:hAnsi="宋体" w:eastAsia="宋体" w:cs="宋体"/>
            </w:rPr>
            <w:t>7.2</w:t>
          </w:r>
          <w:r>
            <w:rPr>
              <w:rFonts w:hint="eastAsia" w:ascii="宋体" w:hAnsi="宋体" w:eastAsia="宋体" w:cs="宋体"/>
              <w:lang w:val="en-US" w:eastAsia="zh-CN"/>
            </w:rPr>
            <w:t xml:space="preserve"> </w:t>
          </w:r>
          <w:r>
            <w:rPr>
              <w:rFonts w:hint="eastAsia" w:ascii="宋体" w:hAnsi="宋体" w:eastAsia="宋体" w:cs="宋体"/>
            </w:rPr>
            <w:t>需要重点防范和控制的危险、有害因素</w:t>
          </w:r>
          <w:r>
            <w:tab/>
          </w:r>
          <w:r>
            <w:fldChar w:fldCharType="begin"/>
          </w:r>
          <w:r>
            <w:instrText xml:space="preserve"> PAGEREF _Toc27408 \h </w:instrText>
          </w:r>
          <w:r>
            <w:fldChar w:fldCharType="separate"/>
          </w:r>
          <w:r>
            <w:t>99</w:t>
          </w:r>
          <w:r>
            <w:fldChar w:fldCharType="end"/>
          </w:r>
          <w:r>
            <w:rPr>
              <w:rFonts w:hint="eastAsia" w:ascii="宋体" w:hAnsi="宋体" w:eastAsia="宋体" w:cs="宋体"/>
              <w:color w:val="000000" w:themeColor="text1"/>
              <w14:textFill>
                <w14:solidFill>
                  <w14:schemeClr w14:val="tx1"/>
                </w14:solidFill>
              </w14:textFill>
            </w:rPr>
            <w:fldChar w:fldCharType="end"/>
          </w:r>
        </w:p>
        <w:p w14:paraId="6D975E8E">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_Toc16612 </w:instrText>
          </w:r>
          <w:r>
            <w:rPr>
              <w:rFonts w:hint="eastAsia" w:ascii="宋体" w:hAnsi="宋体" w:eastAsia="宋体" w:cs="宋体"/>
            </w:rPr>
            <w:fldChar w:fldCharType="separate"/>
          </w:r>
          <w:r>
            <w:rPr>
              <w:rFonts w:hint="eastAsia" w:ascii="宋体" w:hAnsi="宋体" w:eastAsia="宋体" w:cs="宋体"/>
            </w:rPr>
            <w:t>7.3</w:t>
          </w:r>
          <w:r>
            <w:rPr>
              <w:rFonts w:hint="eastAsia" w:ascii="宋体" w:hAnsi="宋体" w:eastAsia="宋体" w:cs="宋体"/>
              <w:lang w:val="en-US" w:eastAsia="zh-CN"/>
            </w:rPr>
            <w:t xml:space="preserve"> </w:t>
          </w:r>
          <w:r>
            <w:rPr>
              <w:rFonts w:hint="eastAsia" w:ascii="宋体" w:hAnsi="宋体" w:eastAsia="宋体" w:cs="宋体"/>
            </w:rPr>
            <w:t>安全评价结论</w:t>
          </w:r>
          <w:r>
            <w:tab/>
          </w:r>
          <w:r>
            <w:fldChar w:fldCharType="begin"/>
          </w:r>
          <w:r>
            <w:instrText xml:space="preserve"> PAGEREF _Toc16612 \h </w:instrText>
          </w:r>
          <w:r>
            <w:fldChar w:fldCharType="separate"/>
          </w:r>
          <w:r>
            <w:t>99</w:t>
          </w:r>
          <w:r>
            <w:fldChar w:fldCharType="end"/>
          </w:r>
          <w:r>
            <w:rPr>
              <w:rFonts w:hint="eastAsia" w:ascii="宋体" w:hAnsi="宋体" w:eastAsia="宋体" w:cs="宋体"/>
              <w:color w:val="000000" w:themeColor="text1"/>
              <w14:textFill>
                <w14:solidFill>
                  <w14:schemeClr w14:val="tx1"/>
                </w14:solidFill>
              </w14:textFill>
            </w:rPr>
            <w:fldChar w:fldCharType="end"/>
          </w:r>
        </w:p>
        <w:p w14:paraId="6F1DD56E">
          <w:pPr>
            <w:pStyle w:val="35"/>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_Toc6436 </w:instrText>
          </w:r>
          <w:r>
            <w:rPr>
              <w:rFonts w:hint="eastAsia" w:ascii="宋体" w:hAnsi="宋体" w:eastAsia="宋体" w:cs="宋体"/>
            </w:rPr>
            <w:fldChar w:fldCharType="separate"/>
          </w:r>
          <w:r>
            <w:rPr>
              <w:rFonts w:hint="eastAsia" w:ascii="宋体" w:hAnsi="宋体" w:eastAsia="宋体" w:cs="宋体"/>
            </w:rPr>
            <w:t>第8章  与企业交换的意见</w:t>
          </w:r>
          <w:r>
            <w:tab/>
          </w:r>
          <w:r>
            <w:fldChar w:fldCharType="begin"/>
          </w:r>
          <w:r>
            <w:instrText xml:space="preserve"> PAGEREF _Toc6436 \h </w:instrText>
          </w:r>
          <w:r>
            <w:fldChar w:fldCharType="separate"/>
          </w:r>
          <w:r>
            <w:t>101</w:t>
          </w:r>
          <w:r>
            <w:fldChar w:fldCharType="end"/>
          </w:r>
          <w:r>
            <w:rPr>
              <w:rFonts w:hint="eastAsia" w:ascii="宋体" w:hAnsi="宋体" w:eastAsia="宋体" w:cs="宋体"/>
              <w:color w:val="000000" w:themeColor="text1"/>
              <w14:textFill>
                <w14:solidFill>
                  <w14:schemeClr w14:val="tx1"/>
                </w14:solidFill>
              </w14:textFill>
            </w:rPr>
            <w:fldChar w:fldCharType="end"/>
          </w:r>
        </w:p>
        <w:p w14:paraId="0E5AF914">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_Toc12665 </w:instrText>
          </w:r>
          <w:r>
            <w:rPr>
              <w:rFonts w:hint="eastAsia" w:ascii="宋体" w:hAnsi="宋体" w:eastAsia="宋体" w:cs="宋体"/>
            </w:rPr>
            <w:fldChar w:fldCharType="separate"/>
          </w:r>
          <w:r>
            <w:rPr>
              <w:rFonts w:hint="eastAsia" w:ascii="宋体" w:hAnsi="宋体" w:eastAsia="宋体" w:cs="宋体"/>
              <w:szCs w:val="28"/>
            </w:rPr>
            <w:t>附件</w:t>
          </w:r>
          <w:r>
            <w:tab/>
          </w:r>
          <w:r>
            <w:fldChar w:fldCharType="begin"/>
          </w:r>
          <w:r>
            <w:instrText xml:space="preserve"> PAGEREF _Toc12665 \h </w:instrText>
          </w:r>
          <w:r>
            <w:fldChar w:fldCharType="separate"/>
          </w:r>
          <w:r>
            <w:t>102</w:t>
          </w:r>
          <w:r>
            <w:fldChar w:fldCharType="end"/>
          </w:r>
          <w:r>
            <w:rPr>
              <w:rFonts w:hint="eastAsia" w:ascii="宋体" w:hAnsi="宋体" w:eastAsia="宋体" w:cs="宋体"/>
              <w:color w:val="000000" w:themeColor="text1"/>
              <w14:textFill>
                <w14:solidFill>
                  <w14:schemeClr w14:val="tx1"/>
                </w14:solidFill>
              </w14:textFill>
            </w:rPr>
            <w:fldChar w:fldCharType="end"/>
          </w:r>
        </w:p>
        <w:p w14:paraId="61D318E8">
          <w:pPr>
            <w:pStyle w:val="43"/>
            <w:tabs>
              <w:tab w:val="right" w:leader="dot" w:pos="8504"/>
            </w:tabs>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rPr>
            <w:instrText xml:space="preserve"> HYPERLINK \l _Toc27181 </w:instrText>
          </w:r>
          <w:r>
            <w:rPr>
              <w:rFonts w:hint="eastAsia" w:ascii="宋体" w:hAnsi="宋体" w:eastAsia="宋体" w:cs="宋体"/>
            </w:rPr>
            <w:fldChar w:fldCharType="separate"/>
          </w:r>
          <w:r>
            <w:rPr>
              <w:rFonts w:hint="eastAsia" w:ascii="宋体" w:hAnsi="宋体" w:eastAsia="宋体" w:cs="宋体"/>
              <w:szCs w:val="28"/>
            </w:rPr>
            <w:t>附图</w:t>
          </w:r>
          <w:r>
            <w:tab/>
          </w:r>
          <w:r>
            <w:fldChar w:fldCharType="begin"/>
          </w:r>
          <w:r>
            <w:instrText xml:space="preserve"> PAGEREF _Toc27181 \h </w:instrText>
          </w:r>
          <w:r>
            <w:fldChar w:fldCharType="separate"/>
          </w:r>
          <w:r>
            <w:t>102</w:t>
          </w:r>
          <w:r>
            <w:fldChar w:fldCharType="end"/>
          </w:r>
          <w:r>
            <w:rPr>
              <w:rFonts w:hint="eastAsia" w:ascii="宋体" w:hAnsi="宋体" w:eastAsia="宋体" w:cs="宋体"/>
              <w:color w:val="000000" w:themeColor="text1"/>
              <w14:textFill>
                <w14:solidFill>
                  <w14:schemeClr w14:val="tx1"/>
                </w14:solidFill>
              </w14:textFill>
            </w:rPr>
            <w:fldChar w:fldCharType="end"/>
          </w:r>
        </w:p>
        <w:p w14:paraId="6650BDEA">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fldChar w:fldCharType="end"/>
          </w:r>
        </w:p>
      </w:sdtContent>
    </w:sdt>
    <w:p w14:paraId="45B714B5">
      <w:pPr>
        <w:pStyle w:val="3"/>
        <w:spacing w:before="165" w:after="165"/>
        <w:rPr>
          <w:rFonts w:hint="eastAsia" w:ascii="宋体" w:hAnsi="宋体" w:eastAsia="宋体" w:cs="宋体"/>
          <w:color w:val="000000" w:themeColor="text1"/>
          <w14:textFill>
            <w14:solidFill>
              <w14:schemeClr w14:val="tx1"/>
            </w14:solidFill>
          </w14:textFill>
        </w:rPr>
        <w:sectPr>
          <w:footerReference r:id="rId5" w:type="default"/>
          <w:pgSz w:w="11906" w:h="16838"/>
          <w:pgMar w:top="1587" w:right="1701" w:bottom="1701" w:left="1701" w:header="851" w:footer="992" w:gutter="0"/>
          <w:pgBorders>
            <w:top w:val="none" w:sz="0" w:space="0"/>
            <w:left w:val="none" w:sz="0" w:space="0"/>
            <w:bottom w:val="none" w:sz="0" w:space="0"/>
            <w:right w:val="none" w:sz="0" w:space="0"/>
          </w:pgBorders>
          <w:pgNumType w:fmt="upperRoman" w:start="1"/>
          <w:cols w:space="720" w:num="1"/>
          <w:docGrid w:type="lines" w:linePitch="330" w:charSpace="0"/>
        </w:sectPr>
      </w:pPr>
    </w:p>
    <w:p w14:paraId="7D317F15">
      <w:pPr>
        <w:pStyle w:val="3"/>
        <w:keepNext/>
        <w:keepLines/>
        <w:pageBreakBefore w:val="0"/>
        <w:widowControl w:val="0"/>
        <w:kinsoku/>
        <w:wordWrap/>
        <w:overflowPunct/>
        <w:topLinePunct w:val="0"/>
        <w:autoSpaceDE/>
        <w:autoSpaceDN/>
        <w:bidi w:val="0"/>
        <w:adjustRightInd/>
        <w:snapToGrid w:val="0"/>
        <w:spacing w:before="100" w:beforeAutospacing="1" w:after="100" w:afterAutospacing="1"/>
        <w:textAlignment w:val="auto"/>
        <w:rPr>
          <w:rFonts w:hint="eastAsia" w:ascii="宋体" w:hAnsi="宋体" w:eastAsia="宋体" w:cs="宋体"/>
          <w:color w:val="000000" w:themeColor="text1"/>
          <w14:textFill>
            <w14:solidFill>
              <w14:schemeClr w14:val="tx1"/>
            </w14:solidFill>
          </w14:textFill>
        </w:rPr>
      </w:pPr>
      <w:bookmarkStart w:id="11" w:name="_Toc30819"/>
      <w:r>
        <w:rPr>
          <w:rFonts w:hint="eastAsia" w:ascii="宋体" w:hAnsi="宋体" w:eastAsia="宋体" w:cs="宋体"/>
          <w:color w:val="000000" w:themeColor="text1"/>
          <w14:textFill>
            <w14:solidFill>
              <w14:schemeClr w14:val="tx1"/>
            </w14:solidFill>
          </w14:textFill>
        </w:rPr>
        <w:t>第1章  编制说明</w:t>
      </w:r>
      <w:bookmarkEnd w:id="11"/>
    </w:p>
    <w:p w14:paraId="4278DE0B">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12" w:name="_Toc20457"/>
      <w:bookmarkStart w:id="13" w:name="_Toc768"/>
      <w:bookmarkStart w:id="14" w:name="_Toc313453419"/>
      <w:bookmarkStart w:id="15" w:name="_Toc335926124"/>
      <w:bookmarkStart w:id="16" w:name="_Toc2418"/>
      <w:r>
        <w:rPr>
          <w:rFonts w:hint="eastAsia" w:ascii="宋体" w:hAnsi="宋体" w:eastAsia="宋体" w:cs="宋体"/>
          <w:color w:val="000000" w:themeColor="text1"/>
          <w14:textFill>
            <w14:solidFill>
              <w14:schemeClr w14:val="tx1"/>
            </w14:solidFill>
          </w14:textFill>
        </w:rPr>
        <w:t>1.1</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安全评价的目的</w:t>
      </w:r>
      <w:bookmarkEnd w:id="12"/>
      <w:bookmarkEnd w:id="13"/>
      <w:bookmarkEnd w:id="14"/>
      <w:bookmarkEnd w:id="15"/>
      <w:bookmarkEnd w:id="16"/>
    </w:p>
    <w:p w14:paraId="19FB6E7A">
      <w:pPr>
        <w:keepNext w:val="0"/>
        <w:keepLines w:val="0"/>
        <w:pageBreakBefore w:val="0"/>
        <w:widowControl w:val="0"/>
        <w:numPr>
          <w:ilvl w:val="0"/>
          <w:numId w:val="2"/>
        </w:numPr>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snapToGrid w:val="0"/>
          <w:color w:val="000000" w:themeColor="text1"/>
          <w:sz w:val="28"/>
          <w14:textFill>
            <w14:solidFill>
              <w14:schemeClr w14:val="tx1"/>
            </w14:solidFill>
          </w14:textFill>
        </w:rPr>
      </w:pPr>
      <w:bookmarkStart w:id="17" w:name="_Toc23496"/>
      <w:bookmarkStart w:id="18" w:name="_Toc121910185"/>
      <w:r>
        <w:rPr>
          <w:rFonts w:hint="eastAsia" w:ascii="宋体" w:hAnsi="宋体" w:eastAsia="宋体" w:cs="宋体"/>
          <w:snapToGrid w:val="0"/>
          <w:color w:val="000000" w:themeColor="text1"/>
          <w:sz w:val="28"/>
          <w14:textFill>
            <w14:solidFill>
              <w14:schemeClr w14:val="tx1"/>
            </w14:solidFill>
          </w14:textFill>
        </w:rPr>
        <w:t>为监管部门提供检查依据；</w:t>
      </w:r>
      <w:bookmarkEnd w:id="17"/>
    </w:p>
    <w:p w14:paraId="346DCA11">
      <w:pPr>
        <w:keepNext w:val="0"/>
        <w:keepLines w:val="0"/>
        <w:pageBreakBefore w:val="0"/>
        <w:widowControl w:val="0"/>
        <w:numPr>
          <w:ilvl w:val="0"/>
          <w:numId w:val="2"/>
        </w:numPr>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snapToGrid w:val="0"/>
          <w:color w:val="000000" w:themeColor="text1"/>
          <w:sz w:val="28"/>
          <w14:textFill>
            <w14:solidFill>
              <w14:schemeClr w14:val="tx1"/>
            </w14:solidFill>
          </w14:textFill>
        </w:rPr>
      </w:pPr>
      <w:r>
        <w:rPr>
          <w:rFonts w:hint="eastAsia" w:ascii="宋体" w:hAnsi="宋体" w:eastAsia="宋体" w:cs="宋体"/>
          <w:snapToGrid w:val="0"/>
          <w:color w:val="000000" w:themeColor="text1"/>
          <w:sz w:val="28"/>
          <w14:textFill>
            <w14:solidFill>
              <w14:schemeClr w14:val="tx1"/>
            </w14:solidFill>
          </w14:textFill>
        </w:rPr>
        <w:t>企业通过评价确认在用的设备或设施的安全状态，确认该状态是否可以接受；</w:t>
      </w:r>
    </w:p>
    <w:p w14:paraId="392C74B2">
      <w:pPr>
        <w:keepNext w:val="0"/>
        <w:keepLines w:val="0"/>
        <w:pageBreakBefore w:val="0"/>
        <w:widowControl w:val="0"/>
        <w:numPr>
          <w:ilvl w:val="0"/>
          <w:numId w:val="2"/>
        </w:numPr>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snapToGrid w:val="0"/>
          <w:color w:val="000000" w:themeColor="text1"/>
          <w:sz w:val="28"/>
          <w14:textFill>
            <w14:solidFill>
              <w14:schemeClr w14:val="tx1"/>
            </w14:solidFill>
          </w14:textFill>
        </w:rPr>
      </w:pPr>
      <w:r>
        <w:rPr>
          <w:rFonts w:hint="eastAsia" w:ascii="宋体" w:hAnsi="宋体" w:eastAsia="宋体" w:cs="宋体"/>
          <w:snapToGrid w:val="0"/>
          <w:color w:val="000000" w:themeColor="text1"/>
          <w:sz w:val="28"/>
          <w14:textFill>
            <w14:solidFill>
              <w14:schemeClr w14:val="tx1"/>
            </w14:solidFill>
          </w14:textFill>
        </w:rPr>
        <w:t>通过安全评价，促进企业的安全管理，发现和整改事故隐患，提高企业生产经营的本质安全</w:t>
      </w:r>
      <w:r>
        <w:rPr>
          <w:rFonts w:hint="eastAsia" w:ascii="宋体" w:hAnsi="宋体" w:eastAsia="宋体" w:cs="宋体"/>
          <w:snapToGrid w:val="0"/>
          <w:color w:val="000000" w:themeColor="text1"/>
          <w:sz w:val="28"/>
          <w:lang w:eastAsia="zh-CN"/>
          <w14:textFill>
            <w14:solidFill>
              <w14:schemeClr w14:val="tx1"/>
            </w14:solidFill>
          </w14:textFill>
        </w:rPr>
        <w:t>程</w:t>
      </w:r>
      <w:r>
        <w:rPr>
          <w:rFonts w:hint="eastAsia" w:ascii="宋体" w:hAnsi="宋体" w:eastAsia="宋体" w:cs="宋体"/>
          <w:snapToGrid w:val="0"/>
          <w:color w:val="000000" w:themeColor="text1"/>
          <w:sz w:val="28"/>
          <w14:textFill>
            <w14:solidFill>
              <w14:schemeClr w14:val="tx1"/>
            </w14:solidFill>
          </w14:textFill>
        </w:rPr>
        <w:t>度；</w:t>
      </w:r>
    </w:p>
    <w:p w14:paraId="4477BC71">
      <w:pPr>
        <w:keepNext w:val="0"/>
        <w:keepLines w:val="0"/>
        <w:pageBreakBefore w:val="0"/>
        <w:widowControl w:val="0"/>
        <w:numPr>
          <w:ilvl w:val="0"/>
          <w:numId w:val="2"/>
        </w:numPr>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snapToGrid w:val="0"/>
          <w:color w:val="000000" w:themeColor="text1"/>
          <w:sz w:val="28"/>
          <w14:textFill>
            <w14:solidFill>
              <w14:schemeClr w14:val="tx1"/>
            </w14:solidFill>
          </w14:textFill>
        </w:rPr>
      </w:pPr>
      <w:r>
        <w:rPr>
          <w:rFonts w:hint="eastAsia" w:ascii="宋体" w:hAnsi="宋体" w:eastAsia="宋体" w:cs="宋体"/>
          <w:snapToGrid w:val="0"/>
          <w:color w:val="000000" w:themeColor="text1"/>
          <w:sz w:val="28"/>
          <w14:textFill>
            <w14:solidFill>
              <w14:schemeClr w14:val="tx1"/>
            </w14:solidFill>
          </w14:textFill>
        </w:rPr>
        <w:t>通过对该公司生产过程中的危险、有害因素辨识，</w:t>
      </w:r>
      <w:r>
        <w:rPr>
          <w:rFonts w:hint="eastAsia" w:ascii="宋体" w:hAnsi="宋体" w:eastAsia="宋体" w:cs="宋体"/>
          <w:color w:val="000000" w:themeColor="text1"/>
          <w:sz w:val="28"/>
          <w:szCs w:val="28"/>
          <w14:textFill>
            <w14:solidFill>
              <w14:schemeClr w14:val="tx1"/>
            </w14:solidFill>
          </w14:textFill>
        </w:rPr>
        <w:t>分析出可能存在的主要危险、有害因素及其产生危险、危害后果的主要条件；</w:t>
      </w:r>
      <w:r>
        <w:rPr>
          <w:rFonts w:hint="eastAsia" w:ascii="宋体" w:hAnsi="宋体" w:eastAsia="宋体" w:cs="宋体"/>
          <w:snapToGrid w:val="0"/>
          <w:color w:val="000000" w:themeColor="text1"/>
          <w:sz w:val="28"/>
          <w14:textFill>
            <w14:solidFill>
              <w14:schemeClr w14:val="tx1"/>
            </w14:solidFill>
          </w14:textFill>
        </w:rPr>
        <w:t>预测发生事故的可能性及其严重程度，并提出科学、合理、可行的安全对策措施建议；</w:t>
      </w:r>
    </w:p>
    <w:p w14:paraId="1978FE86">
      <w:pPr>
        <w:keepNext w:val="0"/>
        <w:keepLines w:val="0"/>
        <w:pageBreakBefore w:val="0"/>
        <w:widowControl w:val="0"/>
        <w:numPr>
          <w:ilvl w:val="0"/>
          <w:numId w:val="2"/>
        </w:numPr>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snapToGrid w:val="0"/>
          <w:color w:val="000000" w:themeColor="text1"/>
          <w:sz w:val="28"/>
          <w14:textFill>
            <w14:solidFill>
              <w14:schemeClr w14:val="tx1"/>
            </w14:solidFill>
          </w14:textFill>
        </w:rPr>
      </w:pPr>
      <w:r>
        <w:rPr>
          <w:rFonts w:hint="eastAsia" w:ascii="宋体" w:hAnsi="宋体" w:eastAsia="宋体" w:cs="宋体"/>
          <w:snapToGrid w:val="0"/>
          <w:color w:val="000000" w:themeColor="text1"/>
          <w:sz w:val="28"/>
          <w14:textFill>
            <w14:solidFill>
              <w14:schemeClr w14:val="tx1"/>
            </w14:solidFill>
          </w14:textFill>
        </w:rPr>
        <w:t>通过安全评价，该企业可进一步全面了解和掌握企业安全生产条件和安全管理状况，并通过完善安全措施，提高企业本质安全程度，预防事故发生，保障人员的生命安全及企业的财产安全；</w:t>
      </w:r>
    </w:p>
    <w:p w14:paraId="71D00BEC">
      <w:pPr>
        <w:keepNext w:val="0"/>
        <w:keepLines w:val="0"/>
        <w:pageBreakBefore w:val="0"/>
        <w:widowControl w:val="0"/>
        <w:numPr>
          <w:ilvl w:val="0"/>
          <w:numId w:val="2"/>
        </w:numPr>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为该企业生产运行以及日常管理提供依据，</w:t>
      </w:r>
      <w:r>
        <w:rPr>
          <w:rFonts w:hint="eastAsia" w:ascii="宋体" w:hAnsi="宋体" w:eastAsia="宋体" w:cs="宋体"/>
          <w:snapToGrid w:val="0"/>
          <w:color w:val="000000" w:themeColor="text1"/>
          <w:sz w:val="28"/>
          <w:szCs w:val="28"/>
          <w14:textFill>
            <w14:solidFill>
              <w14:schemeClr w14:val="tx1"/>
            </w14:solidFill>
          </w14:textFill>
        </w:rPr>
        <w:t>为实现企业安全技术、安全管理的标准化和科学化创造条件，</w:t>
      </w:r>
      <w:r>
        <w:rPr>
          <w:rFonts w:hint="eastAsia" w:ascii="宋体" w:hAnsi="宋体" w:eastAsia="宋体" w:cs="宋体"/>
          <w:color w:val="000000" w:themeColor="text1"/>
          <w:sz w:val="28"/>
          <w14:textFill>
            <w14:solidFill>
              <w14:schemeClr w14:val="tx1"/>
            </w14:solidFill>
          </w14:textFill>
        </w:rPr>
        <w:t>并为各级应急管理部门和行业主管部门实行安全监察、监督提供依据。</w:t>
      </w:r>
      <w:bookmarkEnd w:id="18"/>
    </w:p>
    <w:p w14:paraId="14F18240">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19" w:name="_Toc22448"/>
      <w:bookmarkStart w:id="20" w:name="_Toc16599"/>
      <w:bookmarkStart w:id="21" w:name="_Toc313453420"/>
      <w:bookmarkStart w:id="22" w:name="_Toc335926125"/>
      <w:bookmarkStart w:id="23" w:name="_Toc13429"/>
      <w:r>
        <w:rPr>
          <w:rFonts w:hint="eastAsia" w:ascii="宋体" w:hAnsi="宋体" w:eastAsia="宋体" w:cs="宋体"/>
          <w:color w:val="000000" w:themeColor="text1"/>
          <w14:textFill>
            <w14:solidFill>
              <w14:schemeClr w14:val="tx1"/>
            </w14:solidFill>
          </w14:textFill>
        </w:rPr>
        <w:t>1.2</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安全评价依据</w:t>
      </w:r>
      <w:bookmarkEnd w:id="19"/>
      <w:bookmarkEnd w:id="20"/>
      <w:bookmarkEnd w:id="21"/>
      <w:bookmarkEnd w:id="22"/>
      <w:bookmarkEnd w:id="23"/>
    </w:p>
    <w:p w14:paraId="050F5239">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24" w:name="_Toc335926126"/>
      <w:bookmarkStart w:id="25" w:name="_Toc25627"/>
      <w:bookmarkStart w:id="26" w:name="_Toc313453421"/>
      <w:bookmarkStart w:id="27" w:name="_Toc20860"/>
      <w:bookmarkStart w:id="28" w:name="_Toc7370"/>
      <w:r>
        <w:rPr>
          <w:rFonts w:hint="eastAsia" w:ascii="宋体" w:hAnsi="宋体" w:eastAsia="宋体" w:cs="宋体"/>
          <w:color w:val="000000" w:themeColor="text1"/>
          <w14:textFill>
            <w14:solidFill>
              <w14:schemeClr w14:val="tx1"/>
            </w14:solidFill>
          </w14:textFill>
        </w:rPr>
        <w:t>1</w:t>
      </w:r>
      <w:r>
        <w:rPr>
          <w:rFonts w:hint="eastAsia" w:ascii="宋体" w:hAnsi="宋体" w:eastAsia="宋体" w:cs="宋体"/>
          <w:color w:val="000000" w:themeColor="text1"/>
          <w:szCs w:val="36"/>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2</w:t>
      </w:r>
      <w:r>
        <w:rPr>
          <w:rFonts w:hint="eastAsia" w:ascii="宋体" w:hAnsi="宋体" w:eastAsia="宋体" w:cs="宋体"/>
          <w:color w:val="000000" w:themeColor="text1"/>
          <w:szCs w:val="36"/>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1</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法律法规</w:t>
      </w:r>
      <w:bookmarkEnd w:id="24"/>
      <w:bookmarkEnd w:id="25"/>
      <w:bookmarkEnd w:id="26"/>
      <w:bookmarkEnd w:id="27"/>
      <w:bookmarkEnd w:id="28"/>
    </w:p>
    <w:p w14:paraId="5D60C2D8">
      <w:pPr>
        <w:pStyle w:val="320"/>
        <w:keepNext w:val="0"/>
        <w:keepLines w:val="0"/>
        <w:pageBreakBefore w:val="0"/>
        <w:widowControl w:val="0"/>
        <w:kinsoku/>
        <w:wordWrap/>
        <w:overflowPunct/>
        <w:topLinePunct w:val="0"/>
        <w:autoSpaceDE/>
        <w:autoSpaceDN/>
        <w:bidi w:val="0"/>
        <w:adjustRightInd/>
        <w:snapToGrid/>
        <w:spacing w:line="520" w:lineRule="exact"/>
        <w:ind w:left="0" w:firstLine="56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1.《中华人民共和国安全生产法》（中华人员共和国主席令第88号，全国人民代表大会常务委员会关于修改</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中华人民共和国安全生产法</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的决定，已由中华人民共和国第十三届全国人民代表大会常务委员会第二十九次会议于2021年6月10日通过，现予公布，自2021年9月1日起施行）；</w:t>
      </w:r>
    </w:p>
    <w:p w14:paraId="1657908D">
      <w:pPr>
        <w:pStyle w:val="320"/>
        <w:keepNext w:val="0"/>
        <w:keepLines w:val="0"/>
        <w:pageBreakBefore w:val="0"/>
        <w:widowControl w:val="0"/>
        <w:kinsoku/>
        <w:wordWrap/>
        <w:overflowPunct/>
        <w:topLinePunct w:val="0"/>
        <w:autoSpaceDE/>
        <w:autoSpaceDN/>
        <w:bidi w:val="0"/>
        <w:adjustRightInd/>
        <w:snapToGrid/>
        <w:spacing w:line="520" w:lineRule="exact"/>
        <w:ind w:left="0" w:firstLine="56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2.《中华人民共和国劳动法》（中华人民共和国主席令第28号，2018年12月29日第二次修改）；</w:t>
      </w:r>
    </w:p>
    <w:p w14:paraId="6A1E9E9F">
      <w:pPr>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3.《中华人民共和国环境保护法》（中华人民共和国主席令第9号，自2015年1月1日起施行）；</w:t>
      </w:r>
    </w:p>
    <w:p w14:paraId="2D9427E2">
      <w:pPr>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4.《中华人民共和国职业病防治法》（中华人民共和国主席令第24号，2018年12月29日第三次修正）</w:t>
      </w:r>
      <w:r>
        <w:rPr>
          <w:rFonts w:hint="eastAsia" w:ascii="宋体" w:hAnsi="宋体" w:eastAsia="宋体" w:cs="宋体"/>
          <w:color w:val="000000" w:themeColor="text1"/>
          <w:sz w:val="28"/>
          <w:szCs w:val="28"/>
          <w:lang w:eastAsia="zh-CN"/>
          <w14:textFill>
            <w14:solidFill>
              <w14:schemeClr w14:val="tx1"/>
            </w14:solidFill>
          </w14:textFill>
        </w:rPr>
        <w:t>；</w:t>
      </w:r>
    </w:p>
    <w:p w14:paraId="3CFCE9A2">
      <w:pPr>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5.《中华人民共和国突发事件应对法》（国家主席令第</w:t>
      </w:r>
      <w:r>
        <w:rPr>
          <w:rFonts w:hint="eastAsia" w:ascii="宋体" w:hAnsi="宋体" w:eastAsia="宋体" w:cs="宋体"/>
          <w:color w:val="000000" w:themeColor="text1"/>
          <w:sz w:val="28"/>
          <w:szCs w:val="28"/>
          <w:lang w:val="en-US" w:eastAsia="zh-CN"/>
          <w14:textFill>
            <w14:solidFill>
              <w14:schemeClr w14:val="tx1"/>
            </w14:solidFill>
          </w14:textFill>
        </w:rPr>
        <w:t>25</w:t>
      </w:r>
      <w:r>
        <w:rPr>
          <w:rFonts w:hint="eastAsia" w:ascii="宋体" w:hAnsi="宋体" w:eastAsia="宋体" w:cs="宋体"/>
          <w:color w:val="000000" w:themeColor="text1"/>
          <w:sz w:val="28"/>
          <w:szCs w:val="28"/>
          <w14:textFill>
            <w14:solidFill>
              <w14:schemeClr w14:val="tx1"/>
            </w14:solidFill>
          </w14:textFill>
        </w:rPr>
        <w:t>号，自20</w:t>
      </w:r>
      <w:r>
        <w:rPr>
          <w:rFonts w:hint="eastAsia" w:ascii="宋体" w:hAnsi="宋体" w:eastAsia="宋体" w:cs="宋体"/>
          <w:color w:val="000000" w:themeColor="text1"/>
          <w:sz w:val="28"/>
          <w:szCs w:val="28"/>
          <w:lang w:val="en-US" w:eastAsia="zh-CN"/>
          <w14:textFill>
            <w14:solidFill>
              <w14:schemeClr w14:val="tx1"/>
            </w14:solidFill>
          </w14:textFill>
        </w:rPr>
        <w:t>24</w:t>
      </w:r>
      <w:r>
        <w:rPr>
          <w:rFonts w:hint="eastAsia" w:ascii="宋体" w:hAnsi="宋体" w:eastAsia="宋体" w:cs="宋体"/>
          <w:color w:val="000000" w:themeColor="text1"/>
          <w:sz w:val="28"/>
          <w:szCs w:val="28"/>
          <w14:textFill>
            <w14:solidFill>
              <w14:schemeClr w14:val="tx1"/>
            </w14:solidFill>
          </w14:textFill>
        </w:rPr>
        <w:t>年11月1日起施行）；</w:t>
      </w:r>
    </w:p>
    <w:p w14:paraId="14FBC522">
      <w:pPr>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6.《中华人民共和国消防法》（国家主席令</w:t>
      </w:r>
      <w:r>
        <w:rPr>
          <w:rFonts w:hint="eastAsia" w:ascii="宋体" w:hAnsi="宋体" w:eastAsia="宋体" w:cs="宋体"/>
          <w:color w:val="000000" w:themeColor="text1"/>
          <w:sz w:val="28"/>
          <w:szCs w:val="28"/>
          <w:lang w:val="en-US" w:eastAsia="zh-CN"/>
          <w14:textFill>
            <w14:solidFill>
              <w14:schemeClr w14:val="tx1"/>
            </w14:solidFill>
          </w14:textFill>
        </w:rPr>
        <w:t>81</w:t>
      </w:r>
      <w:r>
        <w:rPr>
          <w:rFonts w:hint="eastAsia" w:ascii="宋体" w:hAnsi="宋体" w:eastAsia="宋体" w:cs="宋体"/>
          <w:color w:val="000000" w:themeColor="text1"/>
          <w:sz w:val="28"/>
          <w:szCs w:val="28"/>
          <w14:textFill>
            <w14:solidFill>
              <w14:schemeClr w14:val="tx1"/>
            </w14:solidFill>
          </w14:textFill>
        </w:rPr>
        <w:t>号，自2021年4月2</w:t>
      </w:r>
      <w:r>
        <w:rPr>
          <w:rFonts w:hint="eastAsia" w:ascii="宋体" w:hAnsi="宋体" w:eastAsia="宋体" w:cs="宋体"/>
          <w:color w:val="000000" w:themeColor="text1"/>
          <w:sz w:val="28"/>
          <w:szCs w:val="28"/>
          <w:lang w:val="en-US" w:eastAsia="zh-CN"/>
          <w14:textFill>
            <w14:solidFill>
              <w14:schemeClr w14:val="tx1"/>
            </w14:solidFill>
          </w14:textFill>
        </w:rPr>
        <w:t>9</w:t>
      </w:r>
      <w:r>
        <w:rPr>
          <w:rFonts w:hint="eastAsia" w:ascii="宋体" w:hAnsi="宋体" w:eastAsia="宋体" w:cs="宋体"/>
          <w:color w:val="000000" w:themeColor="text1"/>
          <w:sz w:val="28"/>
          <w:szCs w:val="28"/>
          <w14:textFill>
            <w14:solidFill>
              <w14:schemeClr w14:val="tx1"/>
            </w14:solidFill>
          </w14:textFill>
        </w:rPr>
        <w:t>日起施行）</w:t>
      </w:r>
      <w:r>
        <w:rPr>
          <w:rFonts w:hint="eastAsia" w:ascii="宋体" w:hAnsi="宋体" w:eastAsia="宋体" w:cs="宋体"/>
          <w:color w:val="000000" w:themeColor="text1"/>
          <w:sz w:val="28"/>
          <w:szCs w:val="28"/>
          <w:lang w:eastAsia="zh-CN"/>
          <w14:textFill>
            <w14:solidFill>
              <w14:schemeClr w14:val="tx1"/>
            </w14:solidFill>
          </w14:textFill>
        </w:rPr>
        <w:t>；</w:t>
      </w:r>
    </w:p>
    <w:p w14:paraId="15B36B43">
      <w:pPr>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7.</w:t>
      </w:r>
      <w:r>
        <w:rPr>
          <w:rFonts w:hint="eastAsia" w:ascii="宋体" w:hAnsi="宋体" w:eastAsia="宋体" w:cs="宋体"/>
          <w:color w:val="000000" w:themeColor="text1"/>
          <w:sz w:val="28"/>
          <w:szCs w:val="28"/>
          <w14:textFill>
            <w14:solidFill>
              <w14:schemeClr w14:val="tx1"/>
            </w14:solidFill>
          </w14:textFill>
        </w:rPr>
        <w:t>《中华人民共和国特种设备安全法》（中华人民共和国主席令第</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号</w:t>
      </w:r>
      <w:r>
        <w:rPr>
          <w:rFonts w:hint="eastAsia" w:ascii="宋体" w:hAnsi="宋体" w:eastAsia="宋体" w:cs="宋体"/>
          <w:color w:val="000000" w:themeColor="text1"/>
          <w:sz w:val="28"/>
          <w:szCs w:val="28"/>
          <w:lang w:eastAsia="zh-CN"/>
          <w14:textFill>
            <w14:solidFill>
              <w14:schemeClr w14:val="tx1"/>
            </w14:solidFill>
          </w14:textFill>
        </w:rPr>
        <w:t>，自2014年1月1日起施行</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eastAsia="zh-CN"/>
          <w14:textFill>
            <w14:solidFill>
              <w14:schemeClr w14:val="tx1"/>
            </w14:solidFill>
          </w14:textFill>
        </w:rPr>
        <w:t>；</w:t>
      </w:r>
    </w:p>
    <w:p w14:paraId="017B73D7">
      <w:pPr>
        <w:pStyle w:val="19"/>
        <w:ind w:firstLine="560" w:firstLineChars="200"/>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bidi="ar-SA"/>
          <w14:textFill>
            <w14:solidFill>
              <w14:schemeClr w14:val="tx1"/>
            </w14:solidFill>
          </w14:textFill>
        </w:rPr>
        <w:t>8.</w:t>
      </w:r>
      <w:r>
        <w:rPr>
          <w:rFonts w:hint="eastAsia" w:ascii="宋体" w:hAnsi="宋体" w:eastAsia="宋体" w:cs="宋体"/>
          <w:color w:val="000000" w:themeColor="text1"/>
          <w:kern w:val="0"/>
          <w:sz w:val="28"/>
          <w:szCs w:val="28"/>
          <w:lang w:val="en-US" w:eastAsia="zh-CN" w:bidi="ar-SA"/>
          <w14:textFill>
            <w14:solidFill>
              <w14:schemeClr w14:val="tx1"/>
            </w14:solidFill>
          </w14:textFill>
        </w:rPr>
        <w:t>《中华人民共和国防震减灾法》（中华人民共和国主席令第七号）；</w:t>
      </w:r>
    </w:p>
    <w:p w14:paraId="08EF2A8C">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29" w:name="_Toc313453422"/>
      <w:bookmarkStart w:id="30" w:name="_Toc24894"/>
      <w:bookmarkStart w:id="31" w:name="_Toc13385"/>
      <w:bookmarkStart w:id="32" w:name="_Toc335926127"/>
      <w:bookmarkStart w:id="33" w:name="_Toc23517"/>
      <w:r>
        <w:rPr>
          <w:rFonts w:hint="eastAsia" w:ascii="宋体" w:hAnsi="宋体" w:eastAsia="宋体" w:cs="宋体"/>
          <w:color w:val="000000" w:themeColor="text1"/>
          <w14:textFill>
            <w14:solidFill>
              <w14:schemeClr w14:val="tx1"/>
            </w14:solidFill>
          </w14:textFill>
        </w:rPr>
        <w:t>1.2.2</w:t>
      </w:r>
      <w:bookmarkEnd w:id="29"/>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行政法规</w:t>
      </w:r>
      <w:bookmarkEnd w:id="30"/>
      <w:bookmarkEnd w:id="31"/>
      <w:bookmarkEnd w:id="32"/>
      <w:bookmarkEnd w:id="33"/>
    </w:p>
    <w:p w14:paraId="49716A07">
      <w:pPr>
        <w:keepNext w:val="0"/>
        <w:keepLines w:val="0"/>
        <w:pageBreakBefore w:val="0"/>
        <w:widowControl w:val="0"/>
        <w:tabs>
          <w:tab w:val="left" w:pos="0"/>
          <w:tab w:val="left" w:pos="630"/>
          <w:tab w:val="left" w:pos="720"/>
        </w:tabs>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1．《国务院关于进一步加强企业安全生产工作的通知》（国发〔2010〕23号）；</w:t>
      </w:r>
    </w:p>
    <w:p w14:paraId="44FC92CD">
      <w:pPr>
        <w:keepNext w:val="0"/>
        <w:keepLines w:val="0"/>
        <w:pageBreakBefore w:val="0"/>
        <w:widowControl w:val="0"/>
        <w:tabs>
          <w:tab w:val="left" w:pos="0"/>
          <w:tab w:val="left" w:pos="630"/>
          <w:tab w:val="left" w:pos="720"/>
        </w:tabs>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2．《工伤保险条例》（中华人民共和国国务院令第586号修订，自2011年1月1日起施行）；</w:t>
      </w:r>
    </w:p>
    <w:p w14:paraId="0901C62E">
      <w:pPr>
        <w:keepNext w:val="0"/>
        <w:keepLines w:val="0"/>
        <w:pageBreakBefore w:val="0"/>
        <w:widowControl w:val="0"/>
        <w:tabs>
          <w:tab w:val="left" w:pos="0"/>
          <w:tab w:val="left" w:pos="630"/>
          <w:tab w:val="left" w:pos="720"/>
        </w:tabs>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3．《特种设备安全监察条例》（国务院令第549号，2009年5月1日施行）；</w:t>
      </w:r>
    </w:p>
    <w:p w14:paraId="37315180">
      <w:pPr>
        <w:keepNext w:val="0"/>
        <w:keepLines w:val="0"/>
        <w:pageBreakBefore w:val="0"/>
        <w:widowControl w:val="0"/>
        <w:tabs>
          <w:tab w:val="left" w:pos="0"/>
          <w:tab w:val="left" w:pos="630"/>
          <w:tab w:val="left" w:pos="720"/>
        </w:tabs>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．《生产安全事故报告和调查处理条例》（国务院令第493号</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2007年6月1日起施行</w:t>
      </w:r>
      <w:r>
        <w:rPr>
          <w:rFonts w:hint="eastAsia" w:ascii="宋体" w:hAnsi="宋体" w:eastAsia="宋体" w:cs="宋体"/>
          <w:color w:val="000000" w:themeColor="text1"/>
          <w:sz w:val="28"/>
          <w:szCs w:val="28"/>
          <w14:textFill>
            <w14:solidFill>
              <w14:schemeClr w14:val="tx1"/>
            </w14:solidFill>
          </w14:textFill>
        </w:rPr>
        <w:t>）；</w:t>
      </w:r>
    </w:p>
    <w:p w14:paraId="0912FB7B">
      <w:pPr>
        <w:keepNext w:val="0"/>
        <w:keepLines w:val="0"/>
        <w:pageBreakBefore w:val="0"/>
        <w:widowControl w:val="0"/>
        <w:tabs>
          <w:tab w:val="left" w:pos="0"/>
          <w:tab w:val="left" w:pos="630"/>
          <w:tab w:val="left" w:pos="720"/>
        </w:tabs>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5.《危险化学品安全管理条例》(2002年1月26日中华人民共和国国务院令第344号公布</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2013年12月7日修订)</w:t>
      </w:r>
      <w:r>
        <w:rPr>
          <w:rFonts w:hint="eastAsia" w:ascii="宋体" w:hAnsi="宋体" w:eastAsia="宋体" w:cs="宋体"/>
          <w:color w:val="000000" w:themeColor="text1"/>
          <w:sz w:val="28"/>
          <w:szCs w:val="28"/>
          <w:lang w:val="en-US" w:eastAsia="zh-CN"/>
          <w14:textFill>
            <w14:solidFill>
              <w14:schemeClr w14:val="tx1"/>
            </w14:solidFill>
          </w14:textFill>
        </w:rPr>
        <w:t>；</w:t>
      </w:r>
    </w:p>
    <w:p w14:paraId="3BC44EC7">
      <w:pPr>
        <w:keepNext w:val="0"/>
        <w:keepLines w:val="0"/>
        <w:pageBreakBefore w:val="0"/>
        <w:widowControl w:val="0"/>
        <w:tabs>
          <w:tab w:val="left" w:pos="0"/>
          <w:tab w:val="left" w:pos="630"/>
          <w:tab w:val="left" w:pos="720"/>
        </w:tabs>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6.《生产安全事故应急条例》（国务院令第708号，2019年4月1日起实施）。</w:t>
      </w:r>
    </w:p>
    <w:p w14:paraId="1F7A5AEA">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34" w:name="_Toc353"/>
      <w:bookmarkStart w:id="35" w:name="_Toc19541"/>
      <w:bookmarkStart w:id="36" w:name="_Toc23007"/>
      <w:r>
        <w:rPr>
          <w:rFonts w:hint="eastAsia" w:ascii="宋体" w:hAnsi="宋体" w:eastAsia="宋体" w:cs="宋体"/>
          <w:color w:val="000000" w:themeColor="text1"/>
          <w14:textFill>
            <w14:solidFill>
              <w14:schemeClr w14:val="tx1"/>
            </w14:solidFill>
          </w14:textFill>
        </w:rPr>
        <w:t>1.2.3</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部门规章</w:t>
      </w:r>
      <w:bookmarkEnd w:id="34"/>
      <w:bookmarkEnd w:id="35"/>
      <w:bookmarkEnd w:id="36"/>
    </w:p>
    <w:p w14:paraId="60DBAD45">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工贸企业重大事故隐患判定标准</w:t>
      </w:r>
      <w:r>
        <w:rPr>
          <w:rFonts w:hint="eastAsia" w:ascii="宋体" w:hAnsi="宋体" w:eastAsia="宋体" w:cs="宋体"/>
          <w:color w:val="000000" w:themeColor="text1"/>
          <w:sz w:val="28"/>
          <w:szCs w:val="28"/>
          <w:lang w:eastAsia="zh-CN"/>
          <w14:textFill>
            <w14:solidFill>
              <w14:schemeClr w14:val="tx1"/>
            </w14:solidFill>
          </w14:textFill>
        </w:rPr>
        <w:t>》（应急管理部令第10号公布，自2023年5月15日起施行）；</w:t>
      </w:r>
    </w:p>
    <w:p w14:paraId="0FC09038">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《危险化学品目录</w:t>
      </w:r>
      <w:r>
        <w:rPr>
          <w:rFonts w:hint="eastAsia" w:ascii="宋体" w:hAnsi="宋体" w:eastAsia="宋体" w:cs="宋体"/>
          <w:color w:val="000000" w:themeColor="text1"/>
          <w:sz w:val="28"/>
          <w:szCs w:val="28"/>
          <w14:textFill>
            <w14:solidFill>
              <w14:schemeClr w14:val="tx1"/>
            </w14:solidFill>
          </w14:textFill>
        </w:rPr>
        <w:t>（2</w:t>
      </w:r>
      <w:r>
        <w:rPr>
          <w:rFonts w:hint="eastAsia" w:ascii="宋体" w:hAnsi="宋体" w:eastAsia="宋体" w:cs="宋体"/>
          <w:color w:val="000000" w:themeColor="text1"/>
          <w:sz w:val="28"/>
          <w:szCs w:val="28"/>
          <w:lang w:val="en-US" w:eastAsia="zh-CN"/>
          <w14:textFill>
            <w14:solidFill>
              <w14:schemeClr w14:val="tx1"/>
            </w14:solidFill>
          </w14:textFill>
        </w:rPr>
        <w:t>022调整版</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原国家安全生产监督管理总局等十部委公告</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20</w:t>
      </w:r>
      <w:r>
        <w:rPr>
          <w:rFonts w:hint="eastAsia" w:ascii="宋体" w:hAnsi="宋体" w:eastAsia="宋体" w:cs="宋体"/>
          <w:color w:val="000000" w:themeColor="text1"/>
          <w:sz w:val="28"/>
          <w:szCs w:val="28"/>
          <w:lang w:val="en-US" w:eastAsia="zh-CN"/>
          <w14:textFill>
            <w14:solidFill>
              <w14:schemeClr w14:val="tx1"/>
            </w14:solidFill>
          </w14:textFill>
        </w:rPr>
        <w:t>22</w:t>
      </w:r>
      <w:r>
        <w:rPr>
          <w:rFonts w:hint="eastAsia" w:ascii="宋体" w:hAnsi="宋体" w:eastAsia="宋体" w:cs="宋体"/>
          <w:color w:val="000000" w:themeColor="text1"/>
          <w:sz w:val="28"/>
          <w:szCs w:val="28"/>
          <w14:textFill>
            <w14:solidFill>
              <w14:schemeClr w14:val="tx1"/>
            </w14:solidFill>
          </w14:textFill>
        </w:rPr>
        <w:t>年第</w:t>
      </w:r>
      <w:r>
        <w:rPr>
          <w:rFonts w:hint="eastAsia" w:ascii="宋体" w:hAnsi="宋体" w:eastAsia="宋体" w:cs="宋体"/>
          <w:color w:val="000000" w:themeColor="text1"/>
          <w:sz w:val="28"/>
          <w:szCs w:val="28"/>
          <w:lang w:val="en-US" w:eastAsia="zh-CN"/>
          <w14:textFill>
            <w14:solidFill>
              <w14:schemeClr w14:val="tx1"/>
            </w14:solidFill>
          </w14:textFill>
        </w:rPr>
        <w:t>8</w:t>
      </w:r>
      <w:r>
        <w:rPr>
          <w:rFonts w:hint="eastAsia" w:ascii="宋体" w:hAnsi="宋体" w:eastAsia="宋体" w:cs="宋体"/>
          <w:color w:val="000000" w:themeColor="text1"/>
          <w:sz w:val="28"/>
          <w:szCs w:val="28"/>
          <w14:textFill>
            <w14:solidFill>
              <w14:schemeClr w14:val="tx1"/>
            </w14:solidFill>
          </w14:textFill>
        </w:rPr>
        <w:t>号</w:t>
      </w:r>
      <w:r>
        <w:rPr>
          <w:rFonts w:hint="eastAsia" w:ascii="宋体" w:hAnsi="宋体" w:eastAsia="宋体" w:cs="宋体"/>
          <w:color w:val="000000" w:themeColor="text1"/>
          <w:sz w:val="28"/>
          <w:szCs w:val="28"/>
          <w:lang w:eastAsia="zh-CN"/>
          <w14:textFill>
            <w14:solidFill>
              <w14:schemeClr w14:val="tx1"/>
            </w14:solidFill>
          </w14:textFill>
        </w:rPr>
        <w:t>）；</w:t>
      </w:r>
    </w:p>
    <w:p w14:paraId="4931B199">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应急管理部办公厅关于修改</w:t>
      </w:r>
      <w:r>
        <w:rPr>
          <w:rFonts w:hint="eastAsia" w:ascii="宋体" w:hAnsi="宋体" w:eastAsia="宋体" w:cs="宋体"/>
          <w:color w:val="000000" w:themeColor="text1"/>
          <w:sz w:val="28"/>
          <w:szCs w:val="28"/>
          <w:lang w:val="en-US" w:eastAsia="zh-CN"/>
          <w14:textFill>
            <w14:solidFill>
              <w14:schemeClr w14:val="tx1"/>
            </w14:solidFill>
          </w14:textFill>
        </w:rPr>
        <w:t>&lt;</w:t>
      </w:r>
      <w:r>
        <w:rPr>
          <w:rFonts w:hint="eastAsia" w:ascii="宋体" w:hAnsi="宋体" w:eastAsia="宋体" w:cs="宋体"/>
          <w:color w:val="000000" w:themeColor="text1"/>
          <w:sz w:val="28"/>
          <w:szCs w:val="28"/>
          <w14:textFill>
            <w14:solidFill>
              <w14:schemeClr w14:val="tx1"/>
            </w14:solidFill>
          </w14:textFill>
        </w:rPr>
        <w:t>危险化学品目录（2015版）实施指南（试行）</w:t>
      </w:r>
      <w:r>
        <w:rPr>
          <w:rFonts w:hint="eastAsia" w:ascii="宋体" w:hAnsi="宋体" w:eastAsia="宋体" w:cs="宋体"/>
          <w:color w:val="000000" w:themeColor="text1"/>
          <w:sz w:val="28"/>
          <w:szCs w:val="28"/>
          <w:lang w:val="en-US" w:eastAsia="zh-CN"/>
          <w14:textFill>
            <w14:solidFill>
              <w14:schemeClr w14:val="tx1"/>
            </w14:solidFill>
          </w14:textFill>
        </w:rPr>
        <w:t>&gt;</w:t>
      </w:r>
      <w:r>
        <w:rPr>
          <w:rFonts w:hint="eastAsia" w:ascii="宋体" w:hAnsi="宋体" w:eastAsia="宋体" w:cs="宋体"/>
          <w:color w:val="000000" w:themeColor="text1"/>
          <w:sz w:val="28"/>
          <w:szCs w:val="28"/>
          <w14:textFill>
            <w14:solidFill>
              <w14:schemeClr w14:val="tx1"/>
            </w14:solidFill>
          </w14:textFill>
        </w:rPr>
        <w:t>涉及柴油部分内容的通知</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eastAsia="宋体" w:cs="宋体"/>
          <w:color w:val="000000" w:themeColor="text1"/>
          <w:sz w:val="28"/>
          <w:szCs w:val="28"/>
          <w:lang w:eastAsia="zh-CN"/>
          <w14:textFill>
            <w14:solidFill>
              <w14:schemeClr w14:val="tx1"/>
            </w14:solidFill>
          </w14:textFill>
        </w:rPr>
        <w:t>自2023年1月1日起实施</w:t>
      </w:r>
      <w:r>
        <w:rPr>
          <w:rFonts w:hint="eastAsia" w:ascii="宋体" w:hAnsi="宋体" w:eastAsia="宋体" w:cs="宋体"/>
          <w:color w:val="000000" w:themeColor="text1"/>
          <w:sz w:val="28"/>
          <w:szCs w:val="28"/>
          <w:lang w:val="en-US" w:eastAsia="zh-CN"/>
          <w14:textFill>
            <w14:solidFill>
              <w14:schemeClr w14:val="tx1"/>
            </w14:solidFill>
          </w14:textFill>
        </w:rPr>
        <w:t>）；</w:t>
      </w:r>
    </w:p>
    <w:p w14:paraId="79B1B589">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《企业安全生产费用提取和使用管理办法》（财</w:t>
      </w:r>
      <w:r>
        <w:rPr>
          <w:rFonts w:hint="eastAsia" w:ascii="宋体" w:hAnsi="宋体" w:eastAsia="宋体" w:cs="宋体"/>
          <w:color w:val="000000" w:themeColor="text1"/>
          <w:sz w:val="28"/>
          <w:szCs w:val="28"/>
          <w:lang w:val="en-US" w:eastAsia="zh-CN"/>
          <w14:textFill>
            <w14:solidFill>
              <w14:schemeClr w14:val="tx1"/>
            </w14:solidFill>
          </w14:textFill>
        </w:rPr>
        <w:t>资</w:t>
      </w:r>
      <w:r>
        <w:rPr>
          <w:rFonts w:hint="eastAsia" w:ascii="宋体" w:hAnsi="宋体" w:eastAsia="宋体" w:cs="宋体"/>
          <w:color w:val="000000" w:themeColor="text1"/>
          <w:sz w:val="28"/>
          <w:szCs w:val="28"/>
          <w14:textFill>
            <w14:solidFill>
              <w14:schemeClr w14:val="tx1"/>
            </w14:solidFill>
          </w14:textFill>
        </w:rPr>
        <w:t>〔20</w:t>
      </w:r>
      <w:r>
        <w:rPr>
          <w:rFonts w:hint="eastAsia" w:ascii="宋体" w:hAnsi="宋体" w:eastAsia="宋体" w:cs="宋体"/>
          <w:color w:val="000000" w:themeColor="text1"/>
          <w:sz w:val="28"/>
          <w:szCs w:val="28"/>
          <w:lang w:val="en-US" w:eastAsia="zh-CN"/>
          <w14:textFill>
            <w14:solidFill>
              <w14:schemeClr w14:val="tx1"/>
            </w14:solidFill>
          </w14:textFill>
        </w:rPr>
        <w:t>22</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136</w:t>
      </w:r>
      <w:r>
        <w:rPr>
          <w:rFonts w:hint="eastAsia" w:ascii="宋体" w:hAnsi="宋体" w:eastAsia="宋体" w:cs="宋体"/>
          <w:color w:val="000000" w:themeColor="text1"/>
          <w:sz w:val="28"/>
          <w:szCs w:val="28"/>
          <w14:textFill>
            <w14:solidFill>
              <w14:schemeClr w14:val="tx1"/>
            </w14:solidFill>
          </w14:textFill>
        </w:rPr>
        <w:t>号）；</w:t>
      </w:r>
    </w:p>
    <w:p w14:paraId="35100563">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bookmarkStart w:id="37" w:name="OLE_LINK4"/>
      <w:r>
        <w:rPr>
          <w:rFonts w:hint="eastAsia" w:ascii="宋体" w:hAnsi="宋体" w:eastAsia="宋体" w:cs="宋体"/>
          <w:color w:val="000000" w:themeColor="text1"/>
          <w:sz w:val="28"/>
          <w:szCs w:val="28"/>
          <w14:textFill>
            <w14:solidFill>
              <w14:schemeClr w14:val="tx1"/>
            </w14:solidFill>
          </w14:textFill>
        </w:rPr>
        <w:t>《生产经营单位安全培训规定》（国家安全生产监督管理总局令第3号，根据国家安全监管总局令第63号修正；根据国家安全监管总局令第80号修正）</w:t>
      </w:r>
      <w:bookmarkEnd w:id="37"/>
      <w:r>
        <w:rPr>
          <w:rFonts w:hint="eastAsia" w:ascii="宋体" w:hAnsi="宋体" w:eastAsia="宋体" w:cs="宋体"/>
          <w:color w:val="000000" w:themeColor="text1"/>
          <w:sz w:val="28"/>
          <w:szCs w:val="28"/>
          <w14:textFill>
            <w14:solidFill>
              <w14:schemeClr w14:val="tx1"/>
            </w14:solidFill>
          </w14:textFill>
        </w:rPr>
        <w:t>；</w:t>
      </w:r>
    </w:p>
    <w:p w14:paraId="18CD1397">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生产安全事故罚款处罚规定</w:t>
      </w:r>
      <w:r>
        <w:rPr>
          <w:rFonts w:hint="eastAsia" w:ascii="宋体" w:hAnsi="宋体" w:eastAsia="宋体" w:cs="宋体"/>
          <w:color w:val="000000" w:themeColor="text1"/>
          <w:sz w:val="28"/>
          <w:szCs w:val="28"/>
          <w:lang w:eastAsia="zh-CN"/>
          <w14:textFill>
            <w14:solidFill>
              <w14:schemeClr w14:val="tx1"/>
            </w14:solidFill>
          </w14:textFill>
        </w:rPr>
        <w:t>》（中华人民共和国应急管理部令第1</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lang w:eastAsia="zh-CN"/>
          <w14:textFill>
            <w14:solidFill>
              <w14:schemeClr w14:val="tx1"/>
            </w14:solidFill>
          </w14:textFill>
        </w:rPr>
        <w:t>号，</w:t>
      </w:r>
      <w:r>
        <w:rPr>
          <w:rFonts w:hint="eastAsia" w:ascii="宋体" w:hAnsi="宋体" w:eastAsia="宋体" w:cs="宋体"/>
          <w:color w:val="000000" w:themeColor="text1"/>
          <w:sz w:val="28"/>
          <w:szCs w:val="28"/>
          <w14:textFill>
            <w14:solidFill>
              <w14:schemeClr w14:val="tx1"/>
            </w14:solidFill>
          </w14:textFill>
        </w:rPr>
        <w:t>自20</w:t>
      </w:r>
      <w:r>
        <w:rPr>
          <w:rFonts w:hint="eastAsia" w:ascii="宋体" w:hAnsi="宋体" w:eastAsia="宋体" w:cs="宋体"/>
          <w:color w:val="000000" w:themeColor="text1"/>
          <w:sz w:val="28"/>
          <w:szCs w:val="28"/>
          <w:lang w:val="en-US" w:eastAsia="zh-CN"/>
          <w14:textFill>
            <w14:solidFill>
              <w14:schemeClr w14:val="tx1"/>
            </w14:solidFill>
          </w14:textFill>
        </w:rPr>
        <w:t>24</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14:textFill>
            <w14:solidFill>
              <w14:schemeClr w14:val="tx1"/>
            </w14:solidFill>
          </w14:textFill>
        </w:rPr>
        <w:t>月1日起施行</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w:t>
      </w:r>
    </w:p>
    <w:p w14:paraId="27BD6B7E">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《安全生产违法行为行政处罚办法》</w:t>
      </w:r>
      <w:r>
        <w:rPr>
          <w:rFonts w:hint="eastAsia" w:ascii="宋体" w:hAnsi="宋体" w:eastAsia="宋体" w:cs="宋体"/>
          <w:color w:val="000000" w:themeColor="text1"/>
          <w:sz w:val="28"/>
          <w:szCs w:val="28"/>
          <w14:textFill>
            <w14:solidFill>
              <w14:schemeClr w14:val="tx1"/>
            </w14:solidFill>
          </w14:textFill>
        </w:rPr>
        <w:t>（国家安全生产监督管理总局令第15号）；</w:t>
      </w:r>
    </w:p>
    <w:p w14:paraId="501DA9B6">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《安全生产事故隐患排查治理暂行规定》（国家安全生产监督管理总局令第16号）；</w:t>
      </w:r>
    </w:p>
    <w:p w14:paraId="5D414156">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《生产安全事故应急预案管理办法》（国家安全生产监督管理总局令第88号，应急管理部第2号修改，2019年9月1日起实施）；</w:t>
      </w:r>
    </w:p>
    <w:p w14:paraId="328B2038">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《特种作业人员安全技术培训考核管理规定》（修订）（国家安全生产监督管理总局令第30号发布，根据国家安全监管总局令第63号修正，根据国家安全监管总局令第80号修正）；</w:t>
      </w:r>
    </w:p>
    <w:p w14:paraId="1D1F288B">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《安全生产培训管理办法》（国家安全生产监督管理总局令第44号，根据国家安全监管总局令第63号第一次修正，根据国家安全监管总局令第80号第二次修正）；</w:t>
      </w:r>
    </w:p>
    <w:p w14:paraId="2C9EBFB1">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工贸企业有限空间作业安全规定</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（应急管理部令第13号公布，自2024年1月1日起施行）；</w:t>
      </w:r>
    </w:p>
    <w:p w14:paraId="7545B182">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《国家安全监管总局关于修改〈生产经营单位安全培训规定〉等11件规章的决定》（国家安全生产监督管理总局令第63号）；</w:t>
      </w:r>
    </w:p>
    <w:p w14:paraId="2B9C9862">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《国家安全监管总局关于修改</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生产安全事故报告和调查处理条例</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罚款处罚暂行规定等四部规章的决定》（国家安全生产监督管理总局令第77号）；</w:t>
      </w:r>
    </w:p>
    <w:p w14:paraId="717FC61C">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《消防监督检查规定》（中华人民共和国公安部令第120号）；</w:t>
      </w:r>
    </w:p>
    <w:p w14:paraId="4888F4C8">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《质检总局关于修订《特种设备目录》的公告》（国家质量监督检验检疫总局2014年第114号）；</w:t>
      </w:r>
    </w:p>
    <w:p w14:paraId="72E1A824">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《国家质量监督检验检疫总局关于修改</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特种设备作业人员监督管理办法</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的决定》（国家质量监督检验检疫总局第140号）；</w:t>
      </w:r>
    </w:p>
    <w:p w14:paraId="6439869C">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《国家发展改革委关于修改</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产业结构调整指导目录（20</w:t>
      </w:r>
      <w:r>
        <w:rPr>
          <w:rFonts w:hint="eastAsia" w:ascii="宋体" w:hAnsi="宋体" w:eastAsia="宋体" w:cs="宋体"/>
          <w:color w:val="000000" w:themeColor="text1"/>
          <w:sz w:val="28"/>
          <w:szCs w:val="28"/>
          <w:lang w:val="en-US" w:eastAsia="zh-CN"/>
          <w14:textFill>
            <w14:solidFill>
              <w14:schemeClr w14:val="tx1"/>
            </w14:solidFill>
          </w14:textFill>
        </w:rPr>
        <w:t>24</w:t>
      </w:r>
      <w:r>
        <w:rPr>
          <w:rFonts w:hint="eastAsia" w:ascii="宋体" w:hAnsi="宋体" w:eastAsia="宋体" w:cs="宋体"/>
          <w:color w:val="000000" w:themeColor="text1"/>
          <w:sz w:val="28"/>
          <w:szCs w:val="28"/>
          <w14:textFill>
            <w14:solidFill>
              <w14:schemeClr w14:val="tx1"/>
            </w14:solidFill>
          </w14:textFill>
        </w:rPr>
        <w:t>年本）</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有关条款的决定》（中华人民共和国国家发展和改革委员会令第</w:t>
      </w:r>
      <w:r>
        <w:rPr>
          <w:rFonts w:hint="eastAsia" w:ascii="宋体" w:hAnsi="宋体" w:eastAsia="宋体" w:cs="宋体"/>
          <w:color w:val="000000" w:themeColor="text1"/>
          <w:sz w:val="28"/>
          <w:szCs w:val="28"/>
          <w:lang w:val="en-US" w:eastAsia="zh-CN"/>
          <w14:textFill>
            <w14:solidFill>
              <w14:schemeClr w14:val="tx1"/>
            </w14:solidFill>
          </w14:textFill>
        </w:rPr>
        <w:t>7</w:t>
      </w:r>
      <w:r>
        <w:rPr>
          <w:rFonts w:hint="eastAsia" w:ascii="宋体" w:hAnsi="宋体" w:eastAsia="宋体" w:cs="宋体"/>
          <w:color w:val="000000" w:themeColor="text1"/>
          <w:sz w:val="28"/>
          <w:szCs w:val="28"/>
          <w14:textFill>
            <w14:solidFill>
              <w14:schemeClr w14:val="tx1"/>
            </w14:solidFill>
          </w14:textFill>
        </w:rPr>
        <w:t>号）</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自2024年2月1日起施行</w:t>
      </w:r>
      <w:r>
        <w:rPr>
          <w:rFonts w:hint="eastAsia" w:ascii="宋体" w:hAnsi="宋体" w:eastAsia="宋体" w:cs="宋体"/>
          <w:color w:val="000000" w:themeColor="text1"/>
          <w:sz w:val="28"/>
          <w:szCs w:val="28"/>
          <w14:textFill>
            <w14:solidFill>
              <w14:schemeClr w14:val="tx1"/>
            </w14:solidFill>
          </w14:textFill>
        </w:rPr>
        <w:t>；</w:t>
      </w:r>
    </w:p>
    <w:p w14:paraId="72DE6E5B">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《部分工业行业淘汰落后生产工艺装备和产品指导目录（2010年本）》（中华人民共和国工业和信息化部公告工产业〔2010〕第122号）；</w:t>
      </w:r>
    </w:p>
    <w:p w14:paraId="4597F17E">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val="0"/>
        <w:spacing w:line="520" w:lineRule="exact"/>
        <w:ind w:left="-80" w:leftChars="0" w:firstLine="560" w:firstLineChars="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《防雷减灾管理办法》（中国气象局〔</w:t>
      </w:r>
      <w:r>
        <w:rPr>
          <w:rFonts w:hint="eastAsia" w:ascii="宋体" w:hAnsi="宋体" w:eastAsia="宋体" w:cs="宋体"/>
          <w:color w:val="000000" w:themeColor="text1"/>
          <w:sz w:val="28"/>
          <w:szCs w:val="28"/>
          <w:lang w:val="en-US" w:eastAsia="zh-CN"/>
          <w14:textFill>
            <w14:solidFill>
              <w14:schemeClr w14:val="tx1"/>
            </w14:solidFill>
          </w14:textFill>
        </w:rPr>
        <w:t>2013</w:t>
      </w:r>
      <w:r>
        <w:rPr>
          <w:rFonts w:hint="eastAsia" w:ascii="宋体" w:hAnsi="宋体" w:eastAsia="宋体" w:cs="宋体"/>
          <w:color w:val="000000" w:themeColor="text1"/>
          <w:sz w:val="28"/>
          <w:szCs w:val="28"/>
          <w14:textFill>
            <w14:solidFill>
              <w14:schemeClr w14:val="tx1"/>
            </w14:solidFill>
          </w14:textFill>
        </w:rPr>
        <w:t>〕第24号）</w:t>
      </w:r>
      <w:r>
        <w:rPr>
          <w:rFonts w:hint="eastAsia" w:ascii="宋体" w:hAnsi="宋体" w:eastAsia="宋体" w:cs="宋体"/>
          <w:color w:val="000000" w:themeColor="text1"/>
          <w:sz w:val="28"/>
          <w:szCs w:val="28"/>
          <w:lang w:eastAsia="zh-CN"/>
          <w14:textFill>
            <w14:solidFill>
              <w14:schemeClr w14:val="tx1"/>
            </w14:solidFill>
          </w14:textFill>
        </w:rPr>
        <w:t>；</w:t>
      </w:r>
    </w:p>
    <w:p w14:paraId="381BB18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snapToGrid w:val="0"/>
          <w:color w:val="auto"/>
          <w:sz w:val="28"/>
          <w:szCs w:val="28"/>
          <w:lang w:val="en-US" w:eastAsia="zh-CN"/>
        </w:rPr>
        <w:t>2</w:t>
      </w:r>
      <w:r>
        <w:rPr>
          <w:rFonts w:hint="eastAsia" w:ascii="宋体" w:hAnsi="宋体" w:eastAsia="宋体" w:cs="宋体"/>
          <w:snapToGrid w:val="0"/>
          <w:color w:val="auto"/>
          <w:sz w:val="28"/>
          <w:szCs w:val="28"/>
          <w:lang w:val="en-US" w:eastAsia="zh-CN"/>
        </w:rPr>
        <w:t>1</w:t>
      </w:r>
      <w:r>
        <w:rPr>
          <w:rFonts w:hint="eastAsia" w:ascii="宋体" w:hAnsi="宋体" w:eastAsia="宋体" w:cs="宋体"/>
          <w:snapToGrid w:val="0"/>
          <w:color w:val="auto"/>
          <w:sz w:val="28"/>
          <w:szCs w:val="28"/>
          <w:lang w:val="en-US" w:eastAsia="zh-CN"/>
        </w:rPr>
        <w:t>.</w:t>
      </w:r>
      <w:r>
        <w:rPr>
          <w:rFonts w:hint="eastAsia" w:ascii="宋体" w:hAnsi="宋体" w:eastAsia="宋体" w:cs="宋体"/>
          <w:snapToGrid w:val="0"/>
          <w:color w:val="auto"/>
          <w:sz w:val="28"/>
          <w:szCs w:val="28"/>
        </w:rPr>
        <w:t>《起重机械安全监察规定》（中华人民共和国国家质量监督检验检疫总局令第92号）；</w:t>
      </w:r>
    </w:p>
    <w:p w14:paraId="7B00EFC9">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38" w:name="_Toc327017722"/>
      <w:bookmarkStart w:id="39" w:name="_Toc309682388"/>
      <w:bookmarkStart w:id="40" w:name="_Toc18270"/>
      <w:bookmarkStart w:id="41" w:name="_Toc335926128"/>
      <w:bookmarkStart w:id="42" w:name="_Toc23977"/>
      <w:bookmarkStart w:id="43" w:name="_Toc986"/>
      <w:bookmarkStart w:id="44" w:name="_Toc313453423"/>
      <w:r>
        <w:rPr>
          <w:rFonts w:hint="eastAsia" w:ascii="宋体" w:hAnsi="宋体" w:eastAsia="宋体" w:cs="宋体"/>
          <w:color w:val="000000" w:themeColor="text1"/>
          <w14:textFill>
            <w14:solidFill>
              <w14:schemeClr w14:val="tx1"/>
            </w14:solidFill>
          </w14:textFill>
        </w:rPr>
        <w:t>1.2.4</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地方有关法规</w:t>
      </w:r>
      <w:bookmarkEnd w:id="38"/>
      <w:bookmarkEnd w:id="39"/>
      <w:r>
        <w:rPr>
          <w:rFonts w:hint="eastAsia" w:ascii="宋体" w:hAnsi="宋体" w:eastAsia="宋体" w:cs="宋体"/>
          <w:color w:val="000000" w:themeColor="text1"/>
          <w14:textFill>
            <w14:solidFill>
              <w14:schemeClr w14:val="tx1"/>
            </w14:solidFill>
          </w14:textFill>
        </w:rPr>
        <w:t>文件</w:t>
      </w:r>
      <w:bookmarkEnd w:id="40"/>
      <w:bookmarkEnd w:id="41"/>
      <w:bookmarkEnd w:id="42"/>
      <w:bookmarkEnd w:id="43"/>
    </w:p>
    <w:p w14:paraId="2EA095F6">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《云南省安全生产条例》（云南省第十二届人民代表大会常务委员会第三十八次会议于2017年11月30日修订通过，2018年1月1日起施行）；</w:t>
      </w:r>
    </w:p>
    <w:p w14:paraId="6115362E">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《云南省消防条例》（云南省十一届人大常委会公告第31号，自2011年1月1日起施行）；</w:t>
      </w:r>
    </w:p>
    <w:p w14:paraId="7CBF4115">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《云南省安全生产事故调查暂行规定》（云南省人民政府办公厅2005年12月30日印发）；</w:t>
      </w:r>
    </w:p>
    <w:p w14:paraId="35617E3F">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《云南省人民政府贯彻落实国务院关于进一步加强企业安全生产工作通知的实施意见》（云政发〔2010〕157号）；</w:t>
      </w:r>
    </w:p>
    <w:p w14:paraId="39A61DF9">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《云南省人民政府关于进一步加强安全生产工作的决定》（云政发〔2011〕229号）；</w:t>
      </w:r>
    </w:p>
    <w:p w14:paraId="4A1EEC82">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bookmarkStart w:id="45" w:name="OLE_LINK3"/>
      <w:r>
        <w:rPr>
          <w:rFonts w:hint="eastAsia" w:ascii="宋体" w:hAnsi="宋体" w:eastAsia="宋体" w:cs="宋体"/>
          <w:color w:val="000000" w:themeColor="text1"/>
          <w:sz w:val="28"/>
          <w:szCs w:val="28"/>
          <w14:textFill>
            <w14:solidFill>
              <w14:schemeClr w14:val="tx1"/>
            </w14:solidFill>
          </w14:textFill>
        </w:rPr>
        <w:t>《云南省安全生产监督管理局关于全面推进全省冶金等工贸行业企业安全生产标准化建设的实施意见》（云安监管（2013）29号）</w:t>
      </w:r>
      <w:bookmarkEnd w:id="45"/>
      <w:r>
        <w:rPr>
          <w:rFonts w:hint="eastAsia" w:ascii="宋体" w:hAnsi="宋体" w:eastAsia="宋体" w:cs="宋体"/>
          <w:color w:val="000000" w:themeColor="text1"/>
          <w:sz w:val="28"/>
          <w:szCs w:val="28"/>
          <w:lang w:eastAsia="zh-CN"/>
          <w14:textFill>
            <w14:solidFill>
              <w14:schemeClr w14:val="tx1"/>
            </w14:solidFill>
          </w14:textFill>
        </w:rPr>
        <w:t>；</w:t>
      </w:r>
    </w:p>
    <w:p w14:paraId="10E34ECF">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云南省生产经营单位安全生产主体责任规定</w:t>
      </w:r>
      <w:r>
        <w:rPr>
          <w:rFonts w:hint="eastAsia" w:ascii="宋体" w:hAnsi="宋体" w:eastAsia="宋体" w:cs="宋体"/>
          <w:color w:val="000000" w:themeColor="text1"/>
          <w:sz w:val="28"/>
          <w:szCs w:val="28"/>
          <w:lang w:eastAsia="zh-CN"/>
          <w14:textFill>
            <w14:solidFill>
              <w14:schemeClr w14:val="tx1"/>
            </w14:solidFill>
          </w14:textFill>
        </w:rPr>
        <w:t>》（云政规〔2022〕）4号；</w:t>
      </w:r>
    </w:p>
    <w:p w14:paraId="29B88733">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《云南省应急管理厅关于印发云南省工贸行业重大事故隐患专项排查整治2023行动实施方案的通知》（云应急函〔2023〕104号）</w:t>
      </w:r>
      <w:r>
        <w:rPr>
          <w:rFonts w:hint="eastAsia" w:ascii="宋体" w:hAnsi="宋体" w:eastAsia="宋体" w:cs="宋体"/>
          <w:color w:val="000000" w:themeColor="text1"/>
          <w:sz w:val="28"/>
          <w:szCs w:val="28"/>
          <w:lang w:eastAsia="zh-CN"/>
          <w14:textFill>
            <w14:solidFill>
              <w14:schemeClr w14:val="tx1"/>
            </w14:solidFill>
          </w14:textFill>
        </w:rPr>
        <w:t>；</w:t>
      </w:r>
    </w:p>
    <w:p w14:paraId="30EAC638">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《云南省2023年工贸重点企业有限空间作业专家指导服务工作实施方案》（云应急办函〔2023〕19号）</w:t>
      </w:r>
      <w:r>
        <w:rPr>
          <w:rFonts w:hint="eastAsia" w:ascii="宋体" w:hAnsi="宋体" w:eastAsia="宋体" w:cs="宋体"/>
          <w:color w:val="000000" w:themeColor="text1"/>
          <w:sz w:val="28"/>
          <w:szCs w:val="28"/>
          <w:lang w:eastAsia="zh-CN"/>
          <w14:textFill>
            <w14:solidFill>
              <w14:schemeClr w14:val="tx1"/>
            </w14:solidFill>
          </w14:textFill>
        </w:rPr>
        <w:t>；</w:t>
      </w:r>
    </w:p>
    <w:p w14:paraId="50821061">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《云南省生产安全事故应急办法》（云政令227号）。</w:t>
      </w:r>
    </w:p>
    <w:p w14:paraId="6A3B3F7F">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46" w:name="_Toc31498"/>
      <w:bookmarkStart w:id="47" w:name="_Toc3281"/>
      <w:bookmarkStart w:id="48" w:name="_Toc335926129"/>
      <w:bookmarkStart w:id="49" w:name="_Toc22737"/>
      <w:r>
        <w:rPr>
          <w:rFonts w:hint="eastAsia" w:ascii="宋体" w:hAnsi="宋体" w:eastAsia="宋体" w:cs="宋体"/>
          <w:color w:val="000000" w:themeColor="text1"/>
          <w14:textFill>
            <w14:solidFill>
              <w14:schemeClr w14:val="tx1"/>
            </w14:solidFill>
          </w14:textFill>
        </w:rPr>
        <w:t>1.2.5</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国家标准</w:t>
      </w:r>
      <w:bookmarkEnd w:id="44"/>
      <w:bookmarkEnd w:id="46"/>
      <w:bookmarkEnd w:id="47"/>
      <w:bookmarkEnd w:id="48"/>
      <w:bookmarkEnd w:id="49"/>
    </w:p>
    <w:p w14:paraId="05CC2AE6">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《工业企业设计卫生标准》（GBZ1-2010）；</w:t>
      </w:r>
    </w:p>
    <w:p w14:paraId="55DD0A5A">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《工业企业总平面设计规范》（GB50187-2012）；</w:t>
      </w:r>
    </w:p>
    <w:p w14:paraId="5E114754">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《工业企业厂内铁路、道路运输安全规程》（GB4387-2008）；</w:t>
      </w:r>
    </w:p>
    <w:p w14:paraId="278E8327">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《工业车辆 使用、操作与维护安全规范》（GB/T 36507-2023）</w:t>
      </w:r>
    </w:p>
    <w:p w14:paraId="7FF7667A">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《工业企业噪声控制设计规范》（GB/T50087-2013）；</w:t>
      </w:r>
    </w:p>
    <w:p w14:paraId="4A97E7C1">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《工业建筑防腐蚀设计</w:t>
      </w:r>
      <w:r>
        <w:rPr>
          <w:rFonts w:hint="eastAsia" w:ascii="宋体" w:hAnsi="宋体" w:eastAsia="宋体" w:cs="宋体"/>
          <w:color w:val="000000" w:themeColor="text1"/>
          <w:sz w:val="28"/>
          <w:szCs w:val="28"/>
          <w:lang w:eastAsia="zh-CN"/>
          <w14:textFill>
            <w14:solidFill>
              <w14:schemeClr w14:val="tx1"/>
            </w14:solidFill>
          </w14:textFill>
        </w:rPr>
        <w:t>标准</w:t>
      </w:r>
      <w:r>
        <w:rPr>
          <w:rFonts w:hint="eastAsia" w:ascii="宋体" w:hAnsi="宋体" w:eastAsia="宋体" w:cs="宋体"/>
          <w:color w:val="000000" w:themeColor="text1"/>
          <w:sz w:val="28"/>
          <w:szCs w:val="28"/>
          <w14:textFill>
            <w14:solidFill>
              <w14:schemeClr w14:val="tx1"/>
            </w14:solidFill>
          </w14:textFill>
        </w:rPr>
        <w:t>》（GB</w:t>
      </w:r>
      <w:r>
        <w:rPr>
          <w:rFonts w:hint="eastAsia" w:ascii="宋体" w:hAnsi="宋体" w:eastAsia="宋体" w:cs="宋体"/>
          <w:color w:val="000000" w:themeColor="text1"/>
          <w:sz w:val="28"/>
          <w:szCs w:val="28"/>
          <w:lang w:val="en-US" w:eastAsia="zh-CN"/>
          <w14:textFill>
            <w14:solidFill>
              <w14:schemeClr w14:val="tx1"/>
            </w14:solidFill>
          </w14:textFill>
        </w:rPr>
        <w:t>/T</w:t>
      </w:r>
      <w:r>
        <w:rPr>
          <w:rFonts w:hint="eastAsia" w:ascii="宋体" w:hAnsi="宋体" w:eastAsia="宋体" w:cs="宋体"/>
          <w:color w:val="000000" w:themeColor="text1"/>
          <w:sz w:val="28"/>
          <w:szCs w:val="28"/>
          <w14:textFill>
            <w14:solidFill>
              <w14:schemeClr w14:val="tx1"/>
            </w14:solidFill>
          </w14:textFill>
        </w:rPr>
        <w:t>50046-2018）；</w:t>
      </w:r>
    </w:p>
    <w:p w14:paraId="366A25C3">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《建筑照明设计标准》（GB</w:t>
      </w:r>
      <w:r>
        <w:rPr>
          <w:rFonts w:hint="eastAsia" w:ascii="宋体" w:hAnsi="宋体" w:eastAsia="宋体" w:cs="宋体"/>
          <w:color w:val="000000" w:themeColor="text1"/>
          <w:sz w:val="28"/>
          <w:szCs w:val="28"/>
          <w14:textFill>
            <w14:solidFill>
              <w14:schemeClr w14:val="tx1"/>
            </w14:solidFill>
          </w14:textFill>
        </w:rPr>
        <w:t>/T</w:t>
      </w:r>
      <w:r>
        <w:rPr>
          <w:rFonts w:hint="eastAsia" w:ascii="宋体" w:hAnsi="宋体" w:eastAsia="宋体" w:cs="宋体"/>
          <w:color w:val="000000" w:themeColor="text1"/>
          <w:sz w:val="28"/>
          <w:szCs w:val="28"/>
          <w14:textFill>
            <w14:solidFill>
              <w14:schemeClr w14:val="tx1"/>
            </w14:solidFill>
          </w14:textFill>
        </w:rPr>
        <w:t>50034-20</w:t>
      </w:r>
      <w:r>
        <w:rPr>
          <w:rFonts w:hint="eastAsia" w:ascii="宋体" w:hAnsi="宋体" w:eastAsia="宋体" w:cs="宋体"/>
          <w:color w:val="000000" w:themeColor="text1"/>
          <w:sz w:val="28"/>
          <w:szCs w:val="28"/>
          <w14:textFill>
            <w14:solidFill>
              <w14:schemeClr w14:val="tx1"/>
            </w14:solidFill>
          </w14:textFill>
        </w:rPr>
        <w:t>24</w:t>
      </w:r>
      <w:r>
        <w:rPr>
          <w:rFonts w:hint="eastAsia" w:ascii="宋体" w:hAnsi="宋体" w:eastAsia="宋体" w:cs="宋体"/>
          <w:color w:val="000000" w:themeColor="text1"/>
          <w:sz w:val="28"/>
          <w:szCs w:val="28"/>
          <w14:textFill>
            <w14:solidFill>
              <w14:schemeClr w14:val="tx1"/>
            </w14:solidFill>
          </w14:textFill>
        </w:rPr>
        <w:t>）；</w:t>
      </w:r>
    </w:p>
    <w:p w14:paraId="53EB1083">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《企业职工伤亡事故分类》（GB6441-1986）；</w:t>
      </w:r>
    </w:p>
    <w:p w14:paraId="786A8150">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《生产过程危险和有害因素分类与代码》（GB/T13861-</w:t>
      </w:r>
      <w:r>
        <w:rPr>
          <w:rFonts w:hint="eastAsia" w:ascii="宋体" w:hAnsi="宋体" w:eastAsia="宋体" w:cs="宋体"/>
          <w:color w:val="000000" w:themeColor="text1"/>
          <w:sz w:val="28"/>
          <w:szCs w:val="28"/>
          <w:lang w:val="en-US" w:eastAsia="zh-CN"/>
          <w14:textFill>
            <w14:solidFill>
              <w14:schemeClr w14:val="tx1"/>
            </w14:solidFill>
          </w14:textFill>
        </w:rPr>
        <w:t>2022</w:t>
      </w:r>
      <w:r>
        <w:rPr>
          <w:rFonts w:hint="eastAsia" w:ascii="宋体" w:hAnsi="宋体" w:eastAsia="宋体" w:cs="宋体"/>
          <w:color w:val="000000" w:themeColor="text1"/>
          <w:sz w:val="28"/>
          <w:szCs w:val="28"/>
          <w14:textFill>
            <w14:solidFill>
              <w14:schemeClr w14:val="tx1"/>
            </w14:solidFill>
          </w14:textFill>
        </w:rPr>
        <w:t>）；</w:t>
      </w:r>
    </w:p>
    <w:p w14:paraId="19E9DA7C">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《建筑设计防火规范（2018</w:t>
      </w:r>
      <w:r>
        <w:rPr>
          <w:rFonts w:hint="eastAsia" w:ascii="宋体" w:hAnsi="宋体" w:eastAsia="宋体" w:cs="宋体"/>
          <w:color w:val="000000" w:themeColor="text1"/>
          <w:sz w:val="28"/>
          <w:szCs w:val="28"/>
          <w:lang w:eastAsia="zh-CN"/>
          <w14:textFill>
            <w14:solidFill>
              <w14:schemeClr w14:val="tx1"/>
            </w14:solidFill>
          </w14:textFill>
        </w:rPr>
        <w:t>年</w:t>
      </w:r>
      <w:r>
        <w:rPr>
          <w:rFonts w:hint="eastAsia" w:ascii="宋体" w:hAnsi="宋体" w:eastAsia="宋体" w:cs="宋体"/>
          <w:color w:val="000000" w:themeColor="text1"/>
          <w:sz w:val="28"/>
          <w:szCs w:val="28"/>
          <w14:textFill>
            <w14:solidFill>
              <w14:schemeClr w14:val="tx1"/>
            </w14:solidFill>
          </w14:textFill>
        </w:rPr>
        <w:t>版）》（GB50016-2014）；</w:t>
      </w:r>
    </w:p>
    <w:p w14:paraId="55FEBABC">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《建筑物防雷设计规范》（GB50057-2010）；</w:t>
      </w:r>
    </w:p>
    <w:p w14:paraId="549EFFBB">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《建筑灭火器配置设计规范》（GB50140-2005）；</w:t>
      </w:r>
    </w:p>
    <w:p w14:paraId="294F50D3">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《建筑抗震设计规范（20</w:t>
      </w:r>
      <w:r>
        <w:rPr>
          <w:rFonts w:hint="eastAsia" w:ascii="宋体" w:hAnsi="宋体" w:eastAsia="宋体" w:cs="宋体"/>
          <w:color w:val="000000" w:themeColor="text1"/>
          <w:sz w:val="28"/>
          <w:szCs w:val="28"/>
          <w:lang w:val="en-US" w:eastAsia="zh-CN"/>
          <w14:textFill>
            <w14:solidFill>
              <w14:schemeClr w14:val="tx1"/>
            </w14:solidFill>
          </w14:textFill>
        </w:rPr>
        <w:t>24</w:t>
      </w:r>
      <w:r>
        <w:rPr>
          <w:rFonts w:hint="eastAsia" w:ascii="宋体" w:hAnsi="宋体" w:eastAsia="宋体" w:cs="宋体"/>
          <w:color w:val="000000" w:themeColor="text1"/>
          <w:sz w:val="28"/>
          <w:szCs w:val="28"/>
          <w14:textFill>
            <w14:solidFill>
              <w14:schemeClr w14:val="tx1"/>
            </w14:solidFill>
          </w14:textFill>
        </w:rPr>
        <w:t>年版）》（GB 50011-2010）；</w:t>
      </w:r>
    </w:p>
    <w:p w14:paraId="7BF5E8F0">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《密闭空间作业职业危害防护规范》（GBZ/T205-2007）；</w:t>
      </w:r>
    </w:p>
    <w:p w14:paraId="4F2B5DF2">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《构筑物抗震设计规范》（GB50191-2012）；</w:t>
      </w:r>
    </w:p>
    <w:p w14:paraId="28FECE2F">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《室外排水设计</w:t>
      </w:r>
      <w:r>
        <w:rPr>
          <w:rFonts w:hint="eastAsia" w:ascii="宋体" w:hAnsi="宋体" w:eastAsia="宋体" w:cs="宋体"/>
          <w:color w:val="000000" w:themeColor="text1"/>
          <w:sz w:val="28"/>
          <w:szCs w:val="28"/>
          <w:lang w:val="en-US" w:eastAsia="zh-CN"/>
          <w14:textFill>
            <w14:solidFill>
              <w14:schemeClr w14:val="tx1"/>
            </w14:solidFill>
          </w14:textFill>
        </w:rPr>
        <w:t>标</w:t>
      </w:r>
      <w:r>
        <w:rPr>
          <w:rFonts w:hint="eastAsia" w:ascii="宋体" w:hAnsi="宋体" w:eastAsia="宋体" w:cs="宋体"/>
          <w:color w:val="000000" w:themeColor="text1"/>
          <w:sz w:val="28"/>
          <w:szCs w:val="28"/>
          <w:lang w:val="en-US" w:eastAsia="zh-CN"/>
          <w14:textFill>
            <w14:solidFill>
              <w14:schemeClr w14:val="tx1"/>
            </w14:solidFill>
          </w14:textFill>
        </w:rPr>
        <w:t>准</w:t>
      </w:r>
      <w:r>
        <w:rPr>
          <w:rFonts w:hint="eastAsia" w:ascii="宋体" w:hAnsi="宋体" w:eastAsia="宋体" w:cs="宋体"/>
          <w:color w:val="000000" w:themeColor="text1"/>
          <w:sz w:val="28"/>
          <w:szCs w:val="28"/>
          <w14:textFill>
            <w14:solidFill>
              <w14:schemeClr w14:val="tx1"/>
            </w14:solidFill>
          </w14:textFill>
        </w:rPr>
        <w:t>》（GB50014-20</w:t>
      </w:r>
      <w:r>
        <w:rPr>
          <w:rFonts w:hint="eastAsia" w:ascii="宋体" w:hAnsi="宋体" w:eastAsia="宋体" w:cs="宋体"/>
          <w:color w:val="000000" w:themeColor="text1"/>
          <w:sz w:val="28"/>
          <w:szCs w:val="28"/>
          <w:lang w:val="en-US" w:eastAsia="zh-CN"/>
          <w14:textFill>
            <w14:solidFill>
              <w14:schemeClr w14:val="tx1"/>
            </w14:solidFill>
          </w14:textFill>
        </w:rPr>
        <w:t>21</w:t>
      </w:r>
      <w:r>
        <w:rPr>
          <w:rFonts w:hint="eastAsia" w:ascii="宋体" w:hAnsi="宋体" w:eastAsia="宋体" w:cs="宋体"/>
          <w:color w:val="000000" w:themeColor="text1"/>
          <w:sz w:val="28"/>
          <w:szCs w:val="28"/>
          <w14:textFill>
            <w14:solidFill>
              <w14:schemeClr w14:val="tx1"/>
            </w14:solidFill>
          </w14:textFill>
        </w:rPr>
        <w:t>）；</w:t>
      </w:r>
    </w:p>
    <w:p w14:paraId="1C5723F9">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《危险化学品重大危险源辨识》（GB18218-2018）；</w:t>
      </w:r>
    </w:p>
    <w:p w14:paraId="54812F2A">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《安全色》（GB2893-2008）；</w:t>
      </w:r>
    </w:p>
    <w:p w14:paraId="6A17A440">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《安全标志及其使用导则》（GB2894-2008）；</w:t>
      </w:r>
    </w:p>
    <w:p w14:paraId="69CBBC2C">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《消防安全标志 第1部分：标志》（GB 13495.1-2015）</w:t>
      </w:r>
    </w:p>
    <w:p w14:paraId="343D3C40">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《消防安全标志设置要求》（GB15630-1995）；</w:t>
      </w:r>
    </w:p>
    <w:p w14:paraId="4E7440D6">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《用电安全导则》（GB/T 13869-2017）；</w:t>
      </w:r>
    </w:p>
    <w:p w14:paraId="2AF18A33">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《电气设备安全设计导则》（GB</w:t>
      </w:r>
      <w:r>
        <w:rPr>
          <w:rFonts w:hint="eastAsia" w:ascii="宋体" w:hAnsi="宋体" w:eastAsia="宋体" w:cs="宋体"/>
          <w:color w:val="000000" w:themeColor="text1"/>
          <w:sz w:val="28"/>
          <w:szCs w:val="28"/>
          <w:lang w:val="en-US" w:eastAsia="zh-CN"/>
          <w14:textFill>
            <w14:solidFill>
              <w14:schemeClr w14:val="tx1"/>
            </w14:solidFill>
          </w14:textFill>
        </w:rPr>
        <w:t>/T</w:t>
      </w:r>
      <w:r>
        <w:rPr>
          <w:rFonts w:hint="eastAsia" w:ascii="宋体" w:hAnsi="宋体" w:eastAsia="宋体" w:cs="宋体"/>
          <w:color w:val="000000" w:themeColor="text1"/>
          <w:sz w:val="28"/>
          <w:szCs w:val="28"/>
          <w14:textFill>
            <w14:solidFill>
              <w14:schemeClr w14:val="tx1"/>
            </w14:solidFill>
          </w14:textFill>
        </w:rPr>
        <w:t>25295-2010）；</w:t>
      </w:r>
    </w:p>
    <w:p w14:paraId="7574C476">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《通用用电设备配电设计规范》（GB50055-2011）；</w:t>
      </w:r>
    </w:p>
    <w:p w14:paraId="622393FE">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《供配电系统设计规范》（GB50052-2009）；</w:t>
      </w:r>
    </w:p>
    <w:p w14:paraId="281DE860">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《低压配电设计规范》（GB50054-2011）；</w:t>
      </w:r>
    </w:p>
    <w:p w14:paraId="0F01D584">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《防止静电事故通用导则》（GB12158-2006）；</w:t>
      </w:r>
    </w:p>
    <w:p w14:paraId="49AD76BE">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《机械安全 防护装置 固定式和活动式防护装置设计与制造一般要求》（GB/T 8196-20</w:t>
      </w:r>
      <w:r>
        <w:rPr>
          <w:rFonts w:hint="eastAsia" w:ascii="宋体" w:hAnsi="宋体" w:eastAsia="宋体" w:cs="宋体"/>
          <w:color w:val="000000" w:themeColor="text1"/>
          <w:sz w:val="28"/>
          <w:szCs w:val="28"/>
          <w:lang w:val="en-US" w:eastAsia="zh-CN"/>
          <w14:textFill>
            <w14:solidFill>
              <w14:schemeClr w14:val="tx1"/>
            </w14:solidFill>
          </w14:textFill>
        </w:rPr>
        <w:t>18</w:t>
      </w:r>
      <w:r>
        <w:rPr>
          <w:rFonts w:hint="eastAsia" w:ascii="宋体" w:hAnsi="宋体" w:eastAsia="宋体" w:cs="宋体"/>
          <w:color w:val="000000" w:themeColor="text1"/>
          <w:sz w:val="28"/>
          <w:szCs w:val="28"/>
          <w14:textFill>
            <w14:solidFill>
              <w14:schemeClr w14:val="tx1"/>
            </w14:solidFill>
          </w14:textFill>
        </w:rPr>
        <w:t>）；</w:t>
      </w:r>
    </w:p>
    <w:p w14:paraId="72A8EC21">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《起重机械安全规程 第1部分：总则》（GB</w:t>
      </w:r>
      <w:r>
        <w:rPr>
          <w:rFonts w:hint="eastAsia" w:ascii="宋体" w:hAnsi="宋体" w:eastAsia="宋体" w:cs="宋体"/>
          <w:color w:val="000000" w:themeColor="text1"/>
          <w:sz w:val="28"/>
          <w:szCs w:val="28"/>
          <w:lang w:val="en-US" w:eastAsia="zh-CN"/>
          <w14:textFill>
            <w14:solidFill>
              <w14:schemeClr w14:val="tx1"/>
            </w14:solidFill>
          </w14:textFill>
        </w:rPr>
        <w:t>/T</w:t>
      </w:r>
      <w:r>
        <w:rPr>
          <w:rFonts w:hint="eastAsia" w:ascii="宋体" w:hAnsi="宋体" w:eastAsia="宋体" w:cs="宋体"/>
          <w:color w:val="000000" w:themeColor="text1"/>
          <w:sz w:val="28"/>
          <w:szCs w:val="28"/>
          <w14:textFill>
            <w14:solidFill>
              <w14:schemeClr w14:val="tx1"/>
            </w14:solidFill>
          </w14:textFill>
        </w:rPr>
        <w:t>6067.1-2010）；</w:t>
      </w:r>
    </w:p>
    <w:p w14:paraId="18616136">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《生产经营单位生产安全事故应急预案编制导则》（GB/T29639-2020）</w:t>
      </w:r>
      <w:r>
        <w:rPr>
          <w:rFonts w:hint="eastAsia" w:ascii="宋体" w:hAnsi="宋体" w:eastAsia="宋体" w:cs="宋体"/>
          <w:color w:val="000000" w:themeColor="text1"/>
          <w:sz w:val="28"/>
          <w:szCs w:val="28"/>
          <w:lang w:eastAsia="zh-CN"/>
          <w14:textFill>
            <w14:solidFill>
              <w14:schemeClr w14:val="tx1"/>
            </w14:solidFill>
          </w14:textFill>
        </w:rPr>
        <w:t>；</w:t>
      </w:r>
    </w:p>
    <w:p w14:paraId="4C8809A8">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带式输送机》（GB/T 10595-2017）；</w:t>
      </w:r>
    </w:p>
    <w:p w14:paraId="4388B1FB">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《带式输送机安全规范》（GB 14784-2013）</w:t>
      </w:r>
      <w:r>
        <w:rPr>
          <w:rFonts w:hint="eastAsia" w:ascii="宋体" w:hAnsi="宋体" w:eastAsia="宋体" w:cs="宋体"/>
          <w:color w:val="000000" w:themeColor="text1"/>
          <w:sz w:val="28"/>
          <w:szCs w:val="28"/>
          <w:lang w:eastAsia="zh-CN"/>
          <w14:textFill>
            <w14:solidFill>
              <w14:schemeClr w14:val="tx1"/>
            </w14:solidFill>
          </w14:textFill>
        </w:rPr>
        <w:t>；</w:t>
      </w:r>
    </w:p>
    <w:p w14:paraId="58CACC09">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《生产设备安全卫生设计总则》（</w:t>
      </w:r>
      <w:r>
        <w:rPr>
          <w:rFonts w:hint="eastAsia" w:ascii="宋体" w:hAnsi="宋体" w:eastAsia="宋体" w:cs="宋体"/>
          <w:color w:val="000000" w:themeColor="text1"/>
          <w:sz w:val="28"/>
          <w:szCs w:val="28"/>
          <w14:textFill>
            <w14:solidFill>
              <w14:schemeClr w14:val="tx1"/>
            </w14:solidFill>
          </w14:textFill>
        </w:rPr>
        <w:t>GB5083-2023</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eastAsia="zh-CN"/>
          <w14:textFill>
            <w14:solidFill>
              <w14:schemeClr w14:val="tx1"/>
            </w14:solidFill>
          </w14:textFill>
        </w:rPr>
        <w:t>；</w:t>
      </w:r>
    </w:p>
    <w:p w14:paraId="71EC2C46">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50" w:name="_Toc26320"/>
      <w:bookmarkStart w:id="51" w:name="_Toc1315"/>
      <w:bookmarkStart w:id="52" w:name="_Toc25702"/>
      <w:r>
        <w:rPr>
          <w:rFonts w:hint="eastAsia" w:ascii="宋体" w:hAnsi="宋体" w:eastAsia="宋体" w:cs="宋体"/>
          <w:color w:val="000000" w:themeColor="text1"/>
          <w14:textFill>
            <w14:solidFill>
              <w14:schemeClr w14:val="tx1"/>
            </w14:solidFill>
          </w14:textFill>
        </w:rPr>
        <w:t>1.2.6</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行业标准</w:t>
      </w:r>
      <w:bookmarkEnd w:id="50"/>
      <w:bookmarkEnd w:id="51"/>
      <w:bookmarkEnd w:id="52"/>
    </w:p>
    <w:p w14:paraId="7B96590E">
      <w:pPr>
        <w:keepNext w:val="0"/>
        <w:keepLines w:val="0"/>
        <w:pageBreakBefore w:val="0"/>
        <w:widowControl w:val="0"/>
        <w:numPr>
          <w:ilvl w:val="0"/>
          <w:numId w:val="6"/>
        </w:numPr>
        <w:tabs>
          <w:tab w:val="left" w:pos="0"/>
          <w:tab w:val="left" w:pos="630"/>
          <w:tab w:val="left" w:pos="720"/>
          <w:tab w:val="left" w:pos="84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1"/>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《安全评价通则》（AQ8001-2007）；</w:t>
      </w:r>
    </w:p>
    <w:p w14:paraId="1F521333">
      <w:pPr>
        <w:keepNext w:val="0"/>
        <w:keepLines w:val="0"/>
        <w:pageBreakBefore w:val="0"/>
        <w:widowControl w:val="0"/>
        <w:numPr>
          <w:ilvl w:val="0"/>
          <w:numId w:val="6"/>
        </w:numPr>
        <w:tabs>
          <w:tab w:val="left" w:pos="0"/>
          <w:tab w:val="left" w:pos="630"/>
          <w:tab w:val="left" w:pos="720"/>
          <w:tab w:val="left" w:pos="84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1"/>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生产安全事故应急演练基本规范</w:t>
      </w:r>
      <w:r>
        <w:rPr>
          <w:rFonts w:hint="eastAsia" w:ascii="宋体" w:hAnsi="宋体" w:eastAsia="宋体" w:cs="宋体"/>
          <w:color w:val="000000" w:themeColor="text1"/>
          <w:sz w:val="28"/>
          <w:szCs w:val="21"/>
          <w14:textFill>
            <w14:solidFill>
              <w14:schemeClr w14:val="tx1"/>
            </w14:solidFill>
          </w14:textFill>
        </w:rPr>
        <w:t>》（AQ/T9007-2019）</w:t>
      </w:r>
      <w:r>
        <w:rPr>
          <w:rFonts w:hint="eastAsia" w:ascii="宋体" w:hAnsi="宋体" w:eastAsia="宋体" w:cs="宋体"/>
          <w:color w:val="000000" w:themeColor="text1"/>
          <w:sz w:val="28"/>
          <w:szCs w:val="28"/>
          <w14:textFill>
            <w14:solidFill>
              <w14:schemeClr w14:val="tx1"/>
            </w14:solidFill>
          </w14:textFill>
        </w:rPr>
        <w:t>；</w:t>
      </w:r>
    </w:p>
    <w:p w14:paraId="27F6D8CB">
      <w:pPr>
        <w:keepNext w:val="0"/>
        <w:keepLines w:val="0"/>
        <w:pageBreakBefore w:val="0"/>
        <w:widowControl w:val="0"/>
        <w:numPr>
          <w:ilvl w:val="0"/>
          <w:numId w:val="6"/>
        </w:numPr>
        <w:tabs>
          <w:tab w:val="left" w:pos="0"/>
          <w:tab w:val="left" w:pos="630"/>
          <w:tab w:val="left" w:pos="720"/>
          <w:tab w:val="left" w:pos="84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snapToGrid w:val="0"/>
          <w:sz w:val="28"/>
          <w:szCs w:val="30"/>
        </w:rPr>
      </w:pPr>
      <w:r>
        <w:rPr>
          <w:rFonts w:hint="eastAsia" w:ascii="宋体" w:hAnsi="宋体" w:eastAsia="宋体" w:cs="宋体"/>
          <w:color w:val="000000" w:themeColor="text1"/>
          <w:sz w:val="28"/>
          <w:szCs w:val="28"/>
          <w14:textFill>
            <w14:solidFill>
              <w14:schemeClr w14:val="tx1"/>
            </w14:solidFill>
          </w14:textFill>
        </w:rPr>
        <w:t>《特种设备作业人员考核规则》（TSG Z6001-20</w:t>
      </w:r>
      <w:r>
        <w:rPr>
          <w:rFonts w:hint="eastAsia" w:ascii="宋体" w:hAnsi="宋体" w:eastAsia="宋体" w:cs="宋体"/>
          <w:color w:val="000000" w:themeColor="text1"/>
          <w:sz w:val="28"/>
          <w:szCs w:val="28"/>
          <w:lang w:val="en-US" w:eastAsia="zh-CN"/>
          <w14:textFill>
            <w14:solidFill>
              <w14:schemeClr w14:val="tx1"/>
            </w14:solidFill>
          </w14:textFill>
        </w:rPr>
        <w:t>19</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1"/>
          <w:lang w:eastAsia="zh-CN"/>
          <w14:textFill>
            <w14:solidFill>
              <w14:schemeClr w14:val="tx1"/>
            </w14:solidFill>
          </w14:textFill>
        </w:rPr>
        <w:t>；</w:t>
      </w:r>
    </w:p>
    <w:p w14:paraId="6B461AE4">
      <w:pPr>
        <w:keepNext w:val="0"/>
        <w:keepLines w:val="0"/>
        <w:pageBreakBefore w:val="0"/>
        <w:widowControl w:val="0"/>
        <w:numPr>
          <w:ilvl w:val="0"/>
          <w:numId w:val="6"/>
        </w:numPr>
        <w:tabs>
          <w:tab w:val="left" w:pos="0"/>
          <w:tab w:val="left" w:pos="630"/>
          <w:tab w:val="left" w:pos="720"/>
          <w:tab w:val="left" w:pos="84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rPr>
      </w:pPr>
      <w:r>
        <w:rPr>
          <w:rFonts w:hint="eastAsia" w:ascii="宋体" w:hAnsi="宋体" w:eastAsia="宋体" w:cs="宋体"/>
          <w:snapToGrid w:val="0"/>
          <w:sz w:val="28"/>
          <w:szCs w:val="30"/>
        </w:rPr>
        <w:t>《起重机械安全技术规程》（TSG 51-2023）；</w:t>
      </w:r>
    </w:p>
    <w:p w14:paraId="1FD01688">
      <w:pPr>
        <w:keepNext w:val="0"/>
        <w:keepLines w:val="0"/>
        <w:pageBreakBefore w:val="0"/>
        <w:widowControl w:val="0"/>
        <w:numPr>
          <w:ilvl w:val="0"/>
          <w:numId w:val="6"/>
        </w:numPr>
        <w:tabs>
          <w:tab w:val="left" w:pos="0"/>
          <w:tab w:val="left" w:pos="630"/>
          <w:tab w:val="left" w:pos="720"/>
          <w:tab w:val="left" w:pos="84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1"/>
          <w14:textFill>
            <w14:solidFill>
              <w14:schemeClr w14:val="tx1"/>
            </w14:solidFill>
          </w14:textFill>
        </w:rPr>
      </w:pPr>
      <w:r>
        <w:rPr>
          <w:rFonts w:hint="eastAsia" w:ascii="宋体" w:hAnsi="宋体" w:eastAsia="宋体" w:cs="宋体"/>
          <w:snapToGrid w:val="0"/>
          <w:sz w:val="28"/>
          <w:szCs w:val="30"/>
        </w:rPr>
        <w:t>《特种设备使用管理规则》（TSG 08-2017）</w:t>
      </w:r>
      <w:r>
        <w:rPr>
          <w:rFonts w:hint="eastAsia" w:ascii="宋体" w:hAnsi="宋体" w:eastAsia="宋体" w:cs="宋体"/>
          <w:snapToGrid w:val="0"/>
          <w:sz w:val="28"/>
          <w:szCs w:val="30"/>
          <w:lang w:eastAsia="zh-CN"/>
        </w:rPr>
        <w:t>；</w:t>
      </w:r>
    </w:p>
    <w:p w14:paraId="05EFF7CE">
      <w:pPr>
        <w:keepNext w:val="0"/>
        <w:keepLines w:val="0"/>
        <w:pageBreakBefore w:val="0"/>
        <w:widowControl w:val="0"/>
        <w:numPr>
          <w:ilvl w:val="0"/>
          <w:numId w:val="6"/>
        </w:numPr>
        <w:tabs>
          <w:tab w:val="left" w:pos="0"/>
          <w:tab w:val="left" w:pos="630"/>
          <w:tab w:val="left" w:pos="720"/>
          <w:tab w:val="left" w:pos="84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1"/>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其他有关的国家标准、规范</w:t>
      </w:r>
      <w:r>
        <w:rPr>
          <w:rFonts w:hint="eastAsia" w:ascii="宋体" w:hAnsi="宋体" w:eastAsia="宋体" w:cs="宋体"/>
          <w:color w:val="000000" w:themeColor="text1"/>
          <w:sz w:val="28"/>
          <w:szCs w:val="21"/>
          <w14:textFill>
            <w14:solidFill>
              <w14:schemeClr w14:val="tx1"/>
            </w14:solidFill>
          </w14:textFill>
        </w:rPr>
        <w:t>。</w:t>
      </w:r>
    </w:p>
    <w:p w14:paraId="1C7F1492">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53" w:name="_Toc15678"/>
      <w:bookmarkStart w:id="54" w:name="_Toc903"/>
      <w:bookmarkStart w:id="55" w:name="_Toc22695"/>
      <w:r>
        <w:rPr>
          <w:rFonts w:hint="eastAsia" w:ascii="宋体" w:hAnsi="宋体" w:eastAsia="宋体" w:cs="宋体"/>
          <w:color w:val="000000" w:themeColor="text1"/>
          <w14:textFill>
            <w14:solidFill>
              <w14:schemeClr w14:val="tx1"/>
            </w14:solidFill>
          </w14:textFill>
        </w:rPr>
        <w:t>1.2.7</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项目技术资料</w:t>
      </w:r>
      <w:bookmarkEnd w:id="53"/>
      <w:bookmarkEnd w:id="54"/>
      <w:bookmarkEnd w:id="55"/>
    </w:p>
    <w:p w14:paraId="057FEE2C">
      <w:pPr>
        <w:keepNext w:val="0"/>
        <w:keepLines w:val="0"/>
        <w:pageBreakBefore w:val="0"/>
        <w:widowControl w:val="0"/>
        <w:numPr>
          <w:ilvl w:val="0"/>
          <w:numId w:val="7"/>
        </w:numPr>
        <w:kinsoku w:val="0"/>
        <w:wordWrap/>
        <w:overflowPunct/>
        <w:topLinePunct/>
        <w:autoSpaceDE/>
        <w:autoSpaceDN/>
        <w:bidi w:val="0"/>
        <w:adjustRightInd/>
        <w:snapToGrid/>
        <w:spacing w:line="520" w:lineRule="exact"/>
        <w:ind w:left="0" w:leftChars="0" w:firstLine="560" w:firstLineChars="200"/>
        <w:textAlignment w:val="auto"/>
        <w:rPr>
          <w:rFonts w:hint="eastAsia" w:ascii="宋体" w:hAnsi="宋体" w:eastAsia="宋体" w:cs="宋体"/>
          <w:color w:val="000000" w:themeColor="text1"/>
          <w:spacing w:val="-10"/>
          <w:sz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玉溪市明哲数控科技有限公司</w:t>
      </w:r>
      <w:r>
        <w:rPr>
          <w:rFonts w:hint="eastAsia" w:ascii="宋体" w:hAnsi="宋体" w:eastAsia="宋体" w:cs="宋体"/>
          <w:color w:val="000000" w:themeColor="text1"/>
          <w:sz w:val="28"/>
          <w:szCs w:val="28"/>
          <w14:textFill>
            <w14:solidFill>
              <w14:schemeClr w14:val="tx1"/>
            </w14:solidFill>
          </w14:textFill>
        </w:rPr>
        <w:t>的</w:t>
      </w:r>
      <w:r>
        <w:rPr>
          <w:rFonts w:hint="eastAsia" w:ascii="宋体" w:hAnsi="宋体" w:eastAsia="宋体" w:cs="宋体"/>
          <w:color w:val="000000" w:themeColor="text1"/>
          <w:spacing w:val="-10"/>
          <w:sz w:val="28"/>
          <w14:textFill>
            <w14:solidFill>
              <w14:schemeClr w14:val="tx1"/>
            </w14:solidFill>
          </w14:textFill>
        </w:rPr>
        <w:t>安全评价委托书；</w:t>
      </w:r>
    </w:p>
    <w:p w14:paraId="2D64C5A6">
      <w:pPr>
        <w:keepNext w:val="0"/>
        <w:keepLines w:val="0"/>
        <w:pageBreakBefore w:val="0"/>
        <w:widowControl w:val="0"/>
        <w:numPr>
          <w:ilvl w:val="0"/>
          <w:numId w:val="7"/>
        </w:numPr>
        <w:wordWrap/>
        <w:overflowPunct/>
        <w:autoSpaceDE/>
        <w:autoSpaceDN/>
        <w:bidi w:val="0"/>
        <w:adjustRightInd/>
        <w:snapToGrid/>
        <w:spacing w:line="520" w:lineRule="exact"/>
        <w:ind w:left="0" w:leftChars="0"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玉溪市明哲数控科技有限公司</w:t>
      </w:r>
      <w:r>
        <w:rPr>
          <w:rFonts w:hint="eastAsia" w:ascii="宋体" w:hAnsi="宋体" w:eastAsia="宋体" w:cs="宋体"/>
          <w:color w:val="000000" w:themeColor="text1"/>
          <w:sz w:val="28"/>
          <w:szCs w:val="28"/>
          <w14:textFill>
            <w14:solidFill>
              <w14:schemeClr w14:val="tx1"/>
            </w14:solidFill>
          </w14:textFill>
        </w:rPr>
        <w:t>提供的技术和管理资料</w:t>
      </w:r>
      <w:bookmarkStart w:id="56" w:name="_Toc102279997"/>
      <w:r>
        <w:rPr>
          <w:rFonts w:hint="eastAsia" w:ascii="宋体" w:hAnsi="宋体" w:eastAsia="宋体" w:cs="宋体"/>
          <w:color w:val="000000" w:themeColor="text1"/>
          <w:sz w:val="28"/>
          <w:szCs w:val="28"/>
          <w:lang w:eastAsia="zh-CN"/>
          <w14:textFill>
            <w14:solidFill>
              <w14:schemeClr w14:val="tx1"/>
            </w14:solidFill>
          </w14:textFill>
        </w:rPr>
        <w:t>；</w:t>
      </w:r>
    </w:p>
    <w:p w14:paraId="027429A3">
      <w:pPr>
        <w:keepNext w:val="0"/>
        <w:keepLines w:val="0"/>
        <w:pageBreakBefore w:val="0"/>
        <w:widowControl w:val="0"/>
        <w:numPr>
          <w:ilvl w:val="0"/>
          <w:numId w:val="7"/>
        </w:numPr>
        <w:wordWrap/>
        <w:overflowPunct/>
        <w:autoSpaceDE/>
        <w:autoSpaceDN/>
        <w:bidi w:val="0"/>
        <w:adjustRightInd/>
        <w:snapToGrid/>
        <w:spacing w:line="520" w:lineRule="exact"/>
        <w:ind w:left="0" w:leftChars="0"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企业提供的其它相关资料</w:t>
      </w:r>
      <w:bookmarkEnd w:id="56"/>
      <w:bookmarkStart w:id="57" w:name="_Toc230712133"/>
      <w:bookmarkStart w:id="58" w:name="_Toc137691696"/>
      <w:bookmarkStart w:id="59" w:name="_Toc230711560"/>
      <w:bookmarkStart w:id="60" w:name="_Toc138472017"/>
      <w:bookmarkStart w:id="61" w:name="_Toc138301573"/>
      <w:bookmarkStart w:id="62" w:name="_Toc255571907"/>
      <w:bookmarkStart w:id="63" w:name="_Toc107981096"/>
      <w:bookmarkStart w:id="64" w:name="_Toc255568549"/>
      <w:bookmarkStart w:id="65" w:name="_Toc149127031"/>
      <w:bookmarkStart w:id="66" w:name="_Toc230711671"/>
      <w:bookmarkStart w:id="67" w:name="_Toc235953615"/>
      <w:bookmarkStart w:id="68" w:name="_Toc149082110"/>
      <w:r>
        <w:rPr>
          <w:rFonts w:hint="eastAsia" w:ascii="宋体" w:hAnsi="宋体" w:eastAsia="宋体" w:cs="宋体"/>
          <w:color w:val="000000" w:themeColor="text1"/>
          <w:sz w:val="28"/>
          <w:szCs w:val="28"/>
          <w14:textFill>
            <w14:solidFill>
              <w14:schemeClr w14:val="tx1"/>
            </w14:solidFill>
          </w14:textFill>
        </w:rPr>
        <w:t>。</w:t>
      </w:r>
    </w:p>
    <w:bookmarkEnd w:id="57"/>
    <w:bookmarkEnd w:id="58"/>
    <w:bookmarkEnd w:id="59"/>
    <w:bookmarkEnd w:id="60"/>
    <w:bookmarkEnd w:id="61"/>
    <w:bookmarkEnd w:id="62"/>
    <w:bookmarkEnd w:id="63"/>
    <w:bookmarkEnd w:id="64"/>
    <w:bookmarkEnd w:id="65"/>
    <w:bookmarkEnd w:id="66"/>
    <w:bookmarkEnd w:id="67"/>
    <w:bookmarkEnd w:id="68"/>
    <w:p w14:paraId="604317A6">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69" w:name="_Toc335926131"/>
      <w:bookmarkStart w:id="70" w:name="_Toc19395"/>
      <w:bookmarkStart w:id="71" w:name="_Toc313453426"/>
      <w:bookmarkStart w:id="72" w:name="_Toc23141"/>
      <w:bookmarkStart w:id="73" w:name="_Toc21399"/>
      <w:r>
        <w:rPr>
          <w:rFonts w:hint="eastAsia" w:ascii="宋体" w:hAnsi="宋体" w:eastAsia="宋体" w:cs="宋体"/>
          <w:color w:val="000000" w:themeColor="text1"/>
          <w14:textFill>
            <w14:solidFill>
              <w14:schemeClr w14:val="tx1"/>
            </w14:solidFill>
          </w14:textFill>
        </w:rPr>
        <w:t>1.3</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评价对象及范围</w:t>
      </w:r>
      <w:bookmarkEnd w:id="69"/>
      <w:bookmarkEnd w:id="70"/>
      <w:bookmarkEnd w:id="71"/>
      <w:bookmarkEnd w:id="72"/>
      <w:bookmarkEnd w:id="73"/>
    </w:p>
    <w:p w14:paraId="75DEFDF3">
      <w:pPr>
        <w:pStyle w:val="327"/>
        <w:keepNext w:val="0"/>
        <w:keepLines w:val="0"/>
        <w:pageBreakBefore w:val="0"/>
        <w:widowControl w:val="0"/>
        <w:kinsoku/>
        <w:wordWrap/>
        <w:overflowPunct/>
        <w:topLinePunct w:val="0"/>
        <w:autoSpaceDE/>
        <w:autoSpaceDN/>
        <w:bidi w:val="0"/>
        <w:adjustRightInd/>
        <w:snapToGrid/>
        <w:spacing w:after="0" w:line="520" w:lineRule="exact"/>
        <w:ind w:right="0" w:rightChars="0"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评价对象：</w:t>
      </w:r>
      <w:r>
        <w:rPr>
          <w:rFonts w:hint="eastAsia" w:ascii="宋体" w:hAnsi="宋体" w:eastAsia="宋体" w:cs="宋体"/>
          <w:color w:val="000000" w:themeColor="text1"/>
          <w:sz w:val="28"/>
          <w:szCs w:val="28"/>
          <w:lang w:val="en-US" w:eastAsia="zh-CN"/>
          <w14:textFill>
            <w14:solidFill>
              <w14:schemeClr w14:val="tx1"/>
            </w14:solidFill>
          </w14:textFill>
        </w:rPr>
        <w:t>玉溪市明哲数控科技有限公司</w:t>
      </w:r>
      <w:r>
        <w:rPr>
          <w:rFonts w:hint="eastAsia" w:ascii="宋体" w:hAnsi="宋体" w:eastAsia="宋体" w:cs="宋体"/>
          <w:color w:val="000000" w:themeColor="text1"/>
          <w:sz w:val="28"/>
          <w:szCs w:val="28"/>
          <w:lang w:val="en-US" w:eastAsia="zh-CN"/>
          <w14:textFill>
            <w14:solidFill>
              <w14:schemeClr w14:val="tx1"/>
            </w14:solidFill>
          </w14:textFill>
        </w:rPr>
        <w:t>安全现状评价项目。</w:t>
      </w:r>
    </w:p>
    <w:p w14:paraId="0A882446">
      <w:pPr>
        <w:pStyle w:val="327"/>
        <w:keepNext w:val="0"/>
        <w:keepLines w:val="0"/>
        <w:pageBreakBefore w:val="0"/>
        <w:widowControl w:val="0"/>
        <w:kinsoku/>
        <w:wordWrap/>
        <w:overflowPunct/>
        <w:topLinePunct w:val="0"/>
        <w:autoSpaceDE/>
        <w:autoSpaceDN/>
        <w:bidi w:val="0"/>
        <w:adjustRightInd/>
        <w:snapToGrid/>
        <w:spacing w:after="0" w:line="520" w:lineRule="exact"/>
        <w:ind w:right="0" w:rightChars="0" w:firstLine="560" w:firstLineChars="200"/>
        <w:jc w:val="both"/>
        <w:textAlignment w:val="baseline"/>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本次评价的范围：</w:t>
      </w:r>
      <w:r>
        <w:rPr>
          <w:rFonts w:hint="eastAsia" w:ascii="宋体" w:hAnsi="宋体" w:eastAsia="宋体" w:cs="宋体"/>
          <w:color w:val="000000" w:themeColor="text1"/>
          <w:sz w:val="28"/>
          <w:szCs w:val="28"/>
          <w:lang w:val="en-US" w:eastAsia="zh-CN"/>
          <w14:textFill>
            <w14:solidFill>
              <w14:schemeClr w14:val="tx1"/>
            </w14:solidFill>
          </w14:textFill>
        </w:rPr>
        <w:t>玉溪市明哲数控科技有限公司</w:t>
      </w:r>
      <w:r>
        <w:rPr>
          <w:rFonts w:hint="eastAsia" w:ascii="宋体" w:hAnsi="宋体" w:eastAsia="宋体" w:cs="宋体"/>
          <w:color w:val="000000" w:themeColor="text1"/>
          <w:sz w:val="28"/>
          <w:szCs w:val="28"/>
          <w:lang w:val="en-US" w:eastAsia="zh-CN"/>
          <w14:textFill>
            <w14:solidFill>
              <w14:schemeClr w14:val="tx1"/>
            </w14:solidFill>
          </w14:textFill>
        </w:rPr>
        <w:t>安全现状评价</w:t>
      </w:r>
      <w:r>
        <w:rPr>
          <w:rFonts w:hint="eastAsia" w:ascii="宋体" w:hAnsi="宋体" w:eastAsia="宋体" w:cs="宋体"/>
          <w:color w:val="000000" w:themeColor="text1"/>
          <w:sz w:val="28"/>
          <w:szCs w:val="28"/>
          <w14:textFill>
            <w14:solidFill>
              <w14:schemeClr w14:val="tx1"/>
            </w14:solidFill>
          </w14:textFill>
        </w:rPr>
        <w:t>项目</w:t>
      </w:r>
      <w:r>
        <w:rPr>
          <w:rFonts w:hint="eastAsia" w:ascii="宋体" w:hAnsi="宋体" w:eastAsia="宋体" w:cs="宋体"/>
          <w:color w:val="000000" w:themeColor="text1"/>
          <w:sz w:val="28"/>
          <w:szCs w:val="28"/>
          <w14:textFill>
            <w14:solidFill>
              <w14:schemeClr w14:val="tx1"/>
            </w14:solidFill>
          </w14:textFill>
        </w:rPr>
        <w:t>的周边环境、总平面布置、生产工艺及设备设施、公用工程及安全管理等。</w:t>
      </w:r>
    </w:p>
    <w:p w14:paraId="0A3D67D4">
      <w:pPr>
        <w:pStyle w:val="28"/>
        <w:keepNext w:val="0"/>
        <w:keepLines w:val="0"/>
        <w:pageBreakBefore w:val="0"/>
        <w:widowControl w:val="0"/>
        <w:kinsoku/>
        <w:wordWrap/>
        <w:overflowPunct/>
        <w:topLinePunct w:val="0"/>
        <w:autoSpaceDE/>
        <w:autoSpaceDN/>
        <w:bidi w:val="0"/>
        <w:snapToGrid/>
        <w:spacing w:line="520" w:lineRule="exact"/>
        <w:ind w:right="0" w:rightChars="0" w:firstLine="600" w:firstLineChars="200"/>
        <w:textAlignment w:val="baseline"/>
        <w:rPr>
          <w:rFonts w:hint="eastAsia" w:ascii="宋体" w:hAnsi="宋体" w:eastAsia="宋体" w:cs="宋体"/>
          <w:color w:val="000000" w:themeColor="text1"/>
          <w:szCs w:val="28"/>
          <w14:textFill>
            <w14:solidFill>
              <w14:schemeClr w14:val="tx1"/>
            </w14:solidFill>
          </w14:textFill>
        </w:rPr>
      </w:pPr>
      <w:bookmarkStart w:id="74" w:name="_Toc144146159"/>
      <w:bookmarkStart w:id="75" w:name="_Toc144566413"/>
      <w:bookmarkStart w:id="76" w:name="_Toc121371435"/>
      <w:r>
        <w:rPr>
          <w:rFonts w:hint="eastAsia" w:ascii="宋体" w:hAnsi="宋体" w:eastAsia="宋体" w:cs="宋体"/>
          <w:color w:val="000000" w:themeColor="text1"/>
          <w:spacing w:val="10"/>
          <w:szCs w:val="28"/>
          <w14:textFill>
            <w14:solidFill>
              <w14:schemeClr w14:val="tx1"/>
            </w14:solidFill>
          </w14:textFill>
        </w:rPr>
        <w:t>凡涉及</w:t>
      </w:r>
      <w:r>
        <w:rPr>
          <w:rFonts w:hint="eastAsia" w:ascii="宋体" w:hAnsi="宋体" w:eastAsia="宋体" w:cs="宋体"/>
          <w:color w:val="000000" w:themeColor="text1"/>
          <w:szCs w:val="28"/>
          <w14:textFill>
            <w14:solidFill>
              <w14:schemeClr w14:val="tx1"/>
            </w14:solidFill>
          </w14:textFill>
        </w:rPr>
        <w:t>项目的环境保护、职业卫生、消防、原辅材料和成品的厂外运输不在本次评价范围内</w:t>
      </w:r>
      <w:bookmarkEnd w:id="74"/>
      <w:bookmarkEnd w:id="75"/>
      <w:bookmarkEnd w:id="76"/>
      <w:r>
        <w:rPr>
          <w:rFonts w:hint="eastAsia" w:ascii="宋体" w:hAnsi="宋体" w:eastAsia="宋体" w:cs="宋体"/>
          <w:color w:val="000000" w:themeColor="text1"/>
          <w:szCs w:val="28"/>
          <w14:textFill>
            <w14:solidFill>
              <w14:schemeClr w14:val="tx1"/>
            </w14:solidFill>
          </w14:textFill>
        </w:rPr>
        <w:t>，</w:t>
      </w:r>
      <w:r>
        <w:rPr>
          <w:rFonts w:hint="eastAsia" w:ascii="宋体" w:hAnsi="宋体" w:eastAsia="宋体" w:cs="宋体"/>
          <w:color w:val="000000" w:themeColor="text1"/>
          <w:spacing w:val="10"/>
          <w:szCs w:val="28"/>
          <w14:textFill>
            <w14:solidFill>
              <w14:schemeClr w14:val="tx1"/>
            </w14:solidFill>
          </w14:textFill>
        </w:rPr>
        <w:t>但在评价过程中会有所提及。</w:t>
      </w:r>
      <w:r>
        <w:rPr>
          <w:rFonts w:hint="eastAsia" w:ascii="宋体" w:hAnsi="宋体" w:eastAsia="宋体" w:cs="宋体"/>
          <w:color w:val="000000" w:themeColor="text1"/>
          <w:szCs w:val="28"/>
          <w14:textFill>
            <w14:solidFill>
              <w14:schemeClr w14:val="tx1"/>
            </w14:solidFill>
          </w14:textFill>
        </w:rPr>
        <w:t>有关这些方面的问题，企业在建设和生产过程中应严格执行国家相关法律、法规、标准和规范要求。</w:t>
      </w:r>
    </w:p>
    <w:p w14:paraId="65AD5661">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77" w:name="_Toc335926132"/>
      <w:bookmarkStart w:id="78" w:name="_Toc30838"/>
      <w:bookmarkStart w:id="79" w:name="_Toc313453427"/>
      <w:bookmarkStart w:id="80" w:name="_Toc19134"/>
      <w:bookmarkStart w:id="81" w:name="_Toc17824"/>
      <w:r>
        <w:rPr>
          <w:rFonts w:hint="eastAsia" w:ascii="宋体" w:hAnsi="宋体" w:eastAsia="宋体" w:cs="宋体"/>
          <w:color w:val="000000" w:themeColor="text1"/>
          <w14:textFill>
            <w14:solidFill>
              <w14:schemeClr w14:val="tx1"/>
            </w14:solidFill>
          </w14:textFill>
        </w:rPr>
        <w:t>1.4</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评价原则</w:t>
      </w:r>
      <w:bookmarkEnd w:id="77"/>
      <w:bookmarkEnd w:id="78"/>
      <w:bookmarkEnd w:id="79"/>
      <w:bookmarkEnd w:id="80"/>
      <w:bookmarkEnd w:id="81"/>
    </w:p>
    <w:p w14:paraId="541071D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bookmarkStart w:id="82" w:name="_Toc105675477"/>
      <w:bookmarkStart w:id="83" w:name="_Toc105675957"/>
      <w:bookmarkStart w:id="84" w:name="_Toc105674759"/>
      <w:bookmarkStart w:id="85" w:name="_Toc105730322"/>
      <w:bookmarkStart w:id="86" w:name="_Toc28236"/>
      <w:bookmarkStart w:id="87" w:name="_Toc313453428"/>
      <w:bookmarkStart w:id="88" w:name="_Toc335926133"/>
      <w:r>
        <w:rPr>
          <w:rFonts w:hint="eastAsia" w:ascii="宋体" w:hAnsi="宋体" w:eastAsia="宋体" w:cs="宋体"/>
          <w:color w:val="000000" w:themeColor="text1"/>
          <w:sz w:val="28"/>
          <w14:textFill>
            <w14:solidFill>
              <w14:schemeClr w14:val="tx1"/>
            </w14:solidFill>
          </w14:textFill>
        </w:rPr>
        <w:t>昭通市鼎安科技有限公司在对该项目进行安全现状评价工作中，始终坚持以下原则：</w:t>
      </w:r>
    </w:p>
    <w:p w14:paraId="302AAFD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1.严格执行国家现行有关法律法规、标准、规章和规范的要求，对该企业进行科学、客观、公正、独立的安全评价；</w:t>
      </w:r>
    </w:p>
    <w:p w14:paraId="58C0FD7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2.采用可靠、适用的评价技术和评价方法对项目进行定性、定量评价，遵循针对性、技术可行性、经济合理性、可操作性的原则，提出消除或减弱危险、有害因素的技术和管理对策措施建议；</w:t>
      </w:r>
    </w:p>
    <w:p w14:paraId="0ABBF07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3.真实、准确地做出评价结论，并对在当时条件下做出的安全评价结果承担法律责任；</w:t>
      </w:r>
    </w:p>
    <w:p w14:paraId="5B4D99F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4.遵纪守法、恪守职业道德、诚实守信，对被评价对象的技术和商业秘密保密。</w:t>
      </w:r>
      <w:bookmarkEnd w:id="82"/>
      <w:bookmarkEnd w:id="83"/>
      <w:bookmarkEnd w:id="84"/>
      <w:bookmarkEnd w:id="85"/>
    </w:p>
    <w:p w14:paraId="14196FF3">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89" w:name="_Toc11236"/>
      <w:bookmarkStart w:id="90" w:name="_Toc18724"/>
      <w:r>
        <w:rPr>
          <w:rFonts w:hint="eastAsia" w:ascii="宋体" w:hAnsi="宋体" w:eastAsia="宋体" w:cs="宋体"/>
          <w:color w:val="000000" w:themeColor="text1"/>
          <w14:textFill>
            <w14:solidFill>
              <w14:schemeClr w14:val="tx1"/>
            </w14:solidFill>
          </w14:textFill>
        </w:rPr>
        <w:t>1.5</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评价程序</w:t>
      </w:r>
      <w:bookmarkEnd w:id="86"/>
      <w:bookmarkEnd w:id="87"/>
      <w:bookmarkEnd w:id="88"/>
      <w:bookmarkEnd w:id="89"/>
      <w:bookmarkEnd w:id="90"/>
    </w:p>
    <w:p w14:paraId="6CCDC983">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bookmarkStart w:id="91" w:name="_Toc313453429"/>
      <w:r>
        <w:rPr>
          <w:rFonts w:hint="eastAsia" w:ascii="宋体" w:hAnsi="宋体" w:eastAsia="宋体" w:cs="宋体"/>
          <w:color w:val="000000" w:themeColor="text1"/>
          <w:sz w:val="28"/>
          <w:szCs w:val="28"/>
          <w14:textFill>
            <w14:solidFill>
              <w14:schemeClr w14:val="tx1"/>
            </w14:solidFill>
          </w14:textFill>
        </w:rPr>
        <w:t>本项目安全现状评价工作程序如图1-1所示。评价工作分为三个阶段：</w:t>
      </w:r>
    </w:p>
    <w:p w14:paraId="6B906F69">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第一阶段为准备阶段，主要收集有关资料，进行初步的危险、危害因素识别，选择评价方法，编制评价大纲；</w:t>
      </w:r>
    </w:p>
    <w:p w14:paraId="0D240BF0">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第二阶段为实施评价阶段，对工程安全情况进行类比调查，运用合适的评价方法进行定性及定量分析，提出安全对策措施；</w:t>
      </w:r>
    </w:p>
    <w:p w14:paraId="2708F2B4">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第三阶段为安全评价报告的编制阶段，主要是汇总第二阶段所得到的各种资料、数据，综合分析提出结论与建议，完成本项目安全现状评价报告的编制。</w:t>
      </w:r>
    </w:p>
    <w:p w14:paraId="743EB0D8">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安全评价的程序见下图所示：</w:t>
      </w:r>
    </w:p>
    <w:p w14:paraId="0D566551">
      <w:pPr>
        <w:spacing w:line="360" w:lineRule="auto"/>
        <w:jc w:val="center"/>
        <w:rPr>
          <w:rFonts w:hint="eastAsia" w:ascii="宋体" w:hAnsi="宋体" w:eastAsia="宋体" w:cs="宋体"/>
          <w:color w:val="000000" w:themeColor="text1"/>
          <w:szCs w:val="28"/>
          <w:lang w:val="zh-CN"/>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object>
          <v:shape id="_x0000_i1025" o:spt="75" type="#_x0000_t75" style="height:261.8pt;width:151.5pt;" o:ole="t" filled="f" o:preferrelative="t" stroked="f" coordsize="21600,21600">
            <v:path/>
            <v:fill on="f" focussize="0,0"/>
            <v:stroke on="f"/>
            <v:imagedata r:id="rId11" cropleft="22079f" cropright="19837f" o:title=""/>
            <o:lock v:ext="edit" aspectratio="t"/>
            <w10:wrap type="none"/>
            <w10:anchorlock/>
          </v:shape>
          <o:OLEObject Type="Embed" ProgID="AutoCAD.Drawing.16" ShapeID="_x0000_i1025" DrawAspect="Content" ObjectID="_1468075725" r:id="rId10">
            <o:LockedField>false</o:LockedField>
          </o:OLEObject>
        </w:object>
      </w:r>
    </w:p>
    <w:p w14:paraId="0089CB01">
      <w:pPr>
        <w:spacing w:line="360" w:lineRule="auto"/>
        <w:jc w:val="center"/>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图1-1  安全现状评价程序图</w:t>
      </w:r>
    </w:p>
    <w:p w14:paraId="16F217CD">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92" w:name="_Toc335926134"/>
      <w:bookmarkStart w:id="93" w:name="_Toc26128"/>
      <w:bookmarkStart w:id="94" w:name="_Toc24110"/>
      <w:bookmarkStart w:id="95" w:name="_Toc27434"/>
      <w:r>
        <w:rPr>
          <w:rFonts w:hint="eastAsia" w:ascii="宋体" w:hAnsi="宋体" w:eastAsia="宋体" w:cs="宋体"/>
          <w:color w:val="000000" w:themeColor="text1"/>
          <w14:textFill>
            <w14:solidFill>
              <w14:schemeClr w14:val="tx1"/>
            </w14:solidFill>
          </w14:textFill>
        </w:rPr>
        <w:t>1.6</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评价基准日</w:t>
      </w:r>
      <w:bookmarkEnd w:id="91"/>
      <w:bookmarkEnd w:id="92"/>
      <w:bookmarkEnd w:id="93"/>
      <w:bookmarkEnd w:id="94"/>
      <w:bookmarkEnd w:id="95"/>
    </w:p>
    <w:p w14:paraId="04E1C52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评价人员</w:t>
      </w:r>
      <w:r>
        <w:rPr>
          <w:rFonts w:hint="eastAsia" w:ascii="宋体" w:hAnsi="宋体" w:eastAsia="宋体" w:cs="宋体"/>
          <w:color w:val="000000" w:themeColor="text1"/>
          <w:sz w:val="28"/>
          <w:highlight w:val="none"/>
          <w14:textFill>
            <w14:solidFill>
              <w14:schemeClr w14:val="tx1"/>
            </w14:solidFill>
          </w14:textFill>
        </w:rPr>
        <w:t>于202</w:t>
      </w:r>
      <w:r>
        <w:rPr>
          <w:rFonts w:hint="eastAsia" w:ascii="宋体" w:hAnsi="宋体" w:eastAsia="宋体" w:cs="宋体"/>
          <w:color w:val="000000" w:themeColor="text1"/>
          <w:sz w:val="28"/>
          <w:highlight w:val="none"/>
          <w:lang w:val="en-US" w:eastAsia="zh-CN"/>
          <w14:textFill>
            <w14:solidFill>
              <w14:schemeClr w14:val="tx1"/>
            </w14:solidFill>
          </w14:textFill>
        </w:rPr>
        <w:t>4</w:t>
      </w:r>
      <w:r>
        <w:rPr>
          <w:rFonts w:hint="eastAsia" w:ascii="宋体" w:hAnsi="宋体" w:eastAsia="宋体" w:cs="宋体"/>
          <w:color w:val="000000" w:themeColor="text1"/>
          <w:sz w:val="28"/>
          <w:highlight w:val="none"/>
          <w14:textFill>
            <w14:solidFill>
              <w14:schemeClr w14:val="tx1"/>
            </w14:solidFill>
          </w14:textFill>
        </w:rPr>
        <w:t>年</w:t>
      </w:r>
      <w:r>
        <w:rPr>
          <w:rFonts w:hint="eastAsia" w:ascii="宋体" w:hAnsi="宋体" w:eastAsia="宋体" w:cs="宋体"/>
          <w:color w:val="000000" w:themeColor="text1"/>
          <w:sz w:val="28"/>
          <w:highlight w:val="none"/>
          <w:lang w:val="en-US" w:eastAsia="zh-CN"/>
          <w14:textFill>
            <w14:solidFill>
              <w14:schemeClr w14:val="tx1"/>
            </w14:solidFill>
          </w14:textFill>
        </w:rPr>
        <w:t>10</w:t>
      </w:r>
      <w:r>
        <w:rPr>
          <w:rFonts w:hint="eastAsia" w:ascii="宋体" w:hAnsi="宋体" w:eastAsia="宋体" w:cs="宋体"/>
          <w:color w:val="000000" w:themeColor="text1"/>
          <w:sz w:val="28"/>
          <w:highlight w:val="none"/>
          <w14:textFill>
            <w14:solidFill>
              <w14:schemeClr w14:val="tx1"/>
            </w14:solidFill>
          </w14:textFill>
        </w:rPr>
        <w:t>月</w:t>
      </w:r>
      <w:r>
        <w:rPr>
          <w:rFonts w:hint="eastAsia" w:ascii="宋体" w:hAnsi="宋体" w:eastAsia="宋体" w:cs="宋体"/>
          <w:color w:val="000000" w:themeColor="text1"/>
          <w:sz w:val="28"/>
          <w:highlight w:val="none"/>
          <w:lang w:val="en-US" w:eastAsia="zh-CN"/>
          <w14:textFill>
            <w14:solidFill>
              <w14:schemeClr w14:val="tx1"/>
            </w14:solidFill>
          </w14:textFill>
        </w:rPr>
        <w:t>23</w:t>
      </w:r>
      <w:r>
        <w:rPr>
          <w:rFonts w:hint="eastAsia" w:ascii="宋体" w:hAnsi="宋体" w:eastAsia="宋体" w:cs="宋体"/>
          <w:color w:val="000000" w:themeColor="text1"/>
          <w:sz w:val="28"/>
          <w:highlight w:val="none"/>
          <w14:textFill>
            <w14:solidFill>
              <w14:schemeClr w14:val="tx1"/>
            </w14:solidFill>
          </w14:textFill>
        </w:rPr>
        <w:t>日</w:t>
      </w:r>
      <w:r>
        <w:rPr>
          <w:rFonts w:hint="eastAsia" w:ascii="宋体" w:hAnsi="宋体" w:eastAsia="宋体" w:cs="宋体"/>
          <w:color w:val="000000" w:themeColor="text1"/>
          <w:sz w:val="28"/>
          <w14:textFill>
            <w14:solidFill>
              <w14:schemeClr w14:val="tx1"/>
            </w14:solidFill>
          </w14:textFill>
        </w:rPr>
        <w:t>对</w:t>
      </w:r>
      <w:r>
        <w:rPr>
          <w:rFonts w:hint="eastAsia" w:ascii="宋体" w:hAnsi="宋体" w:eastAsia="宋体" w:cs="宋体"/>
          <w:color w:val="000000" w:themeColor="text1"/>
          <w:sz w:val="28"/>
          <w:szCs w:val="28"/>
          <w:lang w:val="en-US" w:eastAsia="zh-CN"/>
          <w14:textFill>
            <w14:solidFill>
              <w14:schemeClr w14:val="tx1"/>
            </w14:solidFill>
          </w14:textFill>
        </w:rPr>
        <w:t>玉溪市明哲数控科技有限公司安全现状评价项目</w:t>
      </w:r>
      <w:r>
        <w:rPr>
          <w:rFonts w:hint="eastAsia" w:ascii="宋体" w:hAnsi="宋体" w:eastAsia="宋体" w:cs="宋体"/>
          <w:color w:val="000000" w:themeColor="text1"/>
          <w:sz w:val="28"/>
          <w14:textFill>
            <w14:solidFill>
              <w14:schemeClr w14:val="tx1"/>
            </w14:solidFill>
          </w14:textFill>
        </w:rPr>
        <w:t>进行了初次现场检查，于</w:t>
      </w:r>
      <w:r>
        <w:rPr>
          <w:rFonts w:hint="eastAsia" w:ascii="宋体" w:hAnsi="宋体" w:eastAsia="宋体" w:cs="宋体"/>
          <w:color w:val="000000" w:themeColor="text1"/>
          <w:sz w:val="28"/>
          <w:highlight w:val="none"/>
          <w14:textFill>
            <w14:solidFill>
              <w14:schemeClr w14:val="tx1"/>
            </w14:solidFill>
          </w14:textFill>
        </w:rPr>
        <w:t>202</w:t>
      </w:r>
      <w:r>
        <w:rPr>
          <w:rFonts w:hint="eastAsia" w:ascii="宋体" w:hAnsi="宋体" w:eastAsia="宋体" w:cs="宋体"/>
          <w:color w:val="000000" w:themeColor="text1"/>
          <w:sz w:val="28"/>
          <w:highlight w:val="none"/>
          <w:lang w:val="en-US" w:eastAsia="zh-CN"/>
          <w14:textFill>
            <w14:solidFill>
              <w14:schemeClr w14:val="tx1"/>
            </w14:solidFill>
          </w14:textFill>
        </w:rPr>
        <w:t>5</w:t>
      </w:r>
      <w:r>
        <w:rPr>
          <w:rFonts w:hint="eastAsia" w:ascii="宋体" w:hAnsi="宋体" w:eastAsia="宋体" w:cs="宋体"/>
          <w:color w:val="000000" w:themeColor="text1"/>
          <w:sz w:val="28"/>
          <w:highlight w:val="none"/>
          <w14:textFill>
            <w14:solidFill>
              <w14:schemeClr w14:val="tx1"/>
            </w14:solidFill>
          </w14:textFill>
        </w:rPr>
        <w:t>年</w:t>
      </w:r>
      <w:r>
        <w:rPr>
          <w:rFonts w:hint="eastAsia" w:ascii="宋体" w:hAnsi="宋体" w:eastAsia="宋体" w:cs="宋体"/>
          <w:color w:val="000000" w:themeColor="text1"/>
          <w:sz w:val="28"/>
          <w:highlight w:val="none"/>
          <w:lang w:val="en-US" w:eastAsia="zh-CN"/>
          <w14:textFill>
            <w14:solidFill>
              <w14:schemeClr w14:val="tx1"/>
            </w14:solidFill>
          </w14:textFill>
        </w:rPr>
        <w:t>4</w:t>
      </w:r>
      <w:r>
        <w:rPr>
          <w:rFonts w:hint="eastAsia" w:ascii="宋体" w:hAnsi="宋体" w:eastAsia="宋体" w:cs="宋体"/>
          <w:color w:val="000000" w:themeColor="text1"/>
          <w:sz w:val="28"/>
          <w:highlight w:val="none"/>
          <w14:textFill>
            <w14:solidFill>
              <w14:schemeClr w14:val="tx1"/>
            </w14:solidFill>
          </w14:textFill>
        </w:rPr>
        <w:t>月</w:t>
      </w:r>
      <w:r>
        <w:rPr>
          <w:rFonts w:hint="eastAsia" w:ascii="宋体" w:hAnsi="宋体" w:eastAsia="宋体" w:cs="宋体"/>
          <w:color w:val="000000" w:themeColor="text1"/>
          <w:sz w:val="28"/>
          <w:highlight w:val="none"/>
          <w:lang w:val="en-US" w:eastAsia="zh-CN"/>
          <w14:textFill>
            <w14:solidFill>
              <w14:schemeClr w14:val="tx1"/>
            </w14:solidFill>
          </w14:textFill>
        </w:rPr>
        <w:t>22</w:t>
      </w:r>
      <w:r>
        <w:rPr>
          <w:rFonts w:hint="eastAsia" w:ascii="宋体" w:hAnsi="宋体" w:eastAsia="宋体" w:cs="宋体"/>
          <w:color w:val="000000" w:themeColor="text1"/>
          <w:sz w:val="28"/>
          <w:highlight w:val="none"/>
          <w14:textFill>
            <w14:solidFill>
              <w14:schemeClr w14:val="tx1"/>
            </w14:solidFill>
          </w14:textFill>
        </w:rPr>
        <w:t>日对现场隐患进行复核，</w:t>
      </w:r>
      <w:r>
        <w:rPr>
          <w:rFonts w:hint="eastAsia" w:ascii="宋体" w:hAnsi="宋体" w:eastAsia="宋体" w:cs="宋体"/>
          <w:color w:val="000000" w:themeColor="text1"/>
          <w:sz w:val="28"/>
          <w:highlight w:val="none"/>
          <w:lang w:val="en-US" w:eastAsia="zh-CN"/>
          <w14:textFill>
            <w14:solidFill>
              <w14:schemeClr w14:val="tx1"/>
            </w14:solidFill>
          </w14:textFill>
        </w:rPr>
        <w:t>故该</w:t>
      </w:r>
      <w:r>
        <w:rPr>
          <w:rFonts w:hint="eastAsia" w:ascii="宋体" w:hAnsi="宋体" w:eastAsia="宋体" w:cs="宋体"/>
          <w:color w:val="000000" w:themeColor="text1"/>
          <w:sz w:val="28"/>
          <w:highlight w:val="none"/>
          <w14:textFill>
            <w14:solidFill>
              <w14:schemeClr w14:val="tx1"/>
            </w14:solidFill>
          </w14:textFill>
        </w:rPr>
        <w:t>项目评价基准日为202</w:t>
      </w:r>
      <w:r>
        <w:rPr>
          <w:rFonts w:hint="eastAsia" w:ascii="宋体" w:hAnsi="宋体" w:eastAsia="宋体" w:cs="宋体"/>
          <w:color w:val="000000" w:themeColor="text1"/>
          <w:sz w:val="28"/>
          <w:highlight w:val="none"/>
          <w:lang w:val="en-US" w:eastAsia="zh-CN"/>
          <w14:textFill>
            <w14:solidFill>
              <w14:schemeClr w14:val="tx1"/>
            </w14:solidFill>
          </w14:textFill>
        </w:rPr>
        <w:t>5</w:t>
      </w:r>
      <w:r>
        <w:rPr>
          <w:rFonts w:hint="eastAsia" w:ascii="宋体" w:hAnsi="宋体" w:eastAsia="宋体" w:cs="宋体"/>
          <w:color w:val="000000" w:themeColor="text1"/>
          <w:sz w:val="28"/>
          <w:highlight w:val="none"/>
          <w14:textFill>
            <w14:solidFill>
              <w14:schemeClr w14:val="tx1"/>
            </w14:solidFill>
          </w14:textFill>
        </w:rPr>
        <w:t>年</w:t>
      </w:r>
      <w:r>
        <w:rPr>
          <w:rFonts w:hint="eastAsia" w:ascii="宋体" w:hAnsi="宋体" w:eastAsia="宋体" w:cs="宋体"/>
          <w:color w:val="000000" w:themeColor="text1"/>
          <w:sz w:val="28"/>
          <w:highlight w:val="none"/>
          <w:lang w:val="en-US" w:eastAsia="zh-CN"/>
          <w14:textFill>
            <w14:solidFill>
              <w14:schemeClr w14:val="tx1"/>
            </w14:solidFill>
          </w14:textFill>
        </w:rPr>
        <w:t>4</w:t>
      </w:r>
      <w:r>
        <w:rPr>
          <w:rFonts w:hint="eastAsia" w:ascii="宋体" w:hAnsi="宋体" w:eastAsia="宋体" w:cs="宋体"/>
          <w:color w:val="000000" w:themeColor="text1"/>
          <w:sz w:val="28"/>
          <w:highlight w:val="none"/>
          <w14:textFill>
            <w14:solidFill>
              <w14:schemeClr w14:val="tx1"/>
            </w14:solidFill>
          </w14:textFill>
        </w:rPr>
        <w:t>月</w:t>
      </w:r>
      <w:r>
        <w:rPr>
          <w:rFonts w:hint="eastAsia" w:ascii="宋体" w:hAnsi="宋体" w:eastAsia="宋体" w:cs="宋体"/>
          <w:color w:val="000000" w:themeColor="text1"/>
          <w:sz w:val="28"/>
          <w:highlight w:val="none"/>
          <w:lang w:val="en-US" w:eastAsia="zh-CN"/>
          <w14:textFill>
            <w14:solidFill>
              <w14:schemeClr w14:val="tx1"/>
            </w14:solidFill>
          </w14:textFill>
        </w:rPr>
        <w:t>22</w:t>
      </w:r>
      <w:r>
        <w:rPr>
          <w:rFonts w:hint="eastAsia" w:ascii="宋体" w:hAnsi="宋体" w:eastAsia="宋体" w:cs="宋体"/>
          <w:color w:val="000000" w:themeColor="text1"/>
          <w:sz w:val="28"/>
          <w:highlight w:val="none"/>
          <w14:textFill>
            <w14:solidFill>
              <w14:schemeClr w14:val="tx1"/>
            </w14:solidFill>
          </w14:textFill>
        </w:rPr>
        <w:t>日。</w:t>
      </w:r>
    </w:p>
    <w:p w14:paraId="1C02EC9F">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96" w:name="_Toc313453430"/>
      <w:bookmarkStart w:id="97" w:name="_Toc16706"/>
      <w:bookmarkStart w:id="98" w:name="_Toc335926135"/>
      <w:bookmarkStart w:id="99" w:name="_Toc19366"/>
      <w:bookmarkStart w:id="100" w:name="_Toc30288"/>
      <w:r>
        <w:rPr>
          <w:rFonts w:hint="eastAsia" w:ascii="宋体" w:hAnsi="宋体" w:eastAsia="宋体" w:cs="宋体"/>
          <w:color w:val="000000" w:themeColor="text1"/>
          <w14:textFill>
            <w14:solidFill>
              <w14:schemeClr w14:val="tx1"/>
            </w14:solidFill>
          </w14:textFill>
        </w:rPr>
        <w:t>1.7</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评价报告使用权声明</w:t>
      </w:r>
      <w:bookmarkEnd w:id="96"/>
      <w:bookmarkEnd w:id="97"/>
      <w:bookmarkEnd w:id="98"/>
      <w:bookmarkEnd w:id="99"/>
      <w:bookmarkEnd w:id="100"/>
    </w:p>
    <w:p w14:paraId="23E7B2D9">
      <w:pPr>
        <w:pageBreakBefore w:val="0"/>
        <w:widowControl w:val="0"/>
        <w:kinsoku/>
        <w:wordWrap/>
        <w:overflowPunct/>
        <w:topLinePunct w:val="0"/>
        <w:autoSpaceDE/>
        <w:autoSpaceDN/>
        <w:bidi w:val="0"/>
        <w:adjustRightInd w:val="0"/>
        <w:snapToGrid w:val="0"/>
        <w:spacing w:line="520" w:lineRule="exact"/>
        <w:ind w:right="-101" w:rightChars="-42"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评价报告是受</w:t>
      </w:r>
      <w:r>
        <w:rPr>
          <w:rFonts w:hint="eastAsia" w:ascii="宋体" w:hAnsi="宋体" w:eastAsia="宋体" w:cs="宋体"/>
          <w:color w:val="000000" w:themeColor="text1"/>
          <w:sz w:val="28"/>
          <w:szCs w:val="28"/>
          <w:lang w:val="en-US" w:eastAsia="zh-CN"/>
          <w14:textFill>
            <w14:solidFill>
              <w14:schemeClr w14:val="tx1"/>
            </w14:solidFill>
          </w14:textFill>
        </w:rPr>
        <w:t>玉溪市明哲数控科技有限公司</w:t>
      </w:r>
      <w:r>
        <w:rPr>
          <w:rFonts w:hint="eastAsia" w:ascii="宋体" w:hAnsi="宋体" w:eastAsia="宋体" w:cs="宋体"/>
          <w:color w:val="000000" w:themeColor="text1"/>
          <w:sz w:val="28"/>
          <w:szCs w:val="28"/>
          <w14:textFill>
            <w14:solidFill>
              <w14:schemeClr w14:val="tx1"/>
            </w14:solidFill>
          </w14:textFill>
        </w:rPr>
        <w:t>委托而编制的，专属委托方使用。除按规定上报各级应急管理部门外，</w:t>
      </w:r>
      <w:r>
        <w:rPr>
          <w:rFonts w:hint="eastAsia" w:ascii="宋体" w:hAnsi="宋体" w:eastAsia="宋体" w:cs="宋体"/>
          <w:color w:val="000000" w:themeColor="text1"/>
          <w:sz w:val="28"/>
          <w:szCs w:val="28"/>
          <w:lang w:val="en-US" w:eastAsia="zh-CN"/>
          <w14:textFill>
            <w14:solidFill>
              <w14:schemeClr w14:val="tx1"/>
            </w14:solidFill>
          </w14:textFill>
        </w:rPr>
        <w:t>昭通市鼎安科技有限公司</w:t>
      </w:r>
      <w:r>
        <w:rPr>
          <w:rFonts w:hint="eastAsia" w:ascii="宋体" w:hAnsi="宋体" w:eastAsia="宋体" w:cs="宋体"/>
          <w:color w:val="000000" w:themeColor="text1"/>
          <w:sz w:val="28"/>
          <w:szCs w:val="28"/>
          <w14:textFill>
            <w14:solidFill>
              <w14:schemeClr w14:val="tx1"/>
            </w14:solidFill>
          </w14:textFill>
        </w:rPr>
        <w:t>不会将本评价报告内容向其它任何单位和个人提供，也不会将本评价报告的全部或部份内容，在媒体上或以其它形式公开发表（安全评价技术研究成果除外）。</w:t>
      </w:r>
    </w:p>
    <w:p w14:paraId="2DCC8FDD">
      <w:pPr>
        <w:pageBreakBefore w:val="0"/>
        <w:widowControl w:val="0"/>
        <w:kinsoku/>
        <w:wordWrap/>
        <w:overflowPunct/>
        <w:topLinePunct w:val="0"/>
        <w:autoSpaceDE/>
        <w:autoSpaceDN/>
        <w:bidi w:val="0"/>
        <w:snapToGrid w:val="0"/>
        <w:spacing w:beforeLines="0" w:afterLines="0"/>
        <w:ind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sectPr>
          <w:footerReference r:id="rId6" w:type="default"/>
          <w:pgSz w:w="11906" w:h="16838"/>
          <w:pgMar w:top="1587" w:right="1701" w:bottom="1701" w:left="1701" w:header="851" w:footer="992" w:gutter="0"/>
          <w:pgBorders>
            <w:top w:val="none" w:sz="0" w:space="0"/>
            <w:left w:val="none" w:sz="0" w:space="0"/>
            <w:bottom w:val="none" w:sz="0" w:space="0"/>
            <w:right w:val="none" w:sz="0" w:space="0"/>
          </w:pgBorders>
          <w:pgNumType w:fmt="decimal" w:start="1"/>
          <w:cols w:space="720" w:num="1"/>
          <w:docGrid w:type="lines" w:linePitch="330" w:charSpace="0"/>
        </w:sectPr>
      </w:pPr>
    </w:p>
    <w:p w14:paraId="5B30AD5A">
      <w:pPr>
        <w:pStyle w:val="3"/>
        <w:keepNext/>
        <w:keepLines/>
        <w:pageBreakBefore w:val="0"/>
        <w:widowControl w:val="0"/>
        <w:kinsoku/>
        <w:wordWrap/>
        <w:overflowPunct/>
        <w:topLinePunct w:val="0"/>
        <w:autoSpaceDE/>
        <w:autoSpaceDN/>
        <w:bidi w:val="0"/>
        <w:adjustRightInd/>
        <w:snapToGrid w:val="0"/>
        <w:spacing w:before="100" w:beforeAutospacing="1" w:after="100" w:afterAutospacing="1"/>
        <w:textAlignment w:val="auto"/>
        <w:rPr>
          <w:rFonts w:hint="eastAsia" w:ascii="宋体" w:hAnsi="宋体" w:eastAsia="宋体" w:cs="宋体"/>
          <w:color w:val="000000" w:themeColor="text1"/>
          <w14:textFill>
            <w14:solidFill>
              <w14:schemeClr w14:val="tx1"/>
            </w14:solidFill>
          </w14:textFill>
        </w:rPr>
      </w:pPr>
      <w:bookmarkStart w:id="101" w:name="_Toc172174191"/>
      <w:bookmarkStart w:id="102" w:name="_Toc209840617"/>
      <w:bookmarkStart w:id="103" w:name="_Toc313453431"/>
      <w:bookmarkStart w:id="104" w:name="_Toc335926136"/>
      <w:bookmarkStart w:id="105" w:name="_Toc19228"/>
      <w:bookmarkStart w:id="106" w:name="_Toc6063"/>
      <w:bookmarkStart w:id="107" w:name="_Toc27871"/>
      <w:r>
        <w:rPr>
          <w:rFonts w:hint="eastAsia" w:ascii="宋体" w:hAnsi="宋体" w:eastAsia="宋体" w:cs="宋体"/>
          <w:color w:val="000000" w:themeColor="text1"/>
          <w14:textFill>
            <w14:solidFill>
              <w14:schemeClr w14:val="tx1"/>
            </w14:solidFill>
          </w14:textFill>
        </w:rPr>
        <w:t>第2章 企业及项目概况</w:t>
      </w:r>
      <w:bookmarkEnd w:id="101"/>
      <w:bookmarkEnd w:id="102"/>
      <w:bookmarkEnd w:id="103"/>
      <w:bookmarkEnd w:id="104"/>
      <w:bookmarkEnd w:id="105"/>
      <w:bookmarkEnd w:id="106"/>
      <w:bookmarkEnd w:id="107"/>
    </w:p>
    <w:p w14:paraId="3DD14FA1">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pPr>
      <w:bookmarkStart w:id="108" w:name="_Toc209840618"/>
      <w:bookmarkStart w:id="109" w:name="_Toc335926137"/>
      <w:bookmarkStart w:id="110" w:name="_Toc172174192"/>
      <w:bookmarkStart w:id="111" w:name="_Toc21222"/>
      <w:bookmarkStart w:id="112" w:name="_Toc313453432"/>
      <w:bookmarkStart w:id="113" w:name="_Toc29053"/>
      <w:bookmarkStart w:id="114" w:name="_Toc21728"/>
      <w:r>
        <w:rPr>
          <w:rFonts w:hint="eastAsia" w:ascii="宋体" w:hAnsi="宋体" w:eastAsia="宋体" w:cs="宋体"/>
          <w:color w:val="000000" w:themeColor="text1"/>
          <w14:textFill>
            <w14:solidFill>
              <w14:schemeClr w14:val="tx1"/>
            </w14:solidFill>
          </w14:textFill>
        </w:rPr>
        <w:t>2.1</w:t>
      </w:r>
      <w:bookmarkEnd w:id="108"/>
      <w:bookmarkEnd w:id="109"/>
      <w:bookmarkEnd w:id="110"/>
      <w:bookmarkEnd w:id="111"/>
      <w:bookmarkEnd w:id="112"/>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企业</w:t>
      </w:r>
      <w:bookmarkEnd w:id="113"/>
      <w:r>
        <w:rPr>
          <w:rFonts w:hint="eastAsia" w:ascii="宋体" w:hAnsi="宋体" w:eastAsia="宋体" w:cs="宋体"/>
          <w:color w:val="000000" w:themeColor="text1"/>
          <w:lang w:val="en-US" w:eastAsia="zh-CN"/>
          <w14:textFill>
            <w14:solidFill>
              <w14:schemeClr w14:val="tx1"/>
            </w14:solidFill>
          </w14:textFill>
        </w:rPr>
        <w:t>概况</w:t>
      </w:r>
      <w:bookmarkEnd w:id="114"/>
      <w:bookmarkStart w:id="115" w:name="_Toc16953"/>
      <w:bookmarkStart w:id="116" w:name="_Toc309682398"/>
      <w:bookmarkStart w:id="117" w:name="_Toc335926138"/>
      <w:bookmarkStart w:id="118" w:name="_Toc278151340"/>
      <w:bookmarkStart w:id="119" w:name="_Toc327017732"/>
      <w:bookmarkStart w:id="120" w:name="_Toc313453446"/>
    </w:p>
    <w:p w14:paraId="5AB86986">
      <w:pPr>
        <w:pStyle w:val="327"/>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企业名称：</w:t>
      </w:r>
      <w:r>
        <w:rPr>
          <w:rFonts w:hint="eastAsia" w:ascii="宋体" w:hAnsi="宋体" w:eastAsia="宋体" w:cs="宋体"/>
          <w:color w:val="000000" w:themeColor="text1"/>
          <w:sz w:val="28"/>
          <w:szCs w:val="28"/>
          <w:lang w:eastAsia="zh-CN"/>
          <w14:textFill>
            <w14:solidFill>
              <w14:schemeClr w14:val="tx1"/>
            </w14:solidFill>
          </w14:textFill>
        </w:rPr>
        <w:t>玉溪</w:t>
      </w:r>
      <w:r>
        <w:rPr>
          <w:rFonts w:hint="eastAsia" w:ascii="宋体" w:hAnsi="宋体" w:eastAsia="宋体" w:cs="宋体"/>
          <w:color w:val="000000" w:themeColor="text1"/>
          <w:sz w:val="28"/>
          <w:szCs w:val="28"/>
          <w:lang w:val="en-US" w:eastAsia="zh-CN"/>
          <w14:textFill>
            <w14:solidFill>
              <w14:schemeClr w14:val="tx1"/>
            </w14:solidFill>
          </w14:textFill>
        </w:rPr>
        <w:t>市明哲数控科技有限公司</w:t>
      </w:r>
    </w:p>
    <w:p w14:paraId="2CCEA795">
      <w:pPr>
        <w:pStyle w:val="327"/>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社会信用代码：91530402309686223C</w:t>
      </w:r>
    </w:p>
    <w:p w14:paraId="014F944A">
      <w:pPr>
        <w:pStyle w:val="327"/>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法定代表人：</w:t>
      </w:r>
      <w:r>
        <w:rPr>
          <w:rFonts w:hint="eastAsia" w:ascii="宋体" w:hAnsi="宋体" w:eastAsia="宋体" w:cs="宋体"/>
          <w:color w:val="000000" w:themeColor="text1"/>
          <w:sz w:val="28"/>
          <w:szCs w:val="28"/>
          <w:lang w:val="en-US" w:eastAsia="zh-CN"/>
          <w14:textFill>
            <w14:solidFill>
              <w14:schemeClr w14:val="tx1"/>
            </w14:solidFill>
          </w14:textFill>
        </w:rPr>
        <w:t>洪迎东</w:t>
      </w:r>
    </w:p>
    <w:p w14:paraId="49091D16">
      <w:pPr>
        <w:pStyle w:val="327"/>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注册资本：</w:t>
      </w:r>
      <w:r>
        <w:rPr>
          <w:rFonts w:hint="eastAsia" w:ascii="宋体" w:hAnsi="宋体" w:eastAsia="宋体" w:cs="宋体"/>
          <w:color w:val="000000" w:themeColor="text1"/>
          <w:sz w:val="28"/>
          <w:szCs w:val="28"/>
          <w:lang w:val="en-US" w:eastAsia="zh-CN"/>
          <w14:textFill>
            <w14:solidFill>
              <w14:schemeClr w14:val="tx1"/>
            </w14:solidFill>
          </w14:textFill>
        </w:rPr>
        <w:t>伍</w:t>
      </w:r>
      <w:r>
        <w:rPr>
          <w:rFonts w:hint="eastAsia" w:ascii="宋体" w:hAnsi="宋体" w:eastAsia="宋体" w:cs="宋体"/>
          <w:color w:val="000000" w:themeColor="text1"/>
          <w:sz w:val="28"/>
          <w:szCs w:val="28"/>
          <w:lang w:val="en-US" w:eastAsia="zh-CN"/>
          <w14:textFill>
            <w14:solidFill>
              <w14:schemeClr w14:val="tx1"/>
            </w14:solidFill>
          </w14:textFill>
        </w:rPr>
        <w:t>佰万元整</w:t>
      </w:r>
    </w:p>
    <w:p w14:paraId="65B59503">
      <w:pPr>
        <w:pStyle w:val="327"/>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成立日期：20</w:t>
      </w:r>
      <w:r>
        <w:rPr>
          <w:rFonts w:hint="eastAsia" w:ascii="宋体" w:hAnsi="宋体" w:eastAsia="宋体" w:cs="宋体"/>
          <w:color w:val="000000" w:themeColor="text1"/>
          <w:sz w:val="28"/>
          <w:szCs w:val="28"/>
          <w:lang w:val="en-US" w:eastAsia="zh-CN"/>
          <w14:textFill>
            <w14:solidFill>
              <w14:schemeClr w14:val="tx1"/>
            </w14:solidFill>
          </w14:textFill>
        </w:rPr>
        <w:t>14</w:t>
      </w:r>
      <w:r>
        <w:rPr>
          <w:rFonts w:hint="eastAsia" w:ascii="宋体" w:hAnsi="宋体" w:eastAsia="宋体" w:cs="宋体"/>
          <w:color w:val="000000" w:themeColor="text1"/>
          <w:sz w:val="28"/>
          <w:szCs w:val="28"/>
          <w:lang w:val="en-US" w:eastAsia="zh-CN"/>
          <w14:textFill>
            <w14:solidFill>
              <w14:schemeClr w14:val="tx1"/>
            </w14:solidFill>
          </w14:textFill>
        </w:rPr>
        <w:t>年0</w:t>
      </w:r>
      <w:r>
        <w:rPr>
          <w:rFonts w:hint="eastAsia" w:ascii="宋体" w:hAnsi="宋体" w:eastAsia="宋体" w:cs="宋体"/>
          <w:color w:val="000000" w:themeColor="text1"/>
          <w:sz w:val="28"/>
          <w:szCs w:val="28"/>
          <w:lang w:val="en-US" w:eastAsia="zh-CN"/>
          <w14:textFill>
            <w14:solidFill>
              <w14:schemeClr w14:val="tx1"/>
            </w14:solidFill>
          </w14:textFill>
        </w:rPr>
        <w:t>7</w:t>
      </w:r>
      <w:r>
        <w:rPr>
          <w:rFonts w:hint="eastAsia" w:ascii="宋体" w:hAnsi="宋体" w:eastAsia="宋体" w:cs="宋体"/>
          <w:color w:val="000000" w:themeColor="text1"/>
          <w:sz w:val="28"/>
          <w:szCs w:val="28"/>
          <w:lang w:val="en-US" w:eastAsia="zh-CN"/>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31</w:t>
      </w:r>
      <w:r>
        <w:rPr>
          <w:rFonts w:hint="eastAsia" w:ascii="宋体" w:hAnsi="宋体" w:eastAsia="宋体" w:cs="宋体"/>
          <w:color w:val="000000" w:themeColor="text1"/>
          <w:sz w:val="28"/>
          <w:szCs w:val="28"/>
          <w:lang w:val="en-US" w:eastAsia="zh-CN"/>
          <w14:textFill>
            <w14:solidFill>
              <w14:schemeClr w14:val="tx1"/>
            </w14:solidFill>
          </w14:textFill>
        </w:rPr>
        <w:t>日</w:t>
      </w:r>
    </w:p>
    <w:p w14:paraId="47E0E9D9">
      <w:pPr>
        <w:pStyle w:val="327"/>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营业期限：20</w:t>
      </w:r>
      <w:r>
        <w:rPr>
          <w:rFonts w:hint="eastAsia" w:ascii="宋体" w:hAnsi="宋体" w:eastAsia="宋体" w:cs="宋体"/>
          <w:color w:val="000000" w:themeColor="text1"/>
          <w:sz w:val="28"/>
          <w:szCs w:val="28"/>
          <w:lang w:val="en-US" w:eastAsia="zh-CN"/>
          <w14:textFill>
            <w14:solidFill>
              <w14:schemeClr w14:val="tx1"/>
            </w14:solidFill>
          </w14:textFill>
        </w:rPr>
        <w:t>14</w:t>
      </w:r>
      <w:r>
        <w:rPr>
          <w:rFonts w:hint="eastAsia" w:ascii="宋体" w:hAnsi="宋体" w:eastAsia="宋体" w:cs="宋体"/>
          <w:color w:val="000000" w:themeColor="text1"/>
          <w:sz w:val="28"/>
          <w:szCs w:val="28"/>
          <w:lang w:val="en-US" w:eastAsia="zh-CN"/>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07</w:t>
      </w:r>
      <w:r>
        <w:rPr>
          <w:rFonts w:hint="eastAsia" w:ascii="宋体" w:hAnsi="宋体" w:eastAsia="宋体" w:cs="宋体"/>
          <w:color w:val="000000" w:themeColor="text1"/>
          <w:sz w:val="28"/>
          <w:szCs w:val="28"/>
          <w:lang w:val="en-US" w:eastAsia="zh-CN"/>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31</w:t>
      </w:r>
      <w:r>
        <w:rPr>
          <w:rFonts w:hint="eastAsia" w:ascii="宋体" w:hAnsi="宋体" w:eastAsia="宋体" w:cs="宋体"/>
          <w:color w:val="000000" w:themeColor="text1"/>
          <w:sz w:val="28"/>
          <w:szCs w:val="28"/>
          <w:lang w:val="en-US" w:eastAsia="zh-CN"/>
          <w14:textFill>
            <w14:solidFill>
              <w14:schemeClr w14:val="tx1"/>
            </w14:solidFill>
          </w14:textFill>
        </w:rPr>
        <w:t>日  至 2064年07月31日</w:t>
      </w:r>
    </w:p>
    <w:p w14:paraId="6552B976">
      <w:pPr>
        <w:pStyle w:val="327"/>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类    型：有限责任公司（自然人独资）</w:t>
      </w:r>
    </w:p>
    <w:p w14:paraId="702AF1FF">
      <w:pPr>
        <w:pStyle w:val="327"/>
        <w:keepNext w:val="0"/>
        <w:keepLines w:val="0"/>
        <w:pageBreakBefore w:val="0"/>
        <w:widowControl w:val="0"/>
        <w:kinsoku/>
        <w:wordWrap/>
        <w:overflowPunct/>
        <w:topLinePunct w:val="0"/>
        <w:autoSpaceDE/>
        <w:autoSpaceDN/>
        <w:bidi w:val="0"/>
        <w:adjustRightInd/>
        <w:snapToGrid/>
        <w:spacing w:after="0" w:line="50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住所：云南省玉溪市红塔区研和工业园区</w:t>
      </w:r>
      <w:r>
        <w:rPr>
          <w:rFonts w:hint="eastAsia" w:ascii="宋体" w:hAnsi="宋体" w:eastAsia="宋体" w:cs="宋体"/>
          <w:color w:val="000000" w:themeColor="text1"/>
          <w:sz w:val="28"/>
          <w:szCs w:val="28"/>
          <w:lang w:val="en-US" w:eastAsia="zh-CN"/>
          <w14:textFill>
            <w14:solidFill>
              <w14:schemeClr w14:val="tx1"/>
            </w14:solidFill>
          </w14:textFill>
        </w:rPr>
        <w:t>数控机床产业园</w:t>
      </w:r>
    </w:p>
    <w:p w14:paraId="417A1D2E">
      <w:pPr>
        <w:spacing w:line="520" w:lineRule="exact"/>
        <w:ind w:firstLine="560" w:firstLineChars="200"/>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经营范围：</w:t>
      </w:r>
      <w:r>
        <w:rPr>
          <w:rFonts w:hint="eastAsia" w:ascii="宋体" w:hAnsi="宋体" w:eastAsia="宋体" w:cs="宋体"/>
          <w:sz w:val="28"/>
          <w:szCs w:val="28"/>
          <w:lang w:val="en-US" w:eastAsia="zh-CN"/>
        </w:rPr>
        <w:t>数控机床、机床电器、工业数控系统、机电设备、机械设备及零部件的技术研发、销售及技术转让:机床组装、销售。(依法须经批准的项目，经相关部门批准后方可开展经营活动)。</w:t>
      </w:r>
    </w:p>
    <w:bookmarkEnd w:id="115"/>
    <w:bookmarkEnd w:id="116"/>
    <w:bookmarkEnd w:id="117"/>
    <w:bookmarkEnd w:id="118"/>
    <w:bookmarkEnd w:id="119"/>
    <w:p w14:paraId="64715DE7">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121" w:name="_Toc19325"/>
      <w:bookmarkStart w:id="122" w:name="_Toc23292"/>
      <w:bookmarkStart w:id="123" w:name="_Toc29825"/>
      <w:r>
        <w:rPr>
          <w:rFonts w:hint="eastAsia" w:ascii="宋体" w:hAnsi="宋体" w:eastAsia="宋体" w:cs="宋体"/>
          <w:color w:val="000000" w:themeColor="text1"/>
          <w14:textFill>
            <w14:solidFill>
              <w14:schemeClr w14:val="tx1"/>
            </w14:solidFill>
          </w14:textFill>
        </w:rPr>
        <w:t>2.2</w:t>
      </w:r>
      <w:bookmarkEnd w:id="121"/>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项目概况</w:t>
      </w:r>
      <w:bookmarkEnd w:id="122"/>
      <w:bookmarkEnd w:id="123"/>
    </w:p>
    <w:p w14:paraId="00950111">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124" w:name="_Toc30001346"/>
      <w:bookmarkStart w:id="125" w:name="_Toc61474369"/>
      <w:bookmarkStart w:id="126" w:name="_Toc14249"/>
      <w:bookmarkStart w:id="127" w:name="_Toc15217"/>
      <w:bookmarkStart w:id="128" w:name="_Toc28479"/>
      <w:bookmarkStart w:id="129" w:name="_Toc1823"/>
      <w:bookmarkStart w:id="130" w:name="_Toc7844"/>
      <w:r>
        <w:rPr>
          <w:rFonts w:hint="eastAsia" w:ascii="宋体" w:hAnsi="宋体" w:eastAsia="宋体" w:cs="宋体"/>
          <w:color w:val="000000" w:themeColor="text1"/>
          <w14:textFill>
            <w14:solidFill>
              <w14:schemeClr w14:val="tx1"/>
            </w14:solidFill>
          </w14:textFill>
        </w:rPr>
        <w:t>2.2.1项目</w:t>
      </w:r>
      <w:bookmarkEnd w:id="124"/>
      <w:bookmarkEnd w:id="125"/>
      <w:r>
        <w:rPr>
          <w:rFonts w:hint="eastAsia" w:ascii="宋体" w:hAnsi="宋体" w:eastAsia="宋体" w:cs="宋体"/>
          <w:color w:val="000000" w:themeColor="text1"/>
          <w14:textFill>
            <w14:solidFill>
              <w14:schemeClr w14:val="tx1"/>
            </w14:solidFill>
          </w14:textFill>
        </w:rPr>
        <w:t>简介</w:t>
      </w:r>
      <w:bookmarkEnd w:id="126"/>
      <w:bookmarkEnd w:id="127"/>
      <w:bookmarkEnd w:id="128"/>
      <w:bookmarkEnd w:id="129"/>
      <w:bookmarkEnd w:id="130"/>
    </w:p>
    <w:p w14:paraId="16C72669">
      <w:pPr>
        <w:spacing w:line="520" w:lineRule="exact"/>
        <w:ind w:firstLine="560" w:firstLineChars="200"/>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玉溪市明哲数控科技有限公司</w:t>
      </w:r>
      <w:r>
        <w:rPr>
          <w:rFonts w:hint="eastAsia" w:ascii="宋体" w:hAnsi="宋体" w:eastAsia="宋体" w:cs="宋体"/>
          <w:color w:val="000000" w:themeColor="text1"/>
          <w:sz w:val="28"/>
          <w:szCs w:val="28"/>
          <w:lang w:val="en-US" w:eastAsia="zh-CN"/>
          <w14:textFill>
            <w14:solidFill>
              <w14:schemeClr w14:val="tx1"/>
            </w14:solidFill>
          </w14:textFill>
        </w:rPr>
        <w:t>成立于20</w:t>
      </w:r>
      <w:r>
        <w:rPr>
          <w:rFonts w:hint="eastAsia" w:ascii="宋体" w:hAnsi="宋体" w:eastAsia="宋体" w:cs="宋体"/>
          <w:color w:val="000000" w:themeColor="text1"/>
          <w:sz w:val="28"/>
          <w:szCs w:val="28"/>
          <w:lang w:val="en-US" w:eastAsia="zh-CN"/>
          <w14:textFill>
            <w14:solidFill>
              <w14:schemeClr w14:val="tx1"/>
            </w14:solidFill>
          </w14:textFill>
        </w:rPr>
        <w:t>14</w:t>
      </w:r>
      <w:r>
        <w:rPr>
          <w:rFonts w:hint="eastAsia" w:ascii="宋体" w:hAnsi="宋体" w:eastAsia="宋体" w:cs="宋体"/>
          <w:color w:val="000000" w:themeColor="text1"/>
          <w:sz w:val="28"/>
          <w:szCs w:val="28"/>
          <w:lang w:val="en-US" w:eastAsia="zh-CN"/>
          <w14:textFill>
            <w14:solidFill>
              <w14:schemeClr w14:val="tx1"/>
            </w14:solidFill>
          </w14:textFill>
        </w:rPr>
        <w:t>年0</w:t>
      </w:r>
      <w:r>
        <w:rPr>
          <w:rFonts w:hint="eastAsia" w:ascii="宋体" w:hAnsi="宋体" w:eastAsia="宋体" w:cs="宋体"/>
          <w:color w:val="000000" w:themeColor="text1"/>
          <w:sz w:val="28"/>
          <w:szCs w:val="28"/>
          <w:lang w:val="en-US" w:eastAsia="zh-CN"/>
          <w14:textFill>
            <w14:solidFill>
              <w14:schemeClr w14:val="tx1"/>
            </w14:solidFill>
          </w14:textFill>
        </w:rPr>
        <w:t>7</w:t>
      </w:r>
      <w:r>
        <w:rPr>
          <w:rFonts w:hint="eastAsia" w:ascii="宋体" w:hAnsi="宋体" w:eastAsia="宋体" w:cs="宋体"/>
          <w:color w:val="000000" w:themeColor="text1"/>
          <w:sz w:val="28"/>
          <w:szCs w:val="28"/>
          <w:lang w:val="en-US" w:eastAsia="zh-CN"/>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31</w:t>
      </w:r>
      <w:r>
        <w:rPr>
          <w:rFonts w:hint="eastAsia" w:ascii="宋体" w:hAnsi="宋体" w:eastAsia="宋体" w:cs="宋体"/>
          <w:color w:val="000000" w:themeColor="text1"/>
          <w:sz w:val="28"/>
          <w:szCs w:val="28"/>
          <w:lang w:val="en-US" w:eastAsia="zh-CN"/>
          <w14:textFill>
            <w14:solidFill>
              <w14:schemeClr w14:val="tx1"/>
            </w14:solidFill>
          </w14:textFill>
        </w:rPr>
        <w:t>日。公同现</w:t>
      </w:r>
      <w:r>
        <w:rPr>
          <w:rFonts w:hint="eastAsia" w:ascii="宋体" w:hAnsi="宋体" w:eastAsia="宋体" w:cs="宋体"/>
          <w:color w:val="000000" w:themeColor="text1"/>
          <w:sz w:val="28"/>
          <w:szCs w:val="28"/>
          <w:lang w:val="en-US" w:eastAsia="zh-CN"/>
          <w14:textFill>
            <w14:solidFill>
              <w14:schemeClr w14:val="tx1"/>
            </w14:solidFill>
          </w14:textFill>
        </w:rPr>
        <w:t>有完善的机床加工、组装</w:t>
      </w:r>
      <w:r>
        <w:rPr>
          <w:rFonts w:hint="eastAsia" w:ascii="宋体" w:hAnsi="宋体" w:eastAsia="宋体" w:cs="宋体"/>
          <w:color w:val="000000" w:themeColor="text1"/>
          <w:sz w:val="28"/>
          <w:szCs w:val="28"/>
          <w:lang w:val="en-US" w:eastAsia="zh-CN"/>
          <w14:textFill>
            <w14:solidFill>
              <w14:schemeClr w14:val="tx1"/>
            </w14:solidFill>
          </w14:textFill>
        </w:rPr>
        <w:t>生产线一条，主要</w:t>
      </w:r>
      <w:r>
        <w:rPr>
          <w:rFonts w:hint="eastAsia" w:ascii="宋体" w:hAnsi="宋体" w:eastAsia="宋体" w:cs="宋体"/>
          <w:color w:val="000000" w:themeColor="text1"/>
          <w:sz w:val="28"/>
          <w:szCs w:val="28"/>
          <w:lang w:val="en-US" w:eastAsia="zh-CN"/>
          <w14:textFill>
            <w14:solidFill>
              <w14:schemeClr w14:val="tx1"/>
            </w14:solidFill>
          </w14:textFill>
        </w:rPr>
        <w:t>组装、销售数控机床</w:t>
      </w:r>
      <w:r>
        <w:rPr>
          <w:rFonts w:hint="eastAsia" w:ascii="宋体" w:hAnsi="宋体" w:eastAsia="宋体" w:cs="宋体"/>
          <w:color w:val="000000" w:themeColor="text1"/>
          <w:sz w:val="28"/>
          <w:szCs w:val="28"/>
          <w:lang w:val="en-US" w:eastAsia="zh-CN"/>
          <w14:textFill>
            <w14:solidFill>
              <w14:schemeClr w14:val="tx1"/>
            </w14:solidFill>
          </w14:textFill>
        </w:rPr>
        <w:t>等。配套建设</w:t>
      </w:r>
      <w:r>
        <w:rPr>
          <w:rFonts w:hint="eastAsia" w:ascii="宋体" w:hAnsi="宋体" w:eastAsia="宋体" w:cs="宋体"/>
          <w:sz w:val="28"/>
          <w:szCs w:val="28"/>
          <w:highlight w:val="none"/>
        </w:rPr>
        <w:t>有综合管理部、生产部、后勤部</w:t>
      </w:r>
      <w:r>
        <w:rPr>
          <w:rFonts w:hint="eastAsia" w:ascii="宋体" w:hAnsi="宋体" w:eastAsia="宋体" w:cs="宋体"/>
          <w:sz w:val="28"/>
          <w:szCs w:val="28"/>
          <w:highlight w:val="none"/>
          <w:lang w:val="en-US" w:eastAsia="zh-CN"/>
        </w:rPr>
        <w:t>等</w:t>
      </w:r>
      <w:r>
        <w:rPr>
          <w:rFonts w:hint="eastAsia" w:ascii="宋体" w:hAnsi="宋体" w:eastAsia="宋体" w:cs="宋体"/>
          <w:sz w:val="28"/>
          <w:szCs w:val="28"/>
          <w:highlight w:val="none"/>
        </w:rPr>
        <w:t>几个部门，现有职工</w:t>
      </w:r>
      <w:r>
        <w:rPr>
          <w:rFonts w:hint="eastAsia" w:ascii="宋体" w:hAnsi="宋体" w:eastAsia="宋体" w:cs="宋体"/>
          <w:sz w:val="28"/>
          <w:szCs w:val="28"/>
          <w:highlight w:val="none"/>
          <w:lang w:val="en-US" w:eastAsia="zh-CN"/>
        </w:rPr>
        <w:t>14</w:t>
      </w:r>
      <w:r>
        <w:rPr>
          <w:rFonts w:hint="eastAsia" w:ascii="宋体" w:hAnsi="宋体" w:eastAsia="宋体" w:cs="宋体"/>
          <w:sz w:val="28"/>
          <w:szCs w:val="28"/>
          <w:highlight w:val="none"/>
        </w:rPr>
        <w:t>人</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其中管理人员4人。</w:t>
      </w:r>
      <w:r>
        <w:rPr>
          <w:rFonts w:hint="eastAsia" w:ascii="宋体" w:hAnsi="宋体" w:eastAsia="宋体" w:cs="宋体"/>
          <w:color w:val="000000" w:themeColor="text1"/>
          <w:sz w:val="28"/>
          <w:szCs w:val="28"/>
          <w:lang w:val="en-US" w:eastAsia="zh-CN"/>
          <w14:textFill>
            <w14:solidFill>
              <w14:schemeClr w14:val="tx1"/>
            </w14:solidFill>
          </w14:textFill>
        </w:rPr>
        <w:t>公司现有场地位于云南省玉溪市红塔区研和工业园区</w:t>
      </w:r>
      <w:r>
        <w:rPr>
          <w:rFonts w:hint="eastAsia" w:ascii="宋体" w:hAnsi="宋体" w:eastAsia="宋体" w:cs="宋体"/>
          <w:color w:val="000000" w:themeColor="text1"/>
          <w:sz w:val="28"/>
          <w:szCs w:val="28"/>
          <w:lang w:val="en-US" w:eastAsia="zh-CN"/>
          <w14:textFill>
            <w14:solidFill>
              <w14:schemeClr w14:val="tx1"/>
            </w14:solidFill>
          </w14:textFill>
        </w:rPr>
        <w:t>数控机床产业园</w:t>
      </w:r>
      <w:r>
        <w:rPr>
          <w:rFonts w:hint="eastAsia" w:ascii="宋体" w:hAnsi="宋体" w:eastAsia="宋体" w:cs="宋体"/>
          <w:color w:val="000000" w:themeColor="text1"/>
          <w:sz w:val="28"/>
          <w:szCs w:val="28"/>
          <w:lang w:val="en-US" w:eastAsia="zh-CN"/>
          <w14:textFill>
            <w14:solidFill>
              <w14:schemeClr w14:val="tx1"/>
            </w14:solidFill>
          </w14:textFill>
        </w:rPr>
        <w:t>。</w:t>
      </w:r>
    </w:p>
    <w:p w14:paraId="731837C1">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131" w:name="_Toc20298"/>
      <w:bookmarkStart w:id="132" w:name="_Toc335926139"/>
      <w:bookmarkStart w:id="133" w:name="_Toc21644"/>
      <w:bookmarkStart w:id="134" w:name="_Toc5464"/>
      <w:r>
        <w:rPr>
          <w:rFonts w:hint="eastAsia" w:ascii="宋体" w:hAnsi="宋体" w:eastAsia="宋体" w:cs="宋体"/>
          <w:color w:val="000000" w:themeColor="text1"/>
          <w14:textFill>
            <w14:solidFill>
              <w14:schemeClr w14:val="tx1"/>
            </w14:solidFill>
          </w14:textFill>
        </w:rPr>
        <w:t>2.2.</w:t>
      </w:r>
      <w:r>
        <w:rPr>
          <w:rFonts w:hint="eastAsia" w:ascii="宋体" w:hAnsi="宋体" w:eastAsia="宋体" w:cs="宋体"/>
          <w:color w:val="000000" w:themeColor="text1"/>
          <w:lang w:val="en-US" w:eastAsia="zh-CN"/>
          <w14:textFill>
            <w14:solidFill>
              <w14:schemeClr w14:val="tx1"/>
            </w14:solidFill>
          </w14:textFill>
        </w:rPr>
        <w:t xml:space="preserve">2 </w:t>
      </w:r>
      <w:r>
        <w:rPr>
          <w:rFonts w:hint="eastAsia" w:ascii="宋体" w:hAnsi="宋体" w:eastAsia="宋体" w:cs="宋体"/>
          <w:color w:val="000000" w:themeColor="text1"/>
          <w14:textFill>
            <w14:solidFill>
              <w14:schemeClr w14:val="tx1"/>
            </w14:solidFill>
          </w14:textFill>
        </w:rPr>
        <w:t>项目地理位置</w:t>
      </w:r>
      <w:bookmarkEnd w:id="120"/>
      <w:bookmarkEnd w:id="131"/>
      <w:bookmarkEnd w:id="132"/>
      <w:bookmarkEnd w:id="133"/>
      <w:bookmarkEnd w:id="134"/>
    </w:p>
    <w:p w14:paraId="684F5A64">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玉溪市，云南省辖地级市，位于云南省中部，地理坐标处于北纬23°19′～24°53′、 东经101°16′～103°09′6之间。北接省会昆明市，西南连普洱市，东南邻红河哈尼族彝族自治州，西北靠楚雄彝族自治州，全市面积约1.5万平方公里。</w:t>
      </w:r>
      <w:r>
        <w:rPr>
          <w:rFonts w:hint="eastAsia" w:ascii="宋体" w:hAnsi="宋体" w:eastAsia="宋体" w:cs="宋体"/>
          <w:sz w:val="28"/>
          <w:szCs w:val="28"/>
          <w:highlight w:val="none"/>
        </w:rPr>
        <w:t>研和街道，隶属于</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"https://baike.baidu.com/item/%E4%BA%91%E5%8D%97%E7%9C%81/18664752?fromModule=lemma_inlink"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云南省</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"https://baike.baidu.com/item/%E7%8E%89%E6%BA%AA%E5%B8%82/744471?fromModule=lemma_inlink"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玉溪市</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红塔区，地处</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"https://baike.baidu.com/item/%E7%BA%A2%E5%A1%94%E5%8C%BA/1166754?fromModule=lemma_inlink"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红塔区</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南部，东与</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"https://baike.baidu.com/item/%E9%80%9A%E6%B5%B7%E5%8E%BF/5368305?fromModule=lemma_inlink"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通海县</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相连，南与</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"https://baike.baidu.com/item/%E5%B3%A8%E5%B1%B1%E5%BD%9D%E6%97%8F%E8%87%AA%E6%B2%BB%E5%8E%BF/10538635?fromModule=lemma_inlink"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峨山彝族自治县</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为邻，西倚</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"https://baike.baidu.com/item/%E5%A4%A7%E8%90%A5%E8%A1%97%E8%A1%97%E9%81%93/12017092?fromModule=lemma_inlink"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大营街街道</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，北与</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"https://baike.baidu.com/item/%E9%AB%98%E4%BB%93%E8%A1%97%E9%81%93/12017145?fromModule=lemma_inlink"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高仓街道</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接壤，研和街道办事处北距玉溪市区15千米，北距省会昆明100余千米，区域总面积131.63平方千米， 截至2011年末，研和街道总人口45957人。</w:t>
      </w:r>
    </w:p>
    <w:p w14:paraId="4AD194B0">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kern w:val="2"/>
          <w:sz w:val="28"/>
          <w:szCs w:val="28"/>
          <w:highlight w:val="none"/>
          <w:lang w:val="en-US" w:eastAsia="zh-CN" w:bidi="ar-SA"/>
        </w:rPr>
        <w:t>玉溪国家高新技术产业开发区位于玉溪市西南部，该项目位于</w:t>
      </w:r>
      <w:r>
        <w:rPr>
          <w:rFonts w:hint="eastAsia" w:ascii="宋体" w:hAnsi="宋体" w:eastAsia="宋体" w:cs="宋体"/>
          <w:kern w:val="2"/>
          <w:sz w:val="28"/>
          <w:szCs w:val="28"/>
          <w:highlight w:val="none"/>
          <w:lang w:val="en-US" w:eastAsia="zh-CN" w:bidi="ar-SA"/>
        </w:rPr>
        <w:t>云南省</w:t>
      </w:r>
      <w:r>
        <w:rPr>
          <w:rFonts w:hint="eastAsia" w:ascii="宋体" w:hAnsi="宋体" w:eastAsia="宋体" w:cs="宋体"/>
          <w:kern w:val="2"/>
          <w:sz w:val="28"/>
          <w:szCs w:val="28"/>
          <w:highlight w:val="none"/>
          <w:lang w:val="en-US" w:eastAsia="zh-CN" w:bidi="ar-SA"/>
        </w:rPr>
        <w:t>玉溪</w:t>
      </w:r>
      <w:r>
        <w:rPr>
          <w:rFonts w:hint="eastAsia" w:ascii="宋体" w:hAnsi="宋体" w:eastAsia="宋体" w:cs="宋体"/>
          <w:kern w:val="2"/>
          <w:sz w:val="28"/>
          <w:szCs w:val="28"/>
          <w:highlight w:val="none"/>
          <w:lang w:val="en-US" w:eastAsia="zh-CN" w:bidi="ar-SA"/>
        </w:rPr>
        <w:t>市红塔工业园区数控机床产业园</w:t>
      </w:r>
      <w:r>
        <w:rPr>
          <w:rFonts w:hint="eastAsia" w:ascii="宋体" w:hAnsi="宋体" w:eastAsia="宋体" w:cs="宋体"/>
          <w:kern w:val="2"/>
          <w:sz w:val="28"/>
          <w:szCs w:val="28"/>
          <w:highlight w:val="none"/>
          <w:lang w:val="en-US" w:eastAsia="zh-CN" w:bidi="ar-SA"/>
        </w:rPr>
        <w:t>；距离项目最近的高速为昆磨高速及</w:t>
      </w:r>
      <w:r>
        <w:rPr>
          <w:rFonts w:hint="eastAsia" w:ascii="宋体" w:hAnsi="宋体" w:eastAsia="宋体" w:cs="宋体"/>
          <w:kern w:val="2"/>
          <w:sz w:val="28"/>
          <w:szCs w:val="28"/>
          <w:highlight w:val="none"/>
          <w:lang w:val="en-US" w:eastAsia="zh-CN" w:bidi="ar-SA"/>
        </w:rPr>
        <w:t>S</w:t>
      </w:r>
      <w:r>
        <w:rPr>
          <w:rFonts w:hint="eastAsia" w:ascii="宋体" w:hAnsi="宋体" w:eastAsia="宋体" w:cs="宋体"/>
          <w:kern w:val="2"/>
          <w:sz w:val="28"/>
          <w:szCs w:val="28"/>
          <w:highlight w:val="none"/>
          <w:lang w:val="en-US" w:eastAsia="zh-CN" w:bidi="ar-SA"/>
        </w:rPr>
        <w:t>102省</w:t>
      </w:r>
      <w:r>
        <w:rPr>
          <w:rFonts w:hint="eastAsia" w:ascii="宋体" w:hAnsi="宋体" w:eastAsia="宋体" w:cs="宋体"/>
          <w:kern w:val="2"/>
          <w:sz w:val="28"/>
          <w:szCs w:val="28"/>
          <w:highlight w:val="none"/>
          <w:lang w:val="en-US" w:eastAsia="zh-CN" w:bidi="ar-SA"/>
        </w:rPr>
        <w:t>道，厂区出入口道路与</w:t>
      </w:r>
      <w:r>
        <w:rPr>
          <w:rFonts w:hint="eastAsia" w:ascii="宋体" w:hAnsi="宋体" w:eastAsia="宋体" w:cs="宋体"/>
          <w:kern w:val="2"/>
          <w:sz w:val="28"/>
          <w:szCs w:val="28"/>
          <w:highlight w:val="none"/>
          <w:lang w:val="en-US" w:eastAsia="zh-CN" w:bidi="ar-SA"/>
        </w:rPr>
        <w:t>S</w:t>
      </w:r>
      <w:r>
        <w:rPr>
          <w:rFonts w:hint="eastAsia" w:ascii="宋体" w:hAnsi="宋体" w:eastAsia="宋体" w:cs="宋体"/>
          <w:kern w:val="2"/>
          <w:sz w:val="28"/>
          <w:szCs w:val="28"/>
          <w:highlight w:val="none"/>
          <w:lang w:val="en-US" w:eastAsia="zh-CN" w:bidi="ar-SA"/>
        </w:rPr>
        <w:t>102省道</w:t>
      </w:r>
      <w:r>
        <w:rPr>
          <w:rFonts w:hint="eastAsia" w:ascii="宋体" w:hAnsi="宋体" w:eastAsia="宋体" w:cs="宋体"/>
          <w:kern w:val="2"/>
          <w:sz w:val="28"/>
          <w:szCs w:val="28"/>
          <w:highlight w:val="none"/>
          <w:lang w:val="en-US" w:eastAsia="zh-CN" w:bidi="ar-SA"/>
        </w:rPr>
        <w:t>相连接，交通便利。中心地理坐标为</w:t>
      </w:r>
      <w:r>
        <w:rPr>
          <w:rFonts w:hint="eastAsia" w:ascii="宋体" w:hAnsi="宋体" w:eastAsia="宋体" w:cs="宋体"/>
          <w:kern w:val="2"/>
          <w:sz w:val="28"/>
          <w:szCs w:val="28"/>
          <w:highlight w:val="none"/>
          <w:lang w:val="en-US" w:eastAsia="zh-CN" w:bidi="ar-SA"/>
        </w:rPr>
        <w:t>东经：102°</w:t>
      </w:r>
      <w:r>
        <w:rPr>
          <w:rFonts w:hint="eastAsia" w:ascii="宋体" w:hAnsi="宋体" w:eastAsia="宋体" w:cs="宋体"/>
          <w:kern w:val="2"/>
          <w:sz w:val="28"/>
          <w:szCs w:val="28"/>
          <w:highlight w:val="none"/>
          <w:lang w:val="en-US" w:eastAsia="zh-CN" w:bidi="ar-SA"/>
        </w:rPr>
        <w:t>29</w:t>
      </w:r>
      <w:r>
        <w:rPr>
          <w:rFonts w:hint="eastAsia" w:ascii="宋体" w:hAnsi="宋体" w:eastAsia="宋体" w:cs="宋体"/>
          <w:kern w:val="2"/>
          <w:sz w:val="28"/>
          <w:szCs w:val="28"/>
          <w:highlight w:val="none"/>
          <w:lang w:val="en-US" w:eastAsia="zh-CN" w:bidi="ar-SA"/>
        </w:rPr>
        <w:t>′</w:t>
      </w:r>
      <w:r>
        <w:rPr>
          <w:rFonts w:hint="eastAsia" w:ascii="宋体" w:hAnsi="宋体" w:eastAsia="宋体" w:cs="宋体"/>
          <w:kern w:val="2"/>
          <w:sz w:val="28"/>
          <w:szCs w:val="28"/>
          <w:highlight w:val="none"/>
          <w:lang w:val="en-US" w:eastAsia="zh-CN" w:bidi="ar-SA"/>
        </w:rPr>
        <w:t>0</w:t>
      </w:r>
      <w:r>
        <w:rPr>
          <w:rFonts w:hint="eastAsia" w:ascii="宋体" w:hAnsi="宋体" w:eastAsia="宋体" w:cs="宋体"/>
          <w:kern w:val="2"/>
          <w:sz w:val="28"/>
          <w:szCs w:val="28"/>
          <w:highlight w:val="none"/>
          <w:lang w:val="en-US" w:eastAsia="zh-CN" w:bidi="ar-SA"/>
        </w:rPr>
        <w:t>5</w:t>
      </w:r>
      <w:r>
        <w:rPr>
          <w:rFonts w:hint="eastAsia" w:ascii="宋体" w:hAnsi="宋体" w:eastAsia="宋体" w:cs="宋体"/>
          <w:kern w:val="2"/>
          <w:sz w:val="28"/>
          <w:szCs w:val="28"/>
          <w:highlight w:val="none"/>
          <w:lang w:val="en-US" w:eastAsia="zh-CN" w:bidi="ar-SA"/>
        </w:rPr>
        <w:t>″</w:t>
      </w:r>
      <w:r>
        <w:rPr>
          <w:rFonts w:hint="eastAsia" w:ascii="宋体" w:hAnsi="宋体" w:eastAsia="宋体" w:cs="宋体"/>
          <w:kern w:val="2"/>
          <w:sz w:val="28"/>
          <w:szCs w:val="28"/>
          <w:highlight w:val="none"/>
          <w:lang w:val="en-US" w:eastAsia="zh-CN" w:bidi="ar-SA"/>
        </w:rPr>
        <w:t>，</w:t>
      </w:r>
      <w:r>
        <w:rPr>
          <w:rFonts w:hint="eastAsia" w:ascii="宋体" w:hAnsi="宋体" w:eastAsia="宋体" w:cs="宋体"/>
          <w:kern w:val="2"/>
          <w:sz w:val="28"/>
          <w:szCs w:val="28"/>
          <w:highlight w:val="none"/>
          <w:lang w:val="en-US" w:eastAsia="zh-CN" w:bidi="ar-SA"/>
        </w:rPr>
        <w:t>北纬：</w:t>
      </w:r>
      <w:r>
        <w:rPr>
          <w:rFonts w:hint="eastAsia" w:ascii="宋体" w:hAnsi="宋体" w:eastAsia="宋体" w:cs="宋体"/>
          <w:kern w:val="2"/>
          <w:sz w:val="28"/>
          <w:szCs w:val="28"/>
          <w:highlight w:val="none"/>
          <w:lang w:val="en-US" w:eastAsia="zh-CN" w:bidi="ar-SA"/>
        </w:rPr>
        <w:t>24°</w:t>
      </w:r>
      <w:r>
        <w:rPr>
          <w:rFonts w:hint="eastAsia" w:ascii="宋体" w:hAnsi="宋体" w:eastAsia="宋体" w:cs="宋体"/>
          <w:kern w:val="2"/>
          <w:sz w:val="28"/>
          <w:szCs w:val="28"/>
          <w:highlight w:val="none"/>
          <w:lang w:val="en-US" w:eastAsia="zh-CN" w:bidi="ar-SA"/>
        </w:rPr>
        <w:t>12</w:t>
      </w:r>
      <w:r>
        <w:rPr>
          <w:rFonts w:hint="eastAsia" w:ascii="宋体" w:hAnsi="宋体" w:eastAsia="宋体" w:cs="宋体"/>
          <w:kern w:val="2"/>
          <w:sz w:val="28"/>
          <w:szCs w:val="28"/>
          <w:highlight w:val="none"/>
          <w:lang w:val="en-US" w:eastAsia="zh-CN" w:bidi="ar-SA"/>
        </w:rPr>
        <w:t>′</w:t>
      </w:r>
      <w:r>
        <w:rPr>
          <w:rFonts w:hint="eastAsia" w:ascii="宋体" w:hAnsi="宋体" w:eastAsia="宋体" w:cs="宋体"/>
          <w:kern w:val="2"/>
          <w:sz w:val="28"/>
          <w:szCs w:val="28"/>
          <w:highlight w:val="none"/>
          <w:lang w:val="en-US" w:eastAsia="zh-CN" w:bidi="ar-SA"/>
        </w:rPr>
        <w:t>53</w:t>
      </w:r>
      <w:r>
        <w:rPr>
          <w:rFonts w:hint="eastAsia" w:ascii="宋体" w:hAnsi="宋体" w:eastAsia="宋体" w:cs="宋体"/>
          <w:kern w:val="2"/>
          <w:sz w:val="28"/>
          <w:szCs w:val="28"/>
          <w:highlight w:val="none"/>
          <w:lang w:val="en-US" w:eastAsia="zh-CN" w:bidi="ar-SA"/>
        </w:rPr>
        <w:t>″</w:t>
      </w:r>
      <w:r>
        <w:rPr>
          <w:rFonts w:hint="eastAsia" w:ascii="宋体" w:hAnsi="宋体" w:eastAsia="宋体" w:cs="宋体"/>
          <w:kern w:val="2"/>
          <w:sz w:val="28"/>
          <w:szCs w:val="28"/>
          <w:highlight w:val="none"/>
          <w:lang w:val="en-US" w:eastAsia="zh-CN" w:bidi="ar-SA"/>
        </w:rPr>
        <w:t>。</w:t>
      </w:r>
      <w:r>
        <w:rPr>
          <w:rFonts w:hint="eastAsia" w:ascii="宋体" w:hAnsi="宋体" w:eastAsia="宋体" w:cs="宋体"/>
          <w:color w:val="000000" w:themeColor="text1"/>
          <w:sz w:val="28"/>
          <w:szCs w:val="28"/>
          <w14:textFill>
            <w14:solidFill>
              <w14:schemeClr w14:val="tx1"/>
            </w14:solidFill>
          </w14:textFill>
        </w:rPr>
        <w:t>项目地理位置见</w:t>
      </w:r>
      <w:r>
        <w:rPr>
          <w:rFonts w:hint="eastAsia" w:ascii="宋体" w:hAnsi="宋体" w:eastAsia="宋体" w:cs="宋体"/>
          <w:color w:val="000000" w:themeColor="text1"/>
          <w:spacing w:val="-8"/>
          <w:sz w:val="28"/>
          <w:szCs w:val="28"/>
          <w:lang w:eastAsia="zh-CN"/>
          <w14:textFill>
            <w14:solidFill>
              <w14:schemeClr w14:val="tx1"/>
            </w14:solidFill>
          </w14:textFill>
        </w:rPr>
        <w:t>详</w:t>
      </w:r>
      <w:r>
        <w:rPr>
          <w:rFonts w:hint="eastAsia" w:ascii="宋体" w:hAnsi="宋体" w:eastAsia="宋体" w:cs="宋体"/>
          <w:color w:val="000000" w:themeColor="text1"/>
          <w:spacing w:val="-8"/>
          <w:sz w:val="28"/>
          <w:szCs w:val="28"/>
          <w14:textFill>
            <w14:solidFill>
              <w14:schemeClr w14:val="tx1"/>
            </w14:solidFill>
          </w14:textFill>
        </w:rPr>
        <w:t xml:space="preserve">见图 </w:t>
      </w:r>
      <w:r>
        <w:rPr>
          <w:rFonts w:hint="eastAsia" w:ascii="宋体" w:hAnsi="宋体" w:eastAsia="宋体" w:cs="宋体"/>
          <w:color w:val="000000" w:themeColor="text1"/>
          <w:spacing w:val="-8"/>
          <w:sz w:val="28"/>
          <w:szCs w:val="28"/>
          <w:lang w:val="en-US" w:eastAsia="zh-CN"/>
          <w14:textFill>
            <w14:solidFill>
              <w14:schemeClr w14:val="tx1"/>
            </w14:solidFill>
          </w14:textFill>
        </w:rPr>
        <w:t>2</w:t>
      </w:r>
      <w:r>
        <w:rPr>
          <w:rFonts w:hint="eastAsia" w:ascii="宋体" w:hAnsi="宋体" w:eastAsia="宋体" w:cs="宋体"/>
          <w:color w:val="000000" w:themeColor="text1"/>
          <w:spacing w:val="-8"/>
          <w:sz w:val="28"/>
          <w:szCs w:val="28"/>
          <w14:textFill>
            <w14:solidFill>
              <w14:schemeClr w14:val="tx1"/>
            </w14:solidFill>
          </w14:textFill>
        </w:rPr>
        <w:t>-1。</w:t>
      </w:r>
    </w:p>
    <w:p w14:paraId="07B7984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rPr>
        <w:drawing>
          <wp:inline distT="0" distB="0" distL="114300" distR="114300">
            <wp:extent cx="5408295" cy="3596640"/>
            <wp:effectExtent l="0" t="0" r="1905" b="0"/>
            <wp:docPr id="1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3"/>
                    <pic:cNvPicPr>
                      <a:picLocks noChangeAspect="1"/>
                    </pic:cNvPicPr>
                  </pic:nvPicPr>
                  <pic:blipFill>
                    <a:blip r:embed="rId12"/>
                    <a:stretch>
                      <a:fillRect/>
                    </a:stretch>
                  </pic:blipFill>
                  <pic:spPr>
                    <a:xfrm>
                      <a:off x="0" y="0"/>
                      <a:ext cx="5408295" cy="3596640"/>
                    </a:xfrm>
                    <a:prstGeom prst="rect">
                      <a:avLst/>
                    </a:prstGeom>
                    <a:noFill/>
                    <a:ln>
                      <a:noFill/>
                    </a:ln>
                  </pic:spPr>
                </pic:pic>
              </a:graphicData>
            </a:graphic>
          </wp:inline>
        </w:drawing>
      </w:r>
    </w:p>
    <w:p w14:paraId="1429B9B9">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center"/>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图2-1 项目交通位置图</w:t>
      </w:r>
    </w:p>
    <w:p w14:paraId="13B62C47">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135" w:name="_Toc313453448"/>
      <w:bookmarkStart w:id="136" w:name="_Toc335926141"/>
      <w:bookmarkStart w:id="137" w:name="_Toc19442"/>
      <w:bookmarkStart w:id="138" w:name="_Toc24917"/>
      <w:bookmarkStart w:id="139" w:name="_Toc172174199"/>
      <w:r>
        <w:rPr>
          <w:rFonts w:hint="eastAsia" w:ascii="宋体" w:hAnsi="宋体" w:eastAsia="宋体" w:cs="宋体"/>
          <w:color w:val="000000" w:themeColor="text1"/>
          <w14:textFill>
            <w14:solidFill>
              <w14:schemeClr w14:val="tx1"/>
            </w14:solidFill>
          </w14:textFill>
        </w:rPr>
        <w:t>2.2.</w:t>
      </w:r>
      <w:r>
        <w:rPr>
          <w:rFonts w:hint="eastAsia" w:ascii="宋体" w:hAnsi="宋体" w:eastAsia="宋体" w:cs="宋体"/>
          <w:color w:val="000000" w:themeColor="text1"/>
          <w:lang w:val="en-US" w:eastAsia="zh-CN"/>
          <w14:textFill>
            <w14:solidFill>
              <w14:schemeClr w14:val="tx1"/>
            </w14:solidFill>
          </w14:textFill>
        </w:rPr>
        <w:t xml:space="preserve">3 </w:t>
      </w:r>
      <w:r>
        <w:rPr>
          <w:rFonts w:hint="eastAsia" w:ascii="宋体" w:hAnsi="宋体" w:eastAsia="宋体" w:cs="宋体"/>
          <w:color w:val="000000" w:themeColor="text1"/>
          <w:highlight w:val="none"/>
          <w14:textFill>
            <w14:solidFill>
              <w14:schemeClr w14:val="tx1"/>
            </w14:solidFill>
          </w14:textFill>
        </w:rPr>
        <w:t>项目周边情况</w:t>
      </w:r>
      <w:bookmarkEnd w:id="135"/>
      <w:bookmarkEnd w:id="136"/>
      <w:bookmarkEnd w:id="137"/>
      <w:bookmarkEnd w:id="138"/>
    </w:p>
    <w:p w14:paraId="40CE583D">
      <w:pPr>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厂界</w:t>
      </w:r>
      <w:r>
        <w:rPr>
          <w:rFonts w:hint="eastAsia" w:ascii="宋体" w:hAnsi="宋体" w:eastAsia="宋体" w:cs="宋体"/>
          <w:b w:val="0"/>
          <w:bCs w:val="0"/>
          <w:color w:val="000000" w:themeColor="text1"/>
          <w:sz w:val="28"/>
          <w:szCs w:val="28"/>
          <w:lang w:val="en-US" w:eastAsia="zh-CN"/>
          <w14:textFill>
            <w14:solidFill>
              <w14:schemeClr w14:val="tx1"/>
            </w14:solidFill>
          </w14:textFill>
        </w:rPr>
        <w:t>东</w:t>
      </w:r>
      <w:r>
        <w:rPr>
          <w:rFonts w:hint="eastAsia" w:ascii="宋体" w:hAnsi="宋体" w:eastAsia="宋体" w:cs="宋体"/>
          <w:b w:val="0"/>
          <w:bCs w:val="0"/>
          <w:color w:val="000000" w:themeColor="text1"/>
          <w:sz w:val="28"/>
          <w:szCs w:val="28"/>
          <w:lang w:val="en-US" w:eastAsia="zh-CN"/>
          <w14:textFill>
            <w14:solidFill>
              <w14:schemeClr w14:val="tx1"/>
            </w14:solidFill>
          </w14:textFill>
        </w:rPr>
        <w:t>侧</w:t>
      </w:r>
      <w:r>
        <w:rPr>
          <w:rFonts w:hint="eastAsia" w:ascii="宋体" w:hAnsi="宋体" w:eastAsia="宋体" w:cs="宋体"/>
          <w:b w:val="0"/>
          <w:bCs w:val="0"/>
          <w:color w:val="000000" w:themeColor="text1"/>
          <w:sz w:val="28"/>
          <w:szCs w:val="28"/>
          <w:lang w:val="en-US" w:eastAsia="zh-CN"/>
          <w14:textFill>
            <w14:solidFill>
              <w14:schemeClr w14:val="tx1"/>
            </w14:solidFill>
          </w14:textFill>
        </w:rPr>
        <w:t>紧邻S102省道，</w:t>
      </w:r>
      <w:r>
        <w:rPr>
          <w:rFonts w:hint="eastAsia" w:ascii="宋体" w:hAnsi="宋体" w:eastAsia="宋体" w:cs="宋体"/>
          <w:sz w:val="28"/>
          <w:szCs w:val="28"/>
          <w:lang w:val="en-US" w:eastAsia="zh-CN"/>
        </w:rPr>
        <w:t>项目厂房西北面约88m为云南正成工精密机械</w:t>
      </w:r>
      <w:r>
        <w:rPr>
          <w:rFonts w:hint="eastAsia" w:ascii="宋体" w:hAnsi="宋体" w:eastAsia="宋体" w:cs="宋体"/>
          <w:sz w:val="28"/>
          <w:szCs w:val="28"/>
          <w:highlight w:val="none"/>
        </w:rPr>
        <w:t>有限公司，</w:t>
      </w:r>
      <w:r>
        <w:rPr>
          <w:rFonts w:hint="eastAsia" w:ascii="宋体" w:hAnsi="宋体" w:eastAsia="宋体" w:cs="宋体"/>
          <w:sz w:val="28"/>
          <w:szCs w:val="28"/>
          <w:highlight w:val="none"/>
          <w:lang w:val="en-US" w:eastAsia="zh-CN"/>
        </w:rPr>
        <w:t>项目厂房东面约12m为云南台宇数控机床有限公司</w:t>
      </w:r>
      <w:r>
        <w:rPr>
          <w:rFonts w:hint="eastAsia" w:ascii="宋体" w:hAnsi="宋体" w:eastAsia="宋体" w:cs="宋体"/>
          <w:sz w:val="28"/>
          <w:szCs w:val="28"/>
          <w:highlight w:val="none"/>
        </w:rPr>
        <w:t>，</w:t>
      </w:r>
      <w:r>
        <w:rPr>
          <w:rFonts w:hint="eastAsia" w:ascii="宋体" w:hAnsi="宋体" w:eastAsia="宋体" w:cs="宋体"/>
          <w:sz w:val="28"/>
          <w:szCs w:val="28"/>
          <w:highlight w:val="none"/>
          <w:lang w:val="en-US" w:eastAsia="zh-CN"/>
        </w:rPr>
        <w:t>项目厂房西面约18m为云南广和工控设备有限公司，项目厂房南面约29m为云南勇博数控机床配件有限公司</w:t>
      </w:r>
      <w:r>
        <w:rPr>
          <w:rFonts w:hint="eastAsia" w:ascii="宋体" w:hAnsi="宋体" w:eastAsia="宋体" w:cs="宋体"/>
          <w:sz w:val="28"/>
          <w:szCs w:val="28"/>
          <w:highlight w:val="none"/>
          <w:lang w:eastAsia="zh-CN"/>
        </w:rPr>
        <w:t>。</w:t>
      </w:r>
      <w:r>
        <w:rPr>
          <w:rFonts w:hint="eastAsia" w:ascii="宋体" w:hAnsi="宋体" w:eastAsia="宋体" w:cs="宋体"/>
          <w:color w:val="000000" w:themeColor="text1"/>
          <w:kern w:val="0"/>
          <w:sz w:val="28"/>
          <w:szCs w:val="28"/>
          <w14:textFill>
            <w14:solidFill>
              <w14:schemeClr w14:val="tx1"/>
            </w14:solidFill>
          </w14:textFill>
        </w:rPr>
        <w:t>厂址周围无医院、文物古迹、自然保护区、风景名胜区等环境敏感点及国家重要的政治、军事、文化设施</w:t>
      </w:r>
      <w:r>
        <w:rPr>
          <w:rFonts w:hint="eastAsia" w:ascii="宋体" w:hAnsi="宋体" w:eastAsia="宋体" w:cs="宋体"/>
          <w:color w:val="000000" w:themeColor="text1"/>
          <w:sz w:val="28"/>
          <w:szCs w:val="28"/>
          <w14:textFill>
            <w14:solidFill>
              <w14:schemeClr w14:val="tx1"/>
            </w14:solidFill>
          </w14:textFill>
        </w:rPr>
        <w:t>。项目周边</w:t>
      </w:r>
      <w:r>
        <w:rPr>
          <w:rFonts w:hint="eastAsia" w:ascii="宋体" w:hAnsi="宋体" w:eastAsia="宋体" w:cs="宋体"/>
          <w:color w:val="000000" w:themeColor="text1"/>
          <w:kern w:val="0"/>
          <w:sz w:val="28"/>
          <w:szCs w:val="28"/>
          <w14:textFill>
            <w14:solidFill>
              <w14:schemeClr w14:val="tx1"/>
            </w14:solidFill>
          </w14:textFill>
        </w:rPr>
        <w:t>环境</w:t>
      </w:r>
      <w:r>
        <w:rPr>
          <w:rFonts w:hint="eastAsia" w:ascii="宋体" w:hAnsi="宋体" w:eastAsia="宋体" w:cs="宋体"/>
          <w:color w:val="000000" w:themeColor="text1"/>
          <w:sz w:val="28"/>
          <w:szCs w:val="28"/>
          <w14:textFill>
            <w14:solidFill>
              <w14:schemeClr w14:val="tx1"/>
            </w14:solidFill>
          </w14:textFill>
        </w:rPr>
        <w:t>见图2-2。</w:t>
      </w:r>
    </w:p>
    <w:p w14:paraId="64EC99AD">
      <w:pPr>
        <w:bidi w:val="0"/>
        <w:rPr>
          <w:rFonts w:hint="eastAsia" w:ascii="宋体" w:hAnsi="宋体" w:eastAsia="宋体" w:cs="宋体"/>
          <w:lang w:val="en-US" w:eastAsia="zh-CN"/>
        </w:rPr>
      </w:pPr>
    </w:p>
    <w:p w14:paraId="5A82327E">
      <w:pPr>
        <w:bidi w:val="0"/>
        <w:jc w:val="center"/>
        <w:rPr>
          <w:rFonts w:hint="eastAsia" w:ascii="宋体" w:hAnsi="宋体" w:eastAsia="宋体" w:cs="宋体"/>
          <w:b/>
          <w:bCs/>
          <w:lang w:val="en-US" w:eastAsia="zh-CN"/>
        </w:rPr>
      </w:pPr>
      <w:r>
        <w:rPr>
          <w:rFonts w:hint="eastAsia" w:ascii="宋体" w:hAnsi="宋体" w:eastAsia="宋体" w:cs="宋体"/>
          <w:b/>
          <w:bCs/>
          <w:lang w:val="en-US" w:eastAsia="zh-CN"/>
        </w:rPr>
        <w:t>周边环境一览表</w:t>
      </w:r>
    </w:p>
    <w:tbl>
      <w:tblPr>
        <w:tblStyle w:val="5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1992"/>
        <w:gridCol w:w="1236"/>
        <w:gridCol w:w="1236"/>
        <w:gridCol w:w="3174"/>
      </w:tblGrid>
      <w:tr w14:paraId="173B2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884" w:type="dxa"/>
            <w:vAlign w:val="center"/>
          </w:tcPr>
          <w:p w14:paraId="74CEDA6E">
            <w:pPr>
              <w:keepNext w:val="0"/>
              <w:keepLines w:val="0"/>
              <w:widowControl/>
              <w:suppressLineNumbers w:val="0"/>
              <w:jc w:val="center"/>
              <w:rPr>
                <w:rFonts w:hint="eastAsia" w:ascii="宋体" w:hAnsi="宋体" w:eastAsia="宋体" w:cs="宋体"/>
                <w:sz w:val="21"/>
                <w:szCs w:val="21"/>
                <w:vertAlign w:val="baseline"/>
                <w:lang w:val="en-US" w:eastAsia="zh-CN"/>
              </w:rPr>
            </w:pPr>
            <w:r>
              <w:rPr>
                <w:rFonts w:hint="eastAsia" w:ascii="宋体" w:hAnsi="宋体" w:eastAsia="宋体" w:cs="宋体"/>
                <w:b/>
                <w:bCs/>
                <w:color w:val="000000"/>
                <w:kern w:val="0"/>
                <w:sz w:val="21"/>
                <w:szCs w:val="21"/>
                <w:lang w:val="en-US" w:eastAsia="zh-CN" w:bidi="ar"/>
              </w:rPr>
              <w:t>方位</w:t>
            </w:r>
          </w:p>
        </w:tc>
        <w:tc>
          <w:tcPr>
            <w:tcW w:w="1992" w:type="dxa"/>
            <w:vAlign w:val="center"/>
          </w:tcPr>
          <w:p w14:paraId="02269DFC">
            <w:pPr>
              <w:keepNext w:val="0"/>
              <w:keepLines w:val="0"/>
              <w:widowControl/>
              <w:suppressLineNumbers w:val="0"/>
              <w:jc w:val="center"/>
              <w:rPr>
                <w:rFonts w:hint="eastAsia" w:ascii="宋体" w:hAnsi="宋体" w:eastAsia="宋体" w:cs="宋体"/>
                <w:sz w:val="21"/>
                <w:szCs w:val="21"/>
                <w:vertAlign w:val="baseline"/>
                <w:lang w:val="en-US" w:eastAsia="zh-CN"/>
              </w:rPr>
            </w:pPr>
            <w:r>
              <w:rPr>
                <w:rFonts w:hint="eastAsia" w:ascii="宋体" w:hAnsi="宋体" w:eastAsia="宋体" w:cs="宋体"/>
                <w:b/>
                <w:bCs/>
                <w:color w:val="000000"/>
                <w:kern w:val="0"/>
                <w:sz w:val="21"/>
                <w:szCs w:val="21"/>
                <w:lang w:val="en-US" w:eastAsia="zh-CN" w:bidi="ar"/>
              </w:rPr>
              <w:t>周边情况</w:t>
            </w:r>
          </w:p>
        </w:tc>
        <w:tc>
          <w:tcPr>
            <w:tcW w:w="1236" w:type="dxa"/>
            <w:shd w:val="clear" w:color="auto" w:fill="auto"/>
            <w:vAlign w:val="center"/>
          </w:tcPr>
          <w:p w14:paraId="29983AD1">
            <w:pPr>
              <w:keepNext w:val="0"/>
              <w:keepLines w:val="0"/>
              <w:widowControl/>
              <w:suppressLineNumbers w:val="0"/>
              <w:jc w:val="center"/>
              <w:rPr>
                <w:rFonts w:hint="eastAsia" w:ascii="宋体" w:hAnsi="宋体" w:eastAsia="宋体" w:cs="宋体"/>
                <w:sz w:val="21"/>
                <w:szCs w:val="21"/>
                <w:vertAlign w:val="baseline"/>
                <w:lang w:val="en-US" w:eastAsia="zh-CN" w:bidi="ar-SA"/>
              </w:rPr>
            </w:pPr>
            <w:r>
              <w:rPr>
                <w:rFonts w:hint="eastAsia" w:ascii="宋体" w:hAnsi="宋体" w:eastAsia="宋体" w:cs="宋体"/>
                <w:b/>
                <w:bCs/>
                <w:color w:val="000000"/>
                <w:kern w:val="0"/>
                <w:sz w:val="21"/>
                <w:szCs w:val="21"/>
                <w:lang w:val="en-US" w:eastAsia="zh-CN" w:bidi="ar"/>
              </w:rPr>
              <w:t>规范要求</w:t>
            </w:r>
          </w:p>
        </w:tc>
        <w:tc>
          <w:tcPr>
            <w:tcW w:w="1236" w:type="dxa"/>
            <w:vAlign w:val="center"/>
          </w:tcPr>
          <w:p w14:paraId="7DDA7CA6">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b/>
                <w:bCs/>
                <w:color w:val="000000"/>
                <w:kern w:val="0"/>
                <w:sz w:val="21"/>
                <w:szCs w:val="21"/>
                <w:lang w:val="en-US" w:eastAsia="zh-CN" w:bidi="ar"/>
              </w:rPr>
              <w:t>距离</w:t>
            </w:r>
          </w:p>
        </w:tc>
        <w:tc>
          <w:tcPr>
            <w:tcW w:w="3174" w:type="dxa"/>
            <w:vAlign w:val="center"/>
          </w:tcPr>
          <w:p w14:paraId="4EDDF469">
            <w:pPr>
              <w:keepNext w:val="0"/>
              <w:keepLines w:val="0"/>
              <w:widowControl/>
              <w:suppressLineNumbers w:val="0"/>
              <w:jc w:val="center"/>
              <w:rPr>
                <w:rFonts w:hint="eastAsia" w:ascii="宋体" w:hAnsi="宋体" w:eastAsia="宋体" w:cs="宋体"/>
                <w:sz w:val="21"/>
                <w:szCs w:val="21"/>
                <w:vertAlign w:val="baseline"/>
                <w:lang w:val="en-US" w:eastAsia="zh-CN"/>
              </w:rPr>
            </w:pPr>
            <w:r>
              <w:rPr>
                <w:rFonts w:hint="eastAsia" w:ascii="宋体" w:hAnsi="宋体" w:eastAsia="宋体" w:cs="宋体"/>
                <w:b/>
                <w:bCs/>
                <w:color w:val="000000"/>
                <w:kern w:val="0"/>
                <w:sz w:val="21"/>
                <w:szCs w:val="21"/>
                <w:lang w:val="en-US" w:eastAsia="zh-CN" w:bidi="ar"/>
              </w:rPr>
              <w:t>参考依据</w:t>
            </w:r>
          </w:p>
        </w:tc>
      </w:tr>
      <w:tr w14:paraId="18A1E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Align w:val="center"/>
          </w:tcPr>
          <w:p w14:paraId="70925595">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西北侧</w:t>
            </w:r>
          </w:p>
        </w:tc>
        <w:tc>
          <w:tcPr>
            <w:tcW w:w="1992" w:type="dxa"/>
            <w:vAlign w:val="center"/>
          </w:tcPr>
          <w:p w14:paraId="3410B2E1">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云南正成工精密机械有限公司</w:t>
            </w:r>
          </w:p>
        </w:tc>
        <w:tc>
          <w:tcPr>
            <w:tcW w:w="1236" w:type="dxa"/>
            <w:shd w:val="clear" w:color="auto" w:fill="auto"/>
            <w:vAlign w:val="center"/>
          </w:tcPr>
          <w:p w14:paraId="438A0D8F">
            <w:pPr>
              <w:bidi w:val="0"/>
              <w:jc w:val="center"/>
              <w:rPr>
                <w:rFonts w:hint="eastAsia" w:ascii="宋体" w:hAnsi="宋体" w:eastAsia="宋体" w:cs="宋体"/>
                <w:sz w:val="21"/>
                <w:szCs w:val="21"/>
                <w:vertAlign w:val="baseline"/>
                <w:lang w:val="en-US" w:eastAsia="zh-CN" w:bidi="ar-SA"/>
              </w:rPr>
            </w:pPr>
            <w:r>
              <w:rPr>
                <w:rFonts w:hint="eastAsia" w:ascii="宋体" w:hAnsi="宋体" w:eastAsia="宋体" w:cs="宋体"/>
                <w:sz w:val="21"/>
                <w:szCs w:val="21"/>
                <w:vertAlign w:val="baseline"/>
                <w:lang w:val="en-US" w:eastAsia="zh-CN"/>
              </w:rPr>
              <w:t>10m</w:t>
            </w:r>
          </w:p>
        </w:tc>
        <w:tc>
          <w:tcPr>
            <w:tcW w:w="1236" w:type="dxa"/>
            <w:vAlign w:val="center"/>
          </w:tcPr>
          <w:p w14:paraId="10AF8AD1">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88m</w:t>
            </w:r>
          </w:p>
        </w:tc>
        <w:tc>
          <w:tcPr>
            <w:tcW w:w="3174" w:type="dxa"/>
            <w:vAlign w:val="center"/>
          </w:tcPr>
          <w:p w14:paraId="22C64039">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《建筑设计防火规范（GB50016-2014，2018 年版）第 3.4.1 条</w:t>
            </w:r>
          </w:p>
        </w:tc>
      </w:tr>
      <w:tr w14:paraId="23C1C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Align w:val="center"/>
          </w:tcPr>
          <w:p w14:paraId="62A1614D">
            <w:pPr>
              <w:bidi w:val="0"/>
              <w:jc w:val="both"/>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东侧</w:t>
            </w:r>
          </w:p>
        </w:tc>
        <w:tc>
          <w:tcPr>
            <w:tcW w:w="1992" w:type="dxa"/>
            <w:vAlign w:val="center"/>
          </w:tcPr>
          <w:p w14:paraId="030E75E4">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云南台宇数控机床有限公司</w:t>
            </w:r>
          </w:p>
        </w:tc>
        <w:tc>
          <w:tcPr>
            <w:tcW w:w="1236" w:type="dxa"/>
            <w:shd w:val="clear" w:color="auto" w:fill="auto"/>
            <w:vAlign w:val="center"/>
          </w:tcPr>
          <w:p w14:paraId="3B6D8803">
            <w:pPr>
              <w:bidi w:val="0"/>
              <w:jc w:val="center"/>
              <w:rPr>
                <w:rFonts w:hint="eastAsia" w:ascii="宋体" w:hAnsi="宋体" w:eastAsia="宋体" w:cs="宋体"/>
                <w:sz w:val="21"/>
                <w:szCs w:val="21"/>
                <w:vertAlign w:val="baseline"/>
                <w:lang w:val="en-US" w:eastAsia="zh-CN" w:bidi="ar-SA"/>
              </w:rPr>
            </w:pPr>
            <w:r>
              <w:rPr>
                <w:rFonts w:hint="eastAsia" w:ascii="宋体" w:hAnsi="宋体" w:eastAsia="宋体" w:cs="宋体"/>
                <w:sz w:val="21"/>
                <w:szCs w:val="21"/>
                <w:vertAlign w:val="baseline"/>
                <w:lang w:val="en-US" w:eastAsia="zh-CN"/>
              </w:rPr>
              <w:t>10m</w:t>
            </w:r>
          </w:p>
        </w:tc>
        <w:tc>
          <w:tcPr>
            <w:tcW w:w="1236" w:type="dxa"/>
            <w:vAlign w:val="center"/>
          </w:tcPr>
          <w:p w14:paraId="0D633E82">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12m</w:t>
            </w:r>
          </w:p>
        </w:tc>
        <w:tc>
          <w:tcPr>
            <w:tcW w:w="3174" w:type="dxa"/>
            <w:vAlign w:val="center"/>
          </w:tcPr>
          <w:p w14:paraId="7475E835">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《建筑设计防火规范（GB50016-2014，2018 年版）第 3.4.1 条</w:t>
            </w:r>
          </w:p>
        </w:tc>
      </w:tr>
      <w:tr w14:paraId="54AAD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Align w:val="center"/>
          </w:tcPr>
          <w:p w14:paraId="603396C3">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西侧</w:t>
            </w:r>
          </w:p>
        </w:tc>
        <w:tc>
          <w:tcPr>
            <w:tcW w:w="1992" w:type="dxa"/>
            <w:vAlign w:val="center"/>
          </w:tcPr>
          <w:p w14:paraId="0155F3E9">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云南广和工控设备有限公司</w:t>
            </w:r>
          </w:p>
        </w:tc>
        <w:tc>
          <w:tcPr>
            <w:tcW w:w="1236" w:type="dxa"/>
            <w:shd w:val="clear" w:color="auto" w:fill="auto"/>
            <w:vAlign w:val="center"/>
          </w:tcPr>
          <w:p w14:paraId="091A20E5">
            <w:pPr>
              <w:bidi w:val="0"/>
              <w:jc w:val="center"/>
              <w:rPr>
                <w:rFonts w:hint="eastAsia" w:ascii="宋体" w:hAnsi="宋体" w:eastAsia="宋体" w:cs="宋体"/>
                <w:sz w:val="21"/>
                <w:szCs w:val="21"/>
                <w:vertAlign w:val="baseline"/>
                <w:lang w:val="en-US" w:eastAsia="zh-CN" w:bidi="ar-SA"/>
              </w:rPr>
            </w:pPr>
            <w:r>
              <w:rPr>
                <w:rFonts w:hint="eastAsia" w:ascii="宋体" w:hAnsi="宋体" w:eastAsia="宋体" w:cs="宋体"/>
                <w:sz w:val="21"/>
                <w:szCs w:val="21"/>
                <w:vertAlign w:val="baseline"/>
                <w:lang w:val="en-US" w:eastAsia="zh-CN"/>
              </w:rPr>
              <w:t>10m</w:t>
            </w:r>
          </w:p>
        </w:tc>
        <w:tc>
          <w:tcPr>
            <w:tcW w:w="1236" w:type="dxa"/>
            <w:vAlign w:val="center"/>
          </w:tcPr>
          <w:p w14:paraId="6C6D559F">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18m</w:t>
            </w:r>
          </w:p>
        </w:tc>
        <w:tc>
          <w:tcPr>
            <w:tcW w:w="3174" w:type="dxa"/>
            <w:vAlign w:val="center"/>
          </w:tcPr>
          <w:p w14:paraId="3FDBF8BD">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《建筑设计防火规范（GB50016-2014，2018 年版）第 3.4.1 条</w:t>
            </w:r>
          </w:p>
        </w:tc>
      </w:tr>
      <w:tr w14:paraId="7255D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Align w:val="center"/>
          </w:tcPr>
          <w:p w14:paraId="5635250B">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南侧</w:t>
            </w:r>
          </w:p>
        </w:tc>
        <w:tc>
          <w:tcPr>
            <w:tcW w:w="1992" w:type="dxa"/>
            <w:vAlign w:val="center"/>
          </w:tcPr>
          <w:p w14:paraId="480129EE">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云南勇博数控机床配件有限公司</w:t>
            </w:r>
          </w:p>
        </w:tc>
        <w:tc>
          <w:tcPr>
            <w:tcW w:w="1236" w:type="dxa"/>
            <w:shd w:val="clear" w:color="auto" w:fill="auto"/>
            <w:vAlign w:val="center"/>
          </w:tcPr>
          <w:p w14:paraId="250258FE">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10m</w:t>
            </w:r>
          </w:p>
        </w:tc>
        <w:tc>
          <w:tcPr>
            <w:tcW w:w="1236" w:type="dxa"/>
            <w:vAlign w:val="center"/>
          </w:tcPr>
          <w:p w14:paraId="367AF8D8">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29m</w:t>
            </w:r>
          </w:p>
        </w:tc>
        <w:tc>
          <w:tcPr>
            <w:tcW w:w="3174" w:type="dxa"/>
            <w:vAlign w:val="center"/>
          </w:tcPr>
          <w:p w14:paraId="7D494C81">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《建筑设计防火规范（GB50016-2014，2018 年版）第 3.4.1 条</w:t>
            </w:r>
          </w:p>
        </w:tc>
      </w:tr>
    </w:tbl>
    <w:p w14:paraId="51EB227A">
      <w:pPr>
        <w:widowControl/>
        <w:adjustRightInd w:val="0"/>
        <w:snapToGrid w:val="0"/>
        <w:spacing w:line="360" w:lineRule="auto"/>
        <w:jc w:val="left"/>
        <w:rPr>
          <w:rFonts w:hint="eastAsia" w:ascii="宋体" w:hAnsi="宋体" w:eastAsia="宋体" w:cs="宋体"/>
          <w:color w:val="000000" w:themeColor="text1"/>
          <w:lang w:eastAsia="zh-CN"/>
          <w14:textFill>
            <w14:solidFill>
              <w14:schemeClr w14:val="tx1"/>
            </w14:solidFill>
          </w14:textFill>
        </w:rPr>
      </w:pPr>
    </w:p>
    <w:p w14:paraId="1BD608B5">
      <w:pPr>
        <w:bidi w:val="0"/>
        <w:rPr>
          <w:rFonts w:hint="eastAsia" w:ascii="宋体" w:hAnsi="宋体" w:eastAsia="宋体" w:cs="宋体"/>
          <w:lang w:eastAsia="zh-CN"/>
        </w:rPr>
      </w:pPr>
      <w:r>
        <w:rPr>
          <w:rFonts w:hint="eastAsia" w:ascii="宋体" w:hAnsi="宋体" w:eastAsia="宋体" w:cs="宋体"/>
          <w:sz w:val="24"/>
        </w:rPr>
        <mc:AlternateContent>
          <mc:Choice Requires="wps">
            <w:drawing>
              <wp:anchor distT="0" distB="0" distL="114300" distR="114300" simplePos="0" relativeHeight="251675648" behindDoc="0" locked="0" layoutInCell="1" allowOverlap="1">
                <wp:simplePos x="0" y="0"/>
                <wp:positionH relativeFrom="column">
                  <wp:posOffset>3163570</wp:posOffset>
                </wp:positionH>
                <wp:positionV relativeFrom="paragraph">
                  <wp:posOffset>848360</wp:posOffset>
                </wp:positionV>
                <wp:extent cx="307975" cy="1002665"/>
                <wp:effectExtent l="12065" t="0" r="30480" b="18415"/>
                <wp:wrapNone/>
                <wp:docPr id="47" name="直接箭头连接符 47"/>
                <wp:cNvGraphicFramePr/>
                <a:graphic xmlns:a="http://schemas.openxmlformats.org/drawingml/2006/main">
                  <a:graphicData uri="http://schemas.microsoft.com/office/word/2010/wordprocessingShape">
                    <wps:wsp>
                      <wps:cNvCnPr>
                        <a:stCxn id="15" idx="0"/>
                      </wps:cNvCnPr>
                      <wps:spPr>
                        <a:xfrm flipV="1">
                          <a:off x="0" y="0"/>
                          <a:ext cx="307975" cy="1002665"/>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249.1pt;margin-top:66.8pt;height:78.95pt;width:24.25pt;z-index:251675648;mso-width-relative:page;mso-height-relative:page;" filled="f" stroked="t" coordsize="21600,21600" o:gfxdata="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sbFQbbAAAACwEA&#10;AA8AAAAAAAAAAQAgAAAAIgAAAGRycy9kb3ducmV2LnhtbFBLAQIUABQAAAAIAIdO4kBarcWeFwIA&#10;AAAEAAAOAAAAAAAAAAEAIAAAACoBAABkcnMvZTJvRG9jLnhtbFBLBQYAAAAABgAGAFkBAACzBQAA&#10;AAA=&#10;">
                <v:fill on="f" focussize="0,0"/>
                <v:stroke weight="2pt" color="#FF0000 [3204]" joinstyle="round" endarrow="open"/>
                <v:imagedata o:title=""/>
                <o:lock v:ext="edit" aspectratio="f"/>
              </v:shape>
            </w:pict>
          </mc:Fallback>
        </mc:AlternateContent>
      </w:r>
      <w:r>
        <w:rPr>
          <w:rFonts w:hint="eastAsia" w:ascii="宋体" w:hAnsi="宋体" w:eastAsia="宋体" w:cs="宋体"/>
          <w:sz w:val="24"/>
        </w:rPr>
        <mc:AlternateContent>
          <mc:Choice Requires="wps">
            <w:drawing>
              <wp:anchor distT="0" distB="0" distL="114300" distR="114300" simplePos="0" relativeHeight="251671552" behindDoc="0" locked="0" layoutInCell="1" allowOverlap="1">
                <wp:simplePos x="0" y="0"/>
                <wp:positionH relativeFrom="column">
                  <wp:posOffset>3540125</wp:posOffset>
                </wp:positionH>
                <wp:positionV relativeFrom="paragraph">
                  <wp:posOffset>2312670</wp:posOffset>
                </wp:positionV>
                <wp:extent cx="426720" cy="315595"/>
                <wp:effectExtent l="0" t="0" r="0" b="4445"/>
                <wp:wrapNone/>
                <wp:docPr id="30" name="文本框 30"/>
                <wp:cNvGraphicFramePr/>
                <a:graphic xmlns:a="http://schemas.openxmlformats.org/drawingml/2006/main">
                  <a:graphicData uri="http://schemas.microsoft.com/office/word/2010/wordprocessingShape">
                    <wps:wsp>
                      <wps:cNvSpPr txBox="1"/>
                      <wps:spPr>
                        <a:xfrm>
                          <a:off x="4705985" y="6838315"/>
                          <a:ext cx="426720" cy="3155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BA55FC3">
                            <w:pPr>
                              <w:rPr>
                                <w:rFonts w:hint="default" w:eastAsia="宋体"/>
                                <w:lang w:val="en-US" w:eastAsia="zh-CN"/>
                              </w:rPr>
                            </w:pPr>
                            <w:r>
                              <w:rPr>
                                <w:rFonts w:hint="eastAsia"/>
                                <w:lang w:val="en-US" w:eastAsia="zh-CN"/>
                              </w:rPr>
                              <w:t>12m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8.75pt;margin-top:182.1pt;height:24.85pt;width:33.6pt;z-index:251671552;mso-width-relative:page;mso-height-relative:page;" fillcolor="#FFFFFF [3201]" filled="t" stroked="f" coordsize="21600,21600" o:gfxdata="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aLTac&#10;1wAAAAsBAAAPAAAAAAAAAAEAIAAAACIAAABkcnMvZG93bnJldi54bWxQSwECFAAUAAAACACHTuJA&#10;xvkFcVsCAACcBAAADgAAAAAAAAABACAAAAAmAQAAZHJzL2Uyb0RvYy54bWxQSwUGAAAAAAYABgBZ&#10;AQAA8wUAAAAA&#10;">
                <v:fill on="t" focussize="0,0"/>
                <v:stroke on="f" weight="0.5pt"/>
                <v:imagedata o:title=""/>
                <o:lock v:ext="edit" aspectratio="f"/>
                <v:textbox>
                  <w:txbxContent>
                    <w:p w14:paraId="0BA55FC3">
                      <w:pPr>
                        <w:rPr>
                          <w:rFonts w:hint="default" w:eastAsia="宋体"/>
                          <w:lang w:val="en-US" w:eastAsia="zh-CN"/>
                        </w:rPr>
                      </w:pPr>
                      <w:r>
                        <w:rPr>
                          <w:rFonts w:hint="eastAsia"/>
                          <w:lang w:val="en-US" w:eastAsia="zh-CN"/>
                        </w:rPr>
                        <w:t>12m</w:t>
                      </w:r>
                    </w:p>
                  </w:txbxContent>
                </v:textbox>
              </v:shape>
            </w:pict>
          </mc:Fallback>
        </mc:AlternateContent>
      </w:r>
      <w:r>
        <w:rPr>
          <w:rFonts w:hint="eastAsia" w:ascii="宋体" w:hAnsi="宋体" w:eastAsia="宋体" w:cs="宋体"/>
        </w:rPr>
        <w:drawing>
          <wp:inline distT="0" distB="0" distL="114300" distR="114300">
            <wp:extent cx="5269230" cy="3677285"/>
            <wp:effectExtent l="0" t="0" r="3810" b="10795"/>
            <wp:docPr id="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
                    <pic:cNvPicPr>
                      <a:picLocks noChangeAspect="1"/>
                    </pic:cNvPicPr>
                  </pic:nvPicPr>
                  <pic:blipFill>
                    <a:blip r:embed="rId13"/>
                    <a:stretch>
                      <a:fillRect/>
                    </a:stretch>
                  </pic:blipFill>
                  <pic:spPr>
                    <a:xfrm>
                      <a:off x="0" y="0"/>
                      <a:ext cx="5269230" cy="3677285"/>
                    </a:xfrm>
                    <a:prstGeom prst="rect">
                      <a:avLst/>
                    </a:prstGeom>
                    <a:noFill/>
                    <a:ln>
                      <a:noFill/>
                    </a:ln>
                  </pic:spPr>
                </pic:pic>
              </a:graphicData>
            </a:graphic>
          </wp:inline>
        </w:drawing>
      </w:r>
      <w:r>
        <w:rPr>
          <w:rFonts w:hint="eastAsia" w:ascii="宋体" w:hAnsi="宋体" w:eastAsia="宋体" w:cs="宋体"/>
          <w:sz w:val="24"/>
        </w:rPr>
        <mc:AlternateContent>
          <mc:Choice Requires="wps">
            <w:drawing>
              <wp:anchor distT="0" distB="0" distL="114300" distR="114300" simplePos="0" relativeHeight="251674624" behindDoc="0" locked="0" layoutInCell="1" allowOverlap="1">
                <wp:simplePos x="0" y="0"/>
                <wp:positionH relativeFrom="column">
                  <wp:posOffset>2884805</wp:posOffset>
                </wp:positionH>
                <wp:positionV relativeFrom="paragraph">
                  <wp:posOffset>486410</wp:posOffset>
                </wp:positionV>
                <wp:extent cx="426720" cy="315595"/>
                <wp:effectExtent l="4445" t="4445" r="10795" b="15240"/>
                <wp:wrapNone/>
                <wp:docPr id="39" name="文本框 39"/>
                <wp:cNvGraphicFramePr/>
                <a:graphic xmlns:a="http://schemas.openxmlformats.org/drawingml/2006/main">
                  <a:graphicData uri="http://schemas.microsoft.com/office/word/2010/wordprocessingShape">
                    <wps:wsp>
                      <wps:cNvSpPr txBox="1"/>
                      <wps:spPr>
                        <a:xfrm>
                          <a:off x="0" y="0"/>
                          <a:ext cx="426720" cy="3155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0342E86">
                            <w:pPr>
                              <w:rPr>
                                <w:rFonts w:hint="default" w:eastAsia="宋体"/>
                                <w:lang w:val="en-US" w:eastAsia="zh-CN"/>
                              </w:rPr>
                            </w:pPr>
                            <w:r>
                              <w:rPr>
                                <w:rFonts w:hint="eastAsia"/>
                                <w:lang w:val="en-US" w:eastAsia="zh-CN"/>
                              </w:rPr>
                              <w:t>88m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7.15pt;margin-top:38.3pt;height:24.85pt;width:33.6pt;z-index:251674624;mso-width-relative:page;mso-height-relative:page;" fillcolor="#FFFFFF [3201]" filled="t" stroked="t" coordsize="21600,21600" o:gfxdata="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Aqsx1wAA&#10;AAoBAAAPAAAAAAAAAAEAIAAAACIAAABkcnMvZG93bnJldi54bWxQSwECFAAUAAAACACHTuJA47xe&#10;mlgCAAC4BAAADgAAAAAAAAABACAAAAAmAQAAZHJzL2Uyb0RvYy54bWxQSwUGAAAAAAYABgBZAQAA&#10;8AUAAAAA&#10;">
                <v:fill on="t" focussize="0,0"/>
                <v:stroke weight="0.5pt" color="#000000 [3204]" joinstyle="round"/>
                <v:imagedata o:title=""/>
                <o:lock v:ext="edit" aspectratio="f"/>
                <v:textbox>
                  <w:txbxContent>
                    <w:p w14:paraId="00342E86">
                      <w:pPr>
                        <w:rPr>
                          <w:rFonts w:hint="default" w:eastAsia="宋体"/>
                          <w:lang w:val="en-US" w:eastAsia="zh-CN"/>
                        </w:rPr>
                      </w:pPr>
                      <w:r>
                        <w:rPr>
                          <w:rFonts w:hint="eastAsia"/>
                          <w:lang w:val="en-US" w:eastAsia="zh-CN"/>
                        </w:rPr>
                        <w:t>88m</w:t>
                      </w:r>
                    </w:p>
                  </w:txbxContent>
                </v:textbox>
              </v:shape>
            </w:pict>
          </mc:Fallback>
        </mc:AlternateContent>
      </w:r>
      <w:r>
        <w:rPr>
          <w:rFonts w:hint="eastAsia" w:ascii="宋体" w:hAnsi="宋体" w:eastAsia="宋体" w:cs="宋体"/>
          <w:sz w:val="24"/>
        </w:rPr>
        <mc:AlternateContent>
          <mc:Choice Requires="wps">
            <w:drawing>
              <wp:anchor distT="0" distB="0" distL="114300" distR="114300" simplePos="0" relativeHeight="251673600" behindDoc="0" locked="0" layoutInCell="1" allowOverlap="1">
                <wp:simplePos x="0" y="0"/>
                <wp:positionH relativeFrom="column">
                  <wp:posOffset>2839085</wp:posOffset>
                </wp:positionH>
                <wp:positionV relativeFrom="paragraph">
                  <wp:posOffset>1141730</wp:posOffset>
                </wp:positionV>
                <wp:extent cx="426720" cy="315595"/>
                <wp:effectExtent l="4445" t="4445" r="10795" b="15240"/>
                <wp:wrapNone/>
                <wp:docPr id="37" name="文本框 37"/>
                <wp:cNvGraphicFramePr/>
                <a:graphic xmlns:a="http://schemas.openxmlformats.org/drawingml/2006/main">
                  <a:graphicData uri="http://schemas.microsoft.com/office/word/2010/wordprocessingShape">
                    <wps:wsp>
                      <wps:cNvSpPr txBox="1"/>
                      <wps:spPr>
                        <a:xfrm>
                          <a:off x="0" y="0"/>
                          <a:ext cx="426720" cy="3155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9CD442B">
                            <w:pPr>
                              <w:rPr>
                                <w:rFonts w:hint="default" w:eastAsia="宋体"/>
                                <w:lang w:val="en-US" w:eastAsia="zh-CN"/>
                              </w:rPr>
                            </w:pPr>
                            <w:r>
                              <w:rPr>
                                <w:rFonts w:hint="eastAsia"/>
                                <w:lang w:val="en-US" w:eastAsia="zh-CN"/>
                              </w:rPr>
                              <w:t>18m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3.55pt;margin-top:89.9pt;height:24.85pt;width:33.6pt;z-index:251673600;mso-width-relative:page;mso-height-relative:page;" fillcolor="#FFFFFF [3201]" filled="t" stroked="t" coordsize="21600,21600" o:gfxdata="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G52VEfY&#10;AAAACwEAAA8AAAAAAAAAAQAgAAAAIgAAAGRycy9kb3ducmV2LnhtbFBLAQIUABQAAAAIAIdO4kAe&#10;uo8nWQIAALgEAAAOAAAAAAAAAAEAIAAAACcBAABkcnMvZTJvRG9jLnhtbFBLBQYAAAAABgAGAFkB&#10;AADyBQAAAAA=&#10;">
                <v:fill on="t" focussize="0,0"/>
                <v:stroke weight="0.5pt" color="#000000 [3204]" joinstyle="round"/>
                <v:imagedata o:title=""/>
                <o:lock v:ext="edit" aspectratio="f"/>
                <v:textbox>
                  <w:txbxContent>
                    <w:p w14:paraId="29CD442B">
                      <w:pPr>
                        <w:rPr>
                          <w:rFonts w:hint="default" w:eastAsia="宋体"/>
                          <w:lang w:val="en-US" w:eastAsia="zh-CN"/>
                        </w:rPr>
                      </w:pPr>
                      <w:r>
                        <w:rPr>
                          <w:rFonts w:hint="eastAsia"/>
                          <w:lang w:val="en-US" w:eastAsia="zh-CN"/>
                        </w:rPr>
                        <w:t>18m</w:t>
                      </w:r>
                    </w:p>
                  </w:txbxContent>
                </v:textbox>
              </v:shape>
            </w:pict>
          </mc:Fallback>
        </mc:AlternateContent>
      </w:r>
      <w:r>
        <w:rPr>
          <w:rFonts w:hint="eastAsia" w:ascii="宋体" w:hAnsi="宋体" w:eastAsia="宋体" w:cs="宋体"/>
          <w:sz w:val="24"/>
        </w:rPr>
        <mc:AlternateContent>
          <mc:Choice Requires="wps">
            <w:drawing>
              <wp:anchor distT="0" distB="0" distL="114300" distR="114300" simplePos="0" relativeHeight="251672576" behindDoc="0" locked="0" layoutInCell="1" allowOverlap="1">
                <wp:simplePos x="0" y="0"/>
                <wp:positionH relativeFrom="column">
                  <wp:posOffset>2397125</wp:posOffset>
                </wp:positionH>
                <wp:positionV relativeFrom="paragraph">
                  <wp:posOffset>2924810</wp:posOffset>
                </wp:positionV>
                <wp:extent cx="426720" cy="315595"/>
                <wp:effectExtent l="4445" t="4445" r="10795" b="15240"/>
                <wp:wrapNone/>
                <wp:docPr id="33" name="文本框 33"/>
                <wp:cNvGraphicFramePr/>
                <a:graphic xmlns:a="http://schemas.openxmlformats.org/drawingml/2006/main">
                  <a:graphicData uri="http://schemas.microsoft.com/office/word/2010/wordprocessingShape">
                    <wps:wsp>
                      <wps:cNvSpPr txBox="1"/>
                      <wps:spPr>
                        <a:xfrm>
                          <a:off x="0" y="0"/>
                          <a:ext cx="426720" cy="3155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C1AF00F">
                            <w:pPr>
                              <w:rPr>
                                <w:rFonts w:hint="default" w:eastAsia="宋体"/>
                                <w:lang w:val="en-US" w:eastAsia="zh-CN"/>
                              </w:rPr>
                            </w:pPr>
                            <w:r>
                              <w:rPr>
                                <w:rFonts w:hint="eastAsia"/>
                                <w:lang w:val="en-US" w:eastAsia="zh-CN"/>
                              </w:rPr>
                              <w:t>29m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8.75pt;margin-top:230.3pt;height:24.85pt;width:33.6pt;z-index:251672576;mso-width-relative:page;mso-height-relative:page;" fillcolor="#FFFFFF [3201]" filled="t" stroked="t" coordsize="21600,21600" o:gfxdata="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OzQ7i2AAA&#10;AAsBAAAPAAAAAAAAAAEAIAAAACIAAABkcnMvZG93bnJldi54bWxQSwECFAAUAAAACACHTuJAzQ3p&#10;llcCAAC4BAAADgAAAAAAAAABACAAAAAnAQAAZHJzL2Uyb0RvYy54bWxQSwUGAAAAAAYABgBZAQAA&#10;8AUAAAAA&#10;">
                <v:fill on="t" focussize="0,0"/>
                <v:stroke weight="0.5pt" color="#000000 [3204]" joinstyle="round"/>
                <v:imagedata o:title=""/>
                <o:lock v:ext="edit" aspectratio="f"/>
                <v:textbox>
                  <w:txbxContent>
                    <w:p w14:paraId="3C1AF00F">
                      <w:pPr>
                        <w:rPr>
                          <w:rFonts w:hint="default" w:eastAsia="宋体"/>
                          <w:lang w:val="en-US" w:eastAsia="zh-CN"/>
                        </w:rPr>
                      </w:pPr>
                      <w:r>
                        <w:rPr>
                          <w:rFonts w:hint="eastAsia"/>
                          <w:lang w:val="en-US" w:eastAsia="zh-CN"/>
                        </w:rPr>
                        <w:t>29m</w:t>
                      </w:r>
                    </w:p>
                  </w:txbxContent>
                </v:textbox>
              </v:shape>
            </w:pict>
          </mc:Fallback>
        </mc:AlternateContent>
      </w:r>
      <w:r>
        <w:rPr>
          <w:rFonts w:hint="eastAsia" w:ascii="宋体" w:hAnsi="宋体" w:eastAsia="宋体" w:cs="宋体"/>
          <w:sz w:val="24"/>
        </w:rPr>
        <mc:AlternateContent>
          <mc:Choice Requires="wps">
            <w:drawing>
              <wp:anchor distT="0" distB="0" distL="114300" distR="114300" simplePos="0" relativeHeight="251667456" behindDoc="0" locked="0" layoutInCell="1" allowOverlap="1">
                <wp:simplePos x="0" y="0"/>
                <wp:positionH relativeFrom="column">
                  <wp:posOffset>2724785</wp:posOffset>
                </wp:positionH>
                <wp:positionV relativeFrom="paragraph">
                  <wp:posOffset>2094230</wp:posOffset>
                </wp:positionV>
                <wp:extent cx="346710" cy="373380"/>
                <wp:effectExtent l="0" t="8890" r="19050" b="13970"/>
                <wp:wrapNone/>
                <wp:docPr id="23" name="直接箭头连接符 23"/>
                <wp:cNvGraphicFramePr/>
                <a:graphic xmlns:a="http://schemas.openxmlformats.org/drawingml/2006/main">
                  <a:graphicData uri="http://schemas.microsoft.com/office/word/2010/wordprocessingShape">
                    <wps:wsp>
                      <wps:cNvCnPr>
                        <a:stCxn id="15" idx="2"/>
                      </wps:cNvCnPr>
                      <wps:spPr>
                        <a:xfrm flipH="1">
                          <a:off x="0" y="0"/>
                          <a:ext cx="346710" cy="37338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214.55pt;margin-top:164.9pt;height:29.4pt;width:27.3pt;z-index:251667456;mso-width-relative:page;mso-height-relative:page;" filled="f" stroked="t" coordsize="21600,21600" o:gfxdata="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NZbWvaAAAACwEA&#10;AA8AAAAAAAAAAQAgAAAAIgAAAGRycy9kb3ducmV2LnhtbFBLAQIUABQAAAAIAIdO4kBGqWhFGAIA&#10;AP8DAAAOAAAAAAAAAAEAIAAAACkBAABkcnMvZTJvRG9jLnhtbFBLBQYAAAAABgAGAFkBAACzBQAA&#10;AAA=&#10;">
                <v:fill on="f" focussize="0,0"/>
                <v:stroke weight="2pt" color="#FF0000 [3204]" joinstyle="round" endarrow="open"/>
                <v:imagedata o:title=""/>
                <o:lock v:ext="edit" aspectratio="f"/>
              </v:shape>
            </w:pict>
          </mc:Fallback>
        </mc:AlternateContent>
      </w:r>
      <w:r>
        <w:rPr>
          <w:rFonts w:hint="eastAsia" w:ascii="宋体" w:hAnsi="宋体" w:eastAsia="宋体" w:cs="宋体"/>
          <w:sz w:val="24"/>
        </w:rPr>
        <mc:AlternateContent>
          <mc:Choice Requires="wps">
            <w:drawing>
              <wp:anchor distT="0" distB="0" distL="114300" distR="114300" simplePos="0" relativeHeight="251668480" behindDoc="0" locked="0" layoutInCell="1" allowOverlap="1">
                <wp:simplePos x="0" y="0"/>
                <wp:positionH relativeFrom="column">
                  <wp:posOffset>2884805</wp:posOffset>
                </wp:positionH>
                <wp:positionV relativeFrom="paragraph">
                  <wp:posOffset>1778000</wp:posOffset>
                </wp:positionV>
                <wp:extent cx="191135" cy="150495"/>
                <wp:effectExtent l="0" t="0" r="22225" b="17145"/>
                <wp:wrapNone/>
                <wp:docPr id="31" name="直接箭头连接符 31"/>
                <wp:cNvGraphicFramePr/>
                <a:graphic xmlns:a="http://schemas.openxmlformats.org/drawingml/2006/main">
                  <a:graphicData uri="http://schemas.microsoft.com/office/word/2010/wordprocessingShape">
                    <wps:wsp>
                      <wps:cNvCnPr/>
                      <wps:spPr>
                        <a:xfrm flipH="1" flipV="1">
                          <a:off x="0" y="0"/>
                          <a:ext cx="191135" cy="150495"/>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227.15pt;margin-top:140pt;height:11.85pt;width:15.05pt;z-index:251668480;mso-width-relative:page;mso-height-relative:page;" filled="f" stroked="t" coordsize="21600,21600" o:gfxdata="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W07nI2gAAAAsBAAAPAAAAAAAAAAEA&#10;IAAAACIAAABkcnMvZG93bnJldi54bWxQSwECFAAUAAAACACHTuJArPMG1w0CAADiAwAADgAAAAAA&#10;AAABACAAAAApAQAAZHJzL2Uyb0RvYy54bWxQSwUGAAAAAAYABgBZAQAAqAUAAAAA&#10;">
                <v:fill on="f" focussize="0,0"/>
                <v:stroke weight="2pt" color="#FF0000 [3204]" joinstyle="round" endarrow="open"/>
                <v:imagedata o:title=""/>
                <o:lock v:ext="edit" aspectratio="f"/>
              </v:shape>
            </w:pict>
          </mc:Fallback>
        </mc:AlternateContent>
      </w:r>
      <w:r>
        <w:rPr>
          <w:rFonts w:hint="eastAsia" w:ascii="宋体" w:hAnsi="宋体" w:eastAsia="宋体" w:cs="宋体"/>
          <w:sz w:val="24"/>
        </w:rPr>
        <mc:AlternateContent>
          <mc:Choice Requires="wps">
            <w:drawing>
              <wp:anchor distT="0" distB="0" distL="114300" distR="114300" simplePos="0" relativeHeight="251670528" behindDoc="0" locked="0" layoutInCell="1" allowOverlap="1">
                <wp:simplePos x="0" y="0"/>
                <wp:positionH relativeFrom="column">
                  <wp:posOffset>3255645</wp:posOffset>
                </wp:positionH>
                <wp:positionV relativeFrom="paragraph">
                  <wp:posOffset>2094230</wp:posOffset>
                </wp:positionV>
                <wp:extent cx="237490" cy="215900"/>
                <wp:effectExtent l="8255" t="9525" r="13335" b="3175"/>
                <wp:wrapNone/>
                <wp:docPr id="29" name="直接箭头连接符 29"/>
                <wp:cNvGraphicFramePr/>
                <a:graphic xmlns:a="http://schemas.openxmlformats.org/drawingml/2006/main">
                  <a:graphicData uri="http://schemas.microsoft.com/office/word/2010/wordprocessingShape">
                    <wps:wsp>
                      <wps:cNvCnPr>
                        <a:stCxn id="15" idx="3"/>
                      </wps:cNvCnPr>
                      <wps:spPr>
                        <a:xfrm>
                          <a:off x="0" y="0"/>
                          <a:ext cx="237490" cy="21590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56.35pt;margin-top:164.9pt;height:17pt;width:18.7pt;z-index:251670528;mso-width-relative:page;mso-height-relative:page;" filled="f" stroked="t" coordsize="21600,21600" o:gfxdata="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sp0112AAAAAsBAAAPAAAAAAAA&#10;AAEAIAAAACIAAABkcnMvZG93bnJldi54bWxQSwECFAAUAAAACACHTuJATcLNqBICAAD1AwAADgAA&#10;AAAAAAABACAAAAAnAQAAZHJzL2Uyb0RvYy54bWxQSwUGAAAAAAYABgBZAQAAqwUAAAAA&#10;">
                <v:fill on="f" focussize="0,0"/>
                <v:stroke weight="2pt" color="#FF0000 [3204]" joinstyle="round" endarrow="open"/>
                <v:imagedata o:title=""/>
                <o:lock v:ext="edit" aspectratio="f"/>
              </v:shape>
            </w:pict>
          </mc:Fallback>
        </mc:AlternateContent>
      </w:r>
      <w:r>
        <w:rPr>
          <w:rFonts w:hint="eastAsia" w:ascii="宋体" w:hAnsi="宋体" w:eastAsia="宋体" w:cs="宋体"/>
        </w:rPr>
        <w:drawing>
          <wp:anchor distT="0" distB="0" distL="114300" distR="114300" simplePos="0" relativeHeight="251669504" behindDoc="0" locked="0" layoutInCell="1" allowOverlap="1">
            <wp:simplePos x="0" y="0"/>
            <wp:positionH relativeFrom="column">
              <wp:posOffset>4587240</wp:posOffset>
            </wp:positionH>
            <wp:positionV relativeFrom="paragraph">
              <wp:posOffset>220980</wp:posOffset>
            </wp:positionV>
            <wp:extent cx="835025" cy="721995"/>
            <wp:effectExtent l="0" t="0" r="0" b="9525"/>
            <wp:wrapNone/>
            <wp:docPr id="36" name="图片 36" descr="n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n4"/>
                    <pic:cNvPicPr>
                      <a:picLocks noChangeAspect="1"/>
                    </pic:cNvPicPr>
                  </pic:nvPicPr>
                  <pic:blipFill>
                    <a:blip r:embed="rId14">
                      <a:clrChange>
                        <a:clrFrom>
                          <a:srgbClr val="FFFFFF">
                            <a:alpha val="100000"/>
                          </a:srgbClr>
                        </a:clrFrom>
                        <a:clrTo>
                          <a:srgbClr val="FFFFFF">
                            <a:alpha val="100000"/>
                            <a:alpha val="0"/>
                          </a:srgbClr>
                        </a:clrTo>
                      </a:clrChange>
                    </a:blip>
                    <a:stretch>
                      <a:fillRect/>
                    </a:stretch>
                  </pic:blipFill>
                  <pic:spPr>
                    <a:xfrm>
                      <a:off x="0" y="0"/>
                      <a:ext cx="835025" cy="721995"/>
                    </a:xfrm>
                    <a:prstGeom prst="rect">
                      <a:avLst/>
                    </a:prstGeom>
                  </pic:spPr>
                </pic:pic>
              </a:graphicData>
            </a:graphic>
          </wp:anchor>
        </w:drawing>
      </w:r>
      <w:r>
        <w:rPr>
          <w:rFonts w:hint="eastAsia" w:ascii="宋体" w:hAnsi="宋体" w:eastAsia="宋体" w:cs="宋体"/>
          <w:sz w:val="24"/>
        </w:rPr>
        <mc:AlternateContent>
          <mc:Choice Requires="wps">
            <w:drawing>
              <wp:anchor distT="0" distB="0" distL="114300" distR="114300" simplePos="0" relativeHeight="251666432" behindDoc="0" locked="0" layoutInCell="1" allowOverlap="1">
                <wp:simplePos x="0" y="0"/>
                <wp:positionH relativeFrom="column">
                  <wp:posOffset>3014980</wp:posOffset>
                </wp:positionH>
                <wp:positionV relativeFrom="paragraph">
                  <wp:posOffset>1851025</wp:posOffset>
                </wp:positionV>
                <wp:extent cx="297180" cy="243205"/>
                <wp:effectExtent l="0" t="0" r="7620" b="635"/>
                <wp:wrapNone/>
                <wp:docPr id="15" name="五角星 15"/>
                <wp:cNvGraphicFramePr/>
                <a:graphic xmlns:a="http://schemas.openxmlformats.org/drawingml/2006/main">
                  <a:graphicData uri="http://schemas.microsoft.com/office/word/2010/wordprocessingShape">
                    <wps:wsp>
                      <wps:cNvSpPr/>
                      <wps:spPr>
                        <a:xfrm>
                          <a:off x="0" y="0"/>
                          <a:ext cx="297180" cy="243205"/>
                        </a:xfrm>
                        <a:prstGeom prst="star5">
                          <a:avLst/>
                        </a:prstGeom>
                        <a:solidFill>
                          <a:srgbClr val="FF0000"/>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37.4pt;margin-top:145.75pt;height:19.15pt;width:23.4pt;z-index:251666432;v-text-anchor:middle;mso-width-relative:page;mso-height-relative:page;" fillcolor="#FF0000" filled="t" stroked="f" coordsize="297180,243205" o:gfxdata="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N/5LUNoAAAALAQAADwAAAAAAAAABACAAAAAiAAAAZHJzL2Rvd25yZXYueG1sUEsB&#10;AhQAFAAAAAgAh07iQMC1JItlAgAAuQQAAA4AAAAAAAAAAQAgAAAAKQEAAGRycy9lMm9Eb2MueG1s&#10;UEsFBgAAAAAGAAYAWQEAAAAGAAAAAA==&#10;" path="m0,92895l113513,92896,148590,0,183666,92896,297179,92895,205345,150308,240423,243204,148590,185790,56756,243204,91834,150308xe">
                <v:path o:connectlocs="148590,0;0,92895;56756,243204;240423,243204;297179,92895" o:connectangles="247,164,82,82,0"/>
                <v:fill on="t" focussize="0,0"/>
                <v:stroke on="f" weight="2pt"/>
                <v:imagedata o:title=""/>
                <o:lock v:ext="edit" aspectratio="f"/>
              </v:shape>
            </w:pict>
          </mc:Fallback>
        </mc:AlternateContent>
      </w:r>
    </w:p>
    <w:p w14:paraId="5411247D">
      <w:pPr>
        <w:keepNext w:val="0"/>
        <w:keepLines w:val="0"/>
        <w:pageBreakBefore w:val="0"/>
        <w:widowControl w:val="0"/>
        <w:tabs>
          <w:tab w:val="left" w:pos="840"/>
          <w:tab w:val="left" w:pos="900"/>
        </w:tabs>
        <w:kinsoku/>
        <w:wordWrap/>
        <w:overflowPunct/>
        <w:topLinePunct w:val="0"/>
        <w:autoSpaceDE/>
        <w:autoSpaceDN/>
        <w:bidi w:val="0"/>
        <w:adjustRightInd/>
        <w:snapToGrid/>
        <w:spacing w:line="360" w:lineRule="auto"/>
        <w:ind w:left="0"/>
        <w:jc w:val="center"/>
        <w:textAlignment w:val="auto"/>
        <w:rPr>
          <w:rFonts w:hint="eastAsia" w:ascii="宋体" w:hAnsi="宋体" w:eastAsia="宋体" w:cs="宋体"/>
        </w:rPr>
      </w:pP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b/>
          <w:bCs/>
          <w:color w:val="000000" w:themeColor="text1"/>
          <w14:textFill>
            <w14:solidFill>
              <w14:schemeClr w14:val="tx1"/>
            </w14:solidFill>
          </w14:textFill>
        </w:rPr>
        <w:t>图2-2 项目周边环境示意图</w:t>
      </w:r>
    </w:p>
    <w:p w14:paraId="4EFA63A6">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140" w:name="_Toc313453449"/>
      <w:bookmarkStart w:id="141" w:name="_Toc17782"/>
      <w:bookmarkStart w:id="142" w:name="_Toc335926142"/>
      <w:bookmarkStart w:id="143" w:name="_Toc29473"/>
      <w:bookmarkStart w:id="144" w:name="_Toc32452"/>
      <w:r>
        <w:rPr>
          <w:rFonts w:hint="eastAsia" w:ascii="宋体" w:hAnsi="宋体" w:eastAsia="宋体" w:cs="宋体"/>
          <w:color w:val="000000" w:themeColor="text1"/>
          <w14:textFill>
            <w14:solidFill>
              <w14:schemeClr w14:val="tx1"/>
            </w14:solidFill>
          </w14:textFill>
        </w:rPr>
        <w:t>2.2.</w:t>
      </w:r>
      <w:r>
        <w:rPr>
          <w:rFonts w:hint="eastAsia" w:ascii="宋体" w:hAnsi="宋体" w:eastAsia="宋体" w:cs="宋体"/>
          <w:color w:val="000000" w:themeColor="text1"/>
          <w:lang w:val="en-US" w:eastAsia="zh-CN"/>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气象条件</w:t>
      </w:r>
      <w:bookmarkEnd w:id="139"/>
      <w:bookmarkEnd w:id="140"/>
      <w:bookmarkEnd w:id="141"/>
      <w:bookmarkEnd w:id="142"/>
      <w:bookmarkEnd w:id="143"/>
      <w:bookmarkEnd w:id="144"/>
    </w:p>
    <w:p w14:paraId="46844248">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bookmarkStart w:id="145" w:name="_Toc129520595"/>
      <w:bookmarkStart w:id="146" w:name="_Toc54294400"/>
      <w:bookmarkStart w:id="147" w:name="_Toc103178261"/>
      <w:bookmarkStart w:id="148" w:name="_Toc51340634"/>
      <w:bookmarkStart w:id="149" w:name="_Toc313453450"/>
      <w:bookmarkStart w:id="150" w:name="_Toc21990"/>
      <w:bookmarkStart w:id="151" w:name="_Toc29539"/>
      <w:bookmarkStart w:id="152" w:name="_Toc335926143"/>
      <w:r>
        <w:rPr>
          <w:rFonts w:hint="eastAsia" w:ascii="宋体" w:hAnsi="宋体" w:eastAsia="宋体" w:cs="宋体"/>
          <w:b w:val="0"/>
          <w:bCs w:val="0"/>
          <w:color w:val="000000" w:themeColor="text1"/>
          <w:sz w:val="28"/>
          <w:szCs w:val="28"/>
          <w:lang w:val="en-US" w:eastAsia="zh-CN"/>
          <w14:textFill>
            <w14:solidFill>
              <w14:schemeClr w14:val="tx1"/>
            </w14:solidFill>
          </w14:textFill>
        </w:rPr>
        <w:t>红塔区为中亚热带半湿润冷冬高原季风气候，冬无严寒，夏无酷暑，气候宜人。由于山脉和地势的影响，使红塔区气候的水平差异和垂直差异都较大，首先，山脉对气流的动力抬升作用，使东西部降水量比中部和南部坝区偏多，其次是使气温随海拔升高而降低。因此，坝区气候温和，山区气候冷凉。红塔区地处低纬高原，冬夏半年各受两种性质不同的大气环流交替影响，因此，高原季风气候特点显著，冬半年（即干季11-4月）受南支西风急流控制，空气温暖干燥，因而晴天多，日照充足，太阳辐射强，降水少；同时由于晴朗干燥，夜间辐射冷却亦强，容易形成霜或霜冻。夏半年(即雨季5-10月)，受副热带高压控制，常受来自赤道海洋的西南季风和来自热带海洋的东南季风影响，湿度大、水汽充足、降水多，会形成洪涝灾害，鉴于以上天气特点，红塔区形成了冬暖夏凉，四季如春，夏秋多雨，冬春干旱，雨热同季的气候。</w:t>
      </w:r>
    </w:p>
    <w:p w14:paraId="1F438263">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据红塔区气象局资料，全区多年平均气温15.6℃，最冷月（1月）平均温度8.4℃，最热月（7月）平均温度20.7℃，多年极端最低气温-5.5℃，无霜期233天，年平均降水量913.0ｍｍ，年日照时数2185.0小时。2010年全年平均气温17.4℃，极端最高气温32.2℃(5月6日)，极端最低气温0.5℃（12月17日）；全年日照时数为2370.5小时，日照率为54%；霜降从2010年11月3日始，2011年2月23日止，共113天；全年降雨155天，降雨量639.6毫米；平均相对湿度为72%，最小湿度为10%；主要气象灾害有旱灾、冰雹灾等。</w:t>
      </w:r>
      <w:bookmarkEnd w:id="145"/>
      <w:bookmarkEnd w:id="146"/>
      <w:bookmarkEnd w:id="147"/>
      <w:bookmarkEnd w:id="148"/>
      <w:r>
        <w:rPr>
          <w:rFonts w:hint="eastAsia" w:ascii="宋体" w:hAnsi="宋体" w:eastAsia="宋体" w:cs="宋体"/>
          <w:b w:val="0"/>
          <w:bCs w:val="0"/>
          <w:color w:val="000000" w:themeColor="text1"/>
          <w:sz w:val="28"/>
          <w:szCs w:val="28"/>
          <w:lang w:val="en-US" w:eastAsia="zh-CN"/>
          <w14:textFill>
            <w14:solidFill>
              <w14:schemeClr w14:val="tx1"/>
            </w14:solidFill>
          </w14:textFill>
        </w:rPr>
        <w:t>红塔区多年平均雷暴日天数63天，区内常年主导风向西南风，冬季有少量北风。</w:t>
      </w:r>
    </w:p>
    <w:p w14:paraId="4A8856D6">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eastAsia" w:ascii="宋体" w:hAnsi="宋体" w:eastAsia="宋体" w:cs="宋体"/>
          <w:lang w:val="en-US" w:eastAsia="zh-CN"/>
        </w:rPr>
      </w:pPr>
      <w:r>
        <w:rPr>
          <w:rFonts w:hint="eastAsia" w:ascii="宋体" w:hAnsi="宋体" w:eastAsia="宋体" w:cs="宋体"/>
          <w:kern w:val="2"/>
          <w:sz w:val="28"/>
          <w:szCs w:val="28"/>
          <w:lang w:val="en-US" w:eastAsia="zh-CN" w:bidi="ar-SA"/>
        </w:rPr>
        <w:t>项目所在地研和街道属于中亚热带半湿润凉冬高原季风气候。冬季，这里的空气温暖，降水量较少，晴天多，日照充足，气候干燥。夏季则空气湿度大，水汽充足，降水和云量多，日照时间较长。霜冻多发于秋末至来年春初，全年无霜期为206天。年平均气温在15—16°C之间，最热月（七月份）平均温度在25—26°C之间，极端最高气温为33.5°C，最冷月（一月份）平均温度在0°C—0.2°C之间，极端最低温度为-4.6°C。镇内年降水量在800—900毫米之间，年日照时数为2265.1小时，日照百分率达到51%。综上所述，研和镇的气候特点是温暖湿润、四季分明，日照充足，降水量适中，适宜农业生产，同时也有利于居民的生活和健康。</w:t>
      </w:r>
    </w:p>
    <w:p w14:paraId="3567550C">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153" w:name="_Toc11571"/>
      <w:r>
        <w:rPr>
          <w:rFonts w:hint="eastAsia" w:ascii="宋体" w:hAnsi="宋体" w:eastAsia="宋体" w:cs="宋体"/>
          <w:color w:val="000000" w:themeColor="text1"/>
          <w14:textFill>
            <w14:solidFill>
              <w14:schemeClr w14:val="tx1"/>
            </w14:solidFill>
          </w14:textFill>
        </w:rPr>
        <w:t>2.2.</w:t>
      </w:r>
      <w:r>
        <w:rPr>
          <w:rFonts w:hint="eastAsia" w:ascii="宋体" w:hAnsi="宋体" w:eastAsia="宋体" w:cs="宋体"/>
          <w:color w:val="000000" w:themeColor="text1"/>
          <w:lang w:val="en-US" w:eastAsia="zh-CN"/>
          <w14:textFill>
            <w14:solidFill>
              <w14:schemeClr w14:val="tx1"/>
            </w14:solidFill>
          </w14:textFill>
        </w:rPr>
        <w:t xml:space="preserve">5 </w:t>
      </w:r>
      <w:r>
        <w:rPr>
          <w:rFonts w:hint="eastAsia" w:ascii="宋体" w:hAnsi="宋体" w:eastAsia="宋体" w:cs="宋体"/>
          <w:color w:val="000000" w:themeColor="text1"/>
          <w14:textFill>
            <w14:solidFill>
              <w14:schemeClr w14:val="tx1"/>
            </w14:solidFill>
          </w14:textFill>
        </w:rPr>
        <w:t>地质条件</w:t>
      </w:r>
      <w:bookmarkEnd w:id="149"/>
      <w:bookmarkEnd w:id="150"/>
      <w:bookmarkEnd w:id="151"/>
      <w:bookmarkEnd w:id="152"/>
      <w:bookmarkEnd w:id="153"/>
    </w:p>
    <w:p w14:paraId="7B432EE0">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1.地形、地貌</w:t>
      </w:r>
    </w:p>
    <w:p w14:paraId="3968E81D">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研和街道地处云贵高原西南部邻近边缘带，宽平山脊或圆形山顶形成了复杂的地形地貌，四周山系环抱研和盆地，坝子中矮丘起伏。东边山势平缓，西边山势峻缓。境内最高峰回族山位于南厂社区，海拔2142.6米；最低点黑泥红石岩位于玉屏社区红塔区、峨山县、通海县三县交界点，海拔1502米。</w:t>
      </w:r>
    </w:p>
    <w:p w14:paraId="67B0A9A9">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根据玉溪市明哲数控科技有限公司所提供地质资料及评价组现场检查，厂区内未发现塌陷、开裂、下沉等地灾现象。</w:t>
      </w:r>
    </w:p>
    <w:p w14:paraId="6A82F185">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.水文</w:t>
      </w:r>
    </w:p>
    <w:p w14:paraId="43024F91">
      <w:pPr>
        <w:keepNext w:val="0"/>
        <w:keepLines w:val="0"/>
        <w:pageBreakBefore w:val="0"/>
        <w:widowControl w:val="0"/>
        <w:numPr>
          <w:ilvl w:val="0"/>
          <w:numId w:val="0"/>
        </w:numPr>
        <w:kinsoku/>
        <w:wordWrap/>
        <w:overflowPunct/>
        <w:topLinePunct w:val="0"/>
        <w:autoSpaceDE/>
        <w:autoSpaceDN/>
        <w:bidi w:val="0"/>
        <w:adjustRightInd w:val="0"/>
        <w:snapToGrid/>
        <w:spacing w:line="500" w:lineRule="exact"/>
        <w:ind w:leftChars="0" w:firstLine="560" w:firstLineChars="200"/>
        <w:jc w:val="left"/>
        <w:textAlignment w:val="auto"/>
        <w:outlineLvl w:val="9"/>
        <w:rPr>
          <w:rFonts w:hint="eastAsia" w:ascii="宋体" w:hAnsi="宋体" w:eastAsia="宋体" w:cs="宋体"/>
          <w:color w:val="auto"/>
          <w:sz w:val="28"/>
          <w:szCs w:val="24"/>
          <w:lang w:val="en-US" w:eastAsia="zh-CN"/>
        </w:rPr>
      </w:pPr>
      <w:r>
        <w:rPr>
          <w:rFonts w:hint="eastAsia" w:ascii="宋体" w:hAnsi="宋体" w:eastAsia="宋体" w:cs="宋体"/>
          <w:color w:val="auto"/>
          <w:sz w:val="28"/>
          <w:szCs w:val="24"/>
          <w:lang w:val="en-US" w:eastAsia="zh-CN"/>
        </w:rPr>
        <w:t>研和街道境内河道属珠江流域。主要河道有东风大沟、歪者河、清水沟3条。河流总长度47千米，河网密度31.3千米/平方千米。境内最大河流东风南沟自高仓入境至玉屏村，全长15.6千米。流域面积1.5平方千米，年均流量0.3立方米/秒。</w:t>
      </w:r>
    </w:p>
    <w:p w14:paraId="674B99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项目区属于南盘江水系，位于南盘江一级支流曲江的支流大沙河右岸。处于玉溪盆地与低中山丘陵地形接触部位，项目范围内无常年性河流，也无泉水出露。</w:t>
      </w:r>
    </w:p>
    <w:p w14:paraId="7BD7D701">
      <w:pPr>
        <w:pStyle w:val="9"/>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14:textFill>
            <w14:solidFill>
              <w14:schemeClr w14:val="tx1"/>
            </w14:solidFill>
          </w14:textFill>
        </w:rPr>
        <w:t>.抗震</w:t>
      </w:r>
    </w:p>
    <w:p w14:paraId="755E732E">
      <w:pPr>
        <w:keepNext w:val="0"/>
        <w:keepLines w:val="0"/>
        <w:pageBreakBefore w:val="0"/>
        <w:widowControl w:val="0"/>
        <w:numPr>
          <w:ilvl w:val="0"/>
          <w:numId w:val="0"/>
        </w:numPr>
        <w:kinsoku/>
        <w:wordWrap/>
        <w:overflowPunct/>
        <w:topLinePunct w:val="0"/>
        <w:autoSpaceDE/>
        <w:autoSpaceDN/>
        <w:bidi w:val="0"/>
        <w:adjustRightInd w:val="0"/>
        <w:snapToGrid/>
        <w:spacing w:line="500" w:lineRule="exact"/>
        <w:ind w:leftChars="0" w:firstLine="560" w:firstLineChars="20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据《建筑抗震设计规范</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2024年版</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》GB50011—2010</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中的有关规定，</w:t>
      </w:r>
      <w:r>
        <w:rPr>
          <w:rFonts w:hint="eastAsia" w:ascii="宋体" w:hAnsi="宋体" w:eastAsia="宋体" w:cs="宋体"/>
          <w:color w:val="auto"/>
          <w:sz w:val="28"/>
          <w:szCs w:val="24"/>
        </w:rPr>
        <w:t>玉溪市红塔区</w:t>
      </w:r>
      <w:r>
        <w:rPr>
          <w:rFonts w:hint="eastAsia" w:ascii="宋体" w:hAnsi="宋体" w:eastAsia="宋体" w:cs="宋体"/>
          <w:color w:val="auto"/>
          <w:sz w:val="28"/>
          <w:szCs w:val="24"/>
          <w:lang w:val="en-US" w:eastAsia="zh-CN"/>
        </w:rPr>
        <w:t>研和街道</w:t>
      </w:r>
      <w:r>
        <w:rPr>
          <w:rFonts w:hint="eastAsia" w:ascii="宋体" w:hAnsi="宋体" w:eastAsia="宋体" w:cs="宋体"/>
          <w:color w:val="auto"/>
          <w:sz w:val="28"/>
          <w:szCs w:val="24"/>
        </w:rPr>
        <w:t>抗震设防烈度为8度，设计基本地震加速度值0.2g，设计按8度设防</w:t>
      </w:r>
      <w:r>
        <w:rPr>
          <w:rFonts w:hint="eastAsia" w:ascii="宋体" w:hAnsi="宋体" w:eastAsia="宋体" w:cs="宋体"/>
          <w:color w:val="auto"/>
          <w:sz w:val="28"/>
          <w:szCs w:val="24"/>
          <w:lang w:eastAsia="zh-CN"/>
        </w:rPr>
        <w:t>。</w:t>
      </w:r>
    </w:p>
    <w:p w14:paraId="3BFAABBA">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154" w:name="_Toc335926144"/>
      <w:bookmarkStart w:id="155" w:name="_Toc327017738"/>
      <w:bookmarkStart w:id="156" w:name="_Toc2898"/>
      <w:bookmarkStart w:id="157" w:name="_Toc309682404"/>
      <w:bookmarkStart w:id="158" w:name="_Toc2184"/>
      <w:bookmarkStart w:id="159" w:name="_Toc278151346"/>
      <w:bookmarkStart w:id="160" w:name="_Toc11484"/>
      <w:r>
        <w:rPr>
          <w:rFonts w:hint="eastAsia" w:ascii="宋体" w:hAnsi="宋体" w:eastAsia="宋体" w:cs="宋体"/>
          <w:color w:val="000000" w:themeColor="text1"/>
          <w14:textFill>
            <w14:solidFill>
              <w14:schemeClr w14:val="tx1"/>
            </w14:solidFill>
          </w14:textFill>
        </w:rPr>
        <w:t>2.3</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总图布置</w:t>
      </w:r>
      <w:bookmarkEnd w:id="154"/>
      <w:bookmarkEnd w:id="155"/>
      <w:bookmarkEnd w:id="156"/>
      <w:bookmarkEnd w:id="157"/>
      <w:bookmarkEnd w:id="158"/>
      <w:bookmarkEnd w:id="159"/>
      <w:bookmarkEnd w:id="160"/>
    </w:p>
    <w:p w14:paraId="5A76199F">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161" w:name="_Toc18825"/>
      <w:bookmarkStart w:id="162" w:name="_Toc327017739"/>
      <w:bookmarkStart w:id="163" w:name="_Toc278151347"/>
      <w:bookmarkStart w:id="164" w:name="_Toc309682405"/>
      <w:bookmarkStart w:id="165" w:name="_Toc24006"/>
      <w:bookmarkStart w:id="166" w:name="_Toc335926145"/>
      <w:bookmarkStart w:id="167" w:name="_Toc28529"/>
      <w:r>
        <w:rPr>
          <w:rFonts w:hint="eastAsia" w:ascii="宋体" w:hAnsi="宋体" w:eastAsia="宋体" w:cs="宋体"/>
          <w:color w:val="000000" w:themeColor="text1"/>
          <w14:textFill>
            <w14:solidFill>
              <w14:schemeClr w14:val="tx1"/>
            </w14:solidFill>
          </w14:textFill>
        </w:rPr>
        <w:t>2.3.1</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总平面布置</w:t>
      </w:r>
      <w:bookmarkEnd w:id="161"/>
      <w:bookmarkEnd w:id="162"/>
      <w:bookmarkEnd w:id="163"/>
      <w:bookmarkEnd w:id="164"/>
      <w:bookmarkEnd w:id="165"/>
      <w:bookmarkEnd w:id="166"/>
      <w:bookmarkEnd w:id="167"/>
    </w:p>
    <w:p w14:paraId="2AC9B9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lang w:eastAsia="zh-CN"/>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现状：</w:t>
      </w:r>
      <w:r>
        <w:rPr>
          <w:rFonts w:hint="eastAsia" w:ascii="宋体" w:hAnsi="宋体" w:eastAsia="宋体" w:cs="宋体"/>
          <w:color w:val="000000" w:themeColor="text1"/>
          <w:sz w:val="28"/>
          <w:lang w:eastAsia="zh-CN"/>
          <w14:textFill>
            <w14:solidFill>
              <w14:schemeClr w14:val="tx1"/>
            </w14:solidFill>
          </w14:textFill>
        </w:rPr>
        <w:t>厂区</w:t>
      </w:r>
      <w:r>
        <w:rPr>
          <w:rFonts w:hint="eastAsia" w:ascii="宋体" w:hAnsi="宋体" w:eastAsia="宋体" w:cs="宋体"/>
          <w:color w:val="000000" w:themeColor="text1"/>
          <w:sz w:val="28"/>
          <w14:textFill>
            <w14:solidFill>
              <w14:schemeClr w14:val="tx1"/>
            </w14:solidFill>
          </w14:textFill>
        </w:rPr>
        <w:t>根据生产需要将平面布置分为生产区、</w:t>
      </w:r>
      <w:r>
        <w:rPr>
          <w:rFonts w:hint="eastAsia" w:ascii="宋体" w:hAnsi="宋体" w:eastAsia="宋体" w:cs="宋体"/>
          <w:color w:val="000000" w:themeColor="text1"/>
          <w:sz w:val="28"/>
          <w:lang w:eastAsia="zh-CN"/>
          <w14:textFill>
            <w14:solidFill>
              <w14:schemeClr w14:val="tx1"/>
            </w14:solidFill>
          </w14:textFill>
        </w:rPr>
        <w:t>非生产区</w:t>
      </w:r>
      <w:r>
        <w:rPr>
          <w:rFonts w:hint="eastAsia" w:ascii="宋体" w:hAnsi="宋体" w:eastAsia="宋体" w:cs="宋体"/>
          <w:color w:val="000000" w:themeColor="text1"/>
          <w:sz w:val="28"/>
          <w:lang w:eastAsia="zh-CN"/>
          <w14:textFill>
            <w14:solidFill>
              <w14:schemeClr w14:val="tx1"/>
            </w14:solidFill>
          </w14:textFill>
        </w:rPr>
        <w:t>。</w:t>
      </w:r>
    </w:p>
    <w:p w14:paraId="10B05B9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lang w:val="en-US"/>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生产区包括：</w:t>
      </w:r>
      <w:r>
        <w:rPr>
          <w:rFonts w:hint="eastAsia" w:ascii="宋体" w:hAnsi="宋体" w:eastAsia="宋体" w:cs="宋体"/>
          <w:color w:val="000000" w:themeColor="text1"/>
          <w:sz w:val="28"/>
          <w:lang w:val="en-US" w:eastAsia="zh-CN"/>
          <w14:textFill>
            <w14:solidFill>
              <w14:schemeClr w14:val="tx1"/>
            </w14:solidFill>
          </w14:textFill>
        </w:rPr>
        <w:t>生产车间</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加工区、组装区、仓库区。</w:t>
      </w:r>
    </w:p>
    <w:p w14:paraId="06D8AE0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非生产区包括：</w:t>
      </w:r>
      <w:r>
        <w:rPr>
          <w:rFonts w:hint="eastAsia" w:ascii="宋体" w:hAnsi="宋体" w:eastAsia="宋体" w:cs="宋体"/>
          <w:color w:val="000000" w:themeColor="text1"/>
          <w:sz w:val="28"/>
          <w:lang w:val="en-US" w:eastAsia="zh-CN"/>
          <w14:textFill>
            <w14:solidFill>
              <w14:schemeClr w14:val="tx1"/>
            </w14:solidFill>
          </w14:textFill>
        </w:rPr>
        <w:t>二楼办公室。</w:t>
      </w:r>
    </w:p>
    <w:p w14:paraId="69C0560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lang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厂内建筑：</w:t>
      </w:r>
      <w:r>
        <w:rPr>
          <w:rFonts w:hint="eastAsia" w:ascii="宋体" w:hAnsi="宋体" w:eastAsia="宋体" w:cs="宋体"/>
          <w:snapToGrid w:val="0"/>
          <w:color w:val="000000" w:themeColor="text1"/>
          <w:kern w:val="0"/>
          <w:sz w:val="28"/>
          <w:lang w:val="en-US" w:eastAsia="zh-CN"/>
          <w14:textFill>
            <w14:solidFill>
              <w14:schemeClr w14:val="tx1"/>
            </w14:solidFill>
          </w14:textFill>
        </w:rPr>
        <w:t>厂区东侧为生产区，东北侧、东南侧为仓库，东北侧仓库侧上方二楼为公司办公室，西南侧为加工区，西北侧为组装区，</w:t>
      </w:r>
      <w:r>
        <w:rPr>
          <w:rFonts w:hint="eastAsia" w:ascii="宋体" w:hAnsi="宋体" w:eastAsia="宋体" w:cs="宋体"/>
          <w:color w:val="000000" w:themeColor="text1"/>
          <w:sz w:val="28"/>
          <w:szCs w:val="28"/>
          <w14:textFill>
            <w14:solidFill>
              <w14:schemeClr w14:val="tx1"/>
            </w14:solidFill>
          </w14:textFill>
        </w:rPr>
        <w:t>总平面布置图见图</w:t>
      </w:r>
      <w:r>
        <w:rPr>
          <w:rFonts w:hint="eastAsia" w:ascii="宋体" w:hAnsi="宋体" w:eastAsia="宋体" w:cs="宋体"/>
          <w:color w:val="000000" w:themeColor="text1"/>
          <w:sz w:val="28"/>
          <w:szCs w:val="28"/>
          <w:lang w:val="en-US" w:eastAsia="zh-CN"/>
          <w14:textFill>
            <w14:solidFill>
              <w14:schemeClr w14:val="tx1"/>
            </w14:solidFill>
          </w14:textFill>
        </w:rPr>
        <w:t>2-3</w:t>
      </w:r>
      <w:r>
        <w:rPr>
          <w:rFonts w:hint="eastAsia" w:ascii="宋体" w:hAnsi="宋体" w:eastAsia="宋体" w:cs="宋体"/>
          <w:color w:val="000000" w:themeColor="text1"/>
          <w:sz w:val="28"/>
          <w:szCs w:val="20"/>
          <w14:textFill>
            <w14:solidFill>
              <w14:schemeClr w14:val="tx1"/>
            </w14:solidFill>
          </w14:textFill>
        </w:rPr>
        <w:t>所示</w:t>
      </w:r>
      <w:r>
        <w:rPr>
          <w:rFonts w:hint="eastAsia" w:ascii="宋体" w:hAnsi="宋体" w:eastAsia="宋体" w:cs="宋体"/>
          <w:color w:val="000000" w:themeColor="text1"/>
          <w:sz w:val="28"/>
          <w:szCs w:val="20"/>
          <w:lang w:eastAsia="zh-CN"/>
          <w14:textFill>
            <w14:solidFill>
              <w14:schemeClr w14:val="tx1"/>
            </w14:solidFill>
          </w14:textFill>
        </w:rPr>
        <w:t>。</w:t>
      </w:r>
    </w:p>
    <w:p w14:paraId="156A35D0">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auto"/>
          <w:sz w:val="28"/>
          <w:szCs w:val="28"/>
          <w:lang w:eastAsia="zh-CN"/>
        </w:rPr>
        <w:drawing>
          <wp:anchor distT="0" distB="0" distL="114300" distR="114300" simplePos="0" relativeHeight="251678720" behindDoc="0" locked="0" layoutInCell="1" allowOverlap="1">
            <wp:simplePos x="0" y="0"/>
            <wp:positionH relativeFrom="column">
              <wp:posOffset>589915</wp:posOffset>
            </wp:positionH>
            <wp:positionV relativeFrom="paragraph">
              <wp:posOffset>3175</wp:posOffset>
            </wp:positionV>
            <wp:extent cx="4271645" cy="5226685"/>
            <wp:effectExtent l="0" t="0" r="10795" b="635"/>
            <wp:wrapTopAndBottom/>
            <wp:docPr id="69" name="F360BE8B-6686-4F3D-AEAF-501FE73E4058-1" descr="C:/Users/33837/AppData/Local/Temp/玉溪明哲总平面布置图(1).png玉溪明哲总平面布置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F360BE8B-6686-4F3D-AEAF-501FE73E4058-1" descr="C:/Users/33837/AppData/Local/Temp/玉溪明哲总平面布置图(1).png玉溪明哲总平面布置图(1)"/>
                    <pic:cNvPicPr>
                      <a:picLocks noChangeAspect="1"/>
                    </pic:cNvPicPr>
                  </pic:nvPicPr>
                  <pic:blipFill>
                    <a:blip r:embed="rId15"/>
                    <a:stretch>
                      <a:fillRect/>
                    </a:stretch>
                  </pic:blipFill>
                  <pic:spPr>
                    <a:xfrm>
                      <a:off x="0" y="0"/>
                      <a:ext cx="4271645" cy="5226685"/>
                    </a:xfrm>
                    <a:prstGeom prst="rect">
                      <a:avLst/>
                    </a:prstGeom>
                  </pic:spPr>
                </pic:pic>
              </a:graphicData>
            </a:graphic>
          </wp:anchor>
        </w:drawing>
      </w:r>
      <w:r>
        <w:rPr>
          <w:rFonts w:hint="eastAsia" w:ascii="宋体" w:hAnsi="宋体" w:eastAsia="宋体" w:cs="宋体"/>
          <w:color w:val="000000" w:themeColor="text1"/>
          <w:sz w:val="28"/>
          <w:szCs w:val="28"/>
          <w14:textFill>
            <w14:solidFill>
              <w14:schemeClr w14:val="tx1"/>
            </w14:solidFill>
          </w14:textFill>
        </w:rPr>
        <w:t>图</w:t>
      </w:r>
      <w:r>
        <w:rPr>
          <w:rFonts w:hint="eastAsia" w:ascii="宋体" w:hAnsi="宋体" w:eastAsia="宋体" w:cs="宋体"/>
          <w:color w:val="000000" w:themeColor="text1"/>
          <w:sz w:val="28"/>
          <w:szCs w:val="28"/>
          <w:lang w:val="en-US" w:eastAsia="zh-CN"/>
          <w14:textFill>
            <w14:solidFill>
              <w14:schemeClr w14:val="tx1"/>
            </w14:solidFill>
          </w14:textFill>
        </w:rPr>
        <w:t xml:space="preserve">2-3 </w:t>
      </w:r>
      <w:r>
        <w:rPr>
          <w:rFonts w:hint="eastAsia" w:ascii="宋体" w:hAnsi="宋体" w:eastAsia="宋体" w:cs="宋体"/>
          <w:color w:val="000000" w:themeColor="text1"/>
          <w:sz w:val="28"/>
          <w:szCs w:val="28"/>
          <w14:textFill>
            <w14:solidFill>
              <w14:schemeClr w14:val="tx1"/>
            </w14:solidFill>
          </w14:textFill>
        </w:rPr>
        <w:t>总平面布置图</w:t>
      </w:r>
    </w:p>
    <w:p w14:paraId="0598EC1B">
      <w:pPr>
        <w:pStyle w:val="5"/>
        <w:bidi w:val="0"/>
        <w:rPr>
          <w:rFonts w:hint="eastAsia" w:ascii="宋体" w:hAnsi="宋体" w:eastAsia="宋体" w:cs="宋体"/>
        </w:rPr>
      </w:pPr>
      <w:bookmarkStart w:id="168" w:name="_Toc3812"/>
      <w:bookmarkStart w:id="169" w:name="_Toc31670"/>
      <w:r>
        <w:rPr>
          <w:rFonts w:hint="eastAsia" w:ascii="宋体" w:hAnsi="宋体" w:eastAsia="宋体" w:cs="宋体"/>
        </w:rPr>
        <w:t>2.</w:t>
      </w:r>
      <w:r>
        <w:rPr>
          <w:rFonts w:hint="eastAsia" w:ascii="宋体" w:hAnsi="宋体" w:eastAsia="宋体" w:cs="宋体"/>
          <w:lang w:val="en-US" w:eastAsia="zh-CN"/>
        </w:rPr>
        <w:t>3</w:t>
      </w:r>
      <w:r>
        <w:rPr>
          <w:rFonts w:hint="eastAsia" w:ascii="宋体" w:hAnsi="宋体" w:eastAsia="宋体" w:cs="宋体"/>
        </w:rPr>
        <w:t>.</w:t>
      </w:r>
      <w:r>
        <w:rPr>
          <w:rFonts w:hint="eastAsia" w:ascii="宋体" w:hAnsi="宋体" w:eastAsia="宋体" w:cs="宋体"/>
          <w:lang w:val="en-US" w:eastAsia="zh-CN"/>
        </w:rPr>
        <w:t>2</w:t>
      </w:r>
      <w:r>
        <w:rPr>
          <w:rFonts w:hint="eastAsia" w:ascii="宋体" w:hAnsi="宋体" w:eastAsia="宋体" w:cs="宋体"/>
        </w:rPr>
        <w:t xml:space="preserve"> 主要建（构）筑物防火间距</w:t>
      </w:r>
      <w:bookmarkEnd w:id="168"/>
      <w:bookmarkEnd w:id="169"/>
    </w:p>
    <w:p w14:paraId="4273CD7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lang w:eastAsia="zh-CN"/>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根据</w:t>
      </w:r>
      <w:r>
        <w:rPr>
          <w:rFonts w:hint="eastAsia" w:ascii="宋体" w:hAnsi="宋体" w:eastAsia="宋体" w:cs="宋体"/>
          <w:color w:val="000000" w:themeColor="text1"/>
          <w:sz w:val="28"/>
          <w:lang w:eastAsia="zh-CN"/>
          <w14:textFill>
            <w14:solidFill>
              <w14:schemeClr w14:val="tx1"/>
            </w14:solidFill>
          </w14:textFill>
        </w:rPr>
        <w:t>《建筑设计防火规范（2018年版）》（GB50016-2014）</w:t>
      </w:r>
      <w:r>
        <w:rPr>
          <w:rFonts w:hint="eastAsia" w:ascii="宋体" w:hAnsi="宋体" w:eastAsia="宋体" w:cs="宋体"/>
          <w:color w:val="000000" w:themeColor="text1"/>
          <w:sz w:val="28"/>
          <w14:textFill>
            <w14:solidFill>
              <w14:schemeClr w14:val="tx1"/>
            </w14:solidFill>
          </w14:textFill>
        </w:rPr>
        <w:t>，本项目</w:t>
      </w:r>
      <w:r>
        <w:rPr>
          <w:rFonts w:hint="eastAsia" w:ascii="宋体" w:hAnsi="宋体" w:eastAsia="宋体" w:cs="宋体"/>
          <w:color w:val="000000" w:themeColor="text1"/>
          <w:sz w:val="28"/>
          <w:lang w:val="en-US" w:eastAsia="zh-CN"/>
          <w14:textFill>
            <w14:solidFill>
              <w14:schemeClr w14:val="tx1"/>
            </w14:solidFill>
          </w14:textFill>
        </w:rPr>
        <w:t>厂区内主要</w:t>
      </w:r>
      <w:r>
        <w:rPr>
          <w:rFonts w:hint="eastAsia" w:ascii="宋体" w:hAnsi="宋体" w:eastAsia="宋体" w:cs="宋体"/>
          <w:color w:val="000000" w:themeColor="text1"/>
          <w:sz w:val="28"/>
          <w:lang w:eastAsia="zh-CN"/>
          <w14:textFill>
            <w14:solidFill>
              <w14:schemeClr w14:val="tx1"/>
            </w14:solidFill>
          </w14:textFill>
        </w:rPr>
        <w:t>建（</w:t>
      </w:r>
      <w:r>
        <w:rPr>
          <w:rFonts w:hint="eastAsia" w:ascii="宋体" w:hAnsi="宋体" w:eastAsia="宋体" w:cs="宋体"/>
          <w:color w:val="000000" w:themeColor="text1"/>
          <w:sz w:val="28"/>
          <w:lang w:val="en-US" w:eastAsia="zh-CN"/>
          <w14:textFill>
            <w14:solidFill>
              <w14:schemeClr w14:val="tx1"/>
            </w14:solidFill>
          </w14:textFill>
        </w:rPr>
        <w:t>构</w:t>
      </w:r>
      <w:r>
        <w:rPr>
          <w:rFonts w:hint="eastAsia" w:ascii="宋体" w:hAnsi="宋体" w:eastAsia="宋体" w:cs="宋体"/>
          <w:color w:val="000000" w:themeColor="text1"/>
          <w:sz w:val="28"/>
          <w:lang w:eastAsia="zh-CN"/>
          <w14:textFill>
            <w14:solidFill>
              <w14:schemeClr w14:val="tx1"/>
            </w14:solidFill>
          </w14:textFill>
        </w:rPr>
        <w:t>）筑</w:t>
      </w:r>
      <w:r>
        <w:rPr>
          <w:rFonts w:hint="eastAsia" w:ascii="宋体" w:hAnsi="宋体" w:eastAsia="宋体" w:cs="宋体"/>
          <w:color w:val="000000" w:themeColor="text1"/>
          <w:sz w:val="28"/>
          <w:lang w:val="en-US" w:eastAsia="zh-CN"/>
          <w14:textFill>
            <w14:solidFill>
              <w14:schemeClr w14:val="tx1"/>
            </w14:solidFill>
          </w14:textFill>
        </w:rPr>
        <w:t>物有</w:t>
      </w:r>
      <w:r>
        <w:rPr>
          <w:rFonts w:hint="eastAsia" w:ascii="宋体" w:hAnsi="宋体" w:eastAsia="宋体" w:cs="宋体"/>
          <w:color w:val="000000" w:themeColor="text1"/>
          <w:sz w:val="28"/>
          <w:lang w:val="en-US" w:eastAsia="zh-CN"/>
          <w14:textFill>
            <w14:solidFill>
              <w14:schemeClr w14:val="tx1"/>
            </w14:solidFill>
          </w14:textFill>
        </w:rPr>
        <w:t>生产车间</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加工区、组装区、仓库区、二楼办公室</w:t>
      </w:r>
      <w:r>
        <w:rPr>
          <w:rFonts w:hint="eastAsia" w:ascii="宋体" w:hAnsi="宋体" w:eastAsia="宋体" w:cs="宋体"/>
          <w:color w:val="000000" w:themeColor="text1"/>
          <w:sz w:val="28"/>
          <w:lang w:val="en-US" w:eastAsia="zh-CN"/>
          <w14:textFill>
            <w14:solidFill>
              <w14:schemeClr w14:val="tx1"/>
            </w14:solidFill>
          </w14:textFill>
        </w:rPr>
        <w:t>等，</w:t>
      </w:r>
      <w:r>
        <w:rPr>
          <w:rFonts w:hint="eastAsia" w:ascii="宋体" w:hAnsi="宋体" w:eastAsia="宋体" w:cs="宋体"/>
          <w:color w:val="000000" w:themeColor="text1"/>
          <w:sz w:val="28"/>
          <w:lang w:val="en-US" w:eastAsia="zh-CN"/>
          <w14:textFill>
            <w14:solidFill>
              <w14:schemeClr w14:val="tx1"/>
            </w14:solidFill>
          </w14:textFill>
        </w:rPr>
        <w:t>生产车间、加工区、组装区</w:t>
      </w:r>
      <w:r>
        <w:rPr>
          <w:rFonts w:hint="eastAsia" w:ascii="宋体" w:hAnsi="宋体" w:eastAsia="宋体" w:cs="宋体"/>
          <w:color w:val="000000" w:themeColor="text1"/>
          <w:sz w:val="28"/>
          <w:lang w:val="en-US" w:eastAsia="zh-CN"/>
          <w14:textFill>
            <w14:solidFill>
              <w14:schemeClr w14:val="tx1"/>
            </w14:solidFill>
          </w14:textFill>
        </w:rPr>
        <w:t>为丁类，</w:t>
      </w:r>
      <w:r>
        <w:rPr>
          <w:rFonts w:hint="eastAsia" w:ascii="宋体" w:hAnsi="宋体" w:eastAsia="宋体" w:cs="宋体"/>
          <w:color w:val="000000" w:themeColor="text1"/>
          <w:sz w:val="28"/>
          <w:lang w:val="en-US" w:eastAsia="zh-CN"/>
          <w14:textFill>
            <w14:solidFill>
              <w14:schemeClr w14:val="tx1"/>
            </w14:solidFill>
          </w14:textFill>
        </w:rPr>
        <w:t>办公室</w:t>
      </w:r>
      <w:r>
        <w:rPr>
          <w:rFonts w:hint="eastAsia" w:ascii="宋体" w:hAnsi="宋体" w:eastAsia="宋体" w:cs="宋体"/>
          <w:color w:val="000000" w:themeColor="text1"/>
          <w:sz w:val="28"/>
          <w:lang w:val="en-US" w:eastAsia="zh-CN"/>
          <w14:textFill>
            <w14:solidFill>
              <w14:schemeClr w14:val="tx1"/>
            </w14:solidFill>
          </w14:textFill>
        </w:rPr>
        <w:t>为戊类，</w:t>
      </w:r>
      <w:r>
        <w:rPr>
          <w:rFonts w:hint="eastAsia" w:ascii="宋体" w:hAnsi="宋体" w:eastAsia="宋体" w:cs="宋体"/>
          <w:color w:val="000000" w:themeColor="text1"/>
          <w:sz w:val="28"/>
          <w:lang w:val="en-US" w:eastAsia="zh-CN"/>
          <w14:textFill>
            <w14:solidFill>
              <w14:schemeClr w14:val="tx1"/>
            </w14:solidFill>
          </w14:textFill>
        </w:rPr>
        <w:t>仓库区</w:t>
      </w:r>
      <w:r>
        <w:rPr>
          <w:rFonts w:hint="eastAsia" w:ascii="宋体" w:hAnsi="宋体" w:eastAsia="宋体" w:cs="宋体"/>
          <w:color w:val="000000" w:themeColor="text1"/>
          <w:sz w:val="28"/>
          <w:lang w:val="en-US" w:eastAsia="zh-CN"/>
          <w14:textFill>
            <w14:solidFill>
              <w14:schemeClr w14:val="tx1"/>
            </w14:solidFill>
          </w14:textFill>
        </w:rPr>
        <w:t>为丙类。各类建</w:t>
      </w:r>
      <w:r>
        <w:rPr>
          <w:rFonts w:hint="eastAsia" w:ascii="宋体" w:hAnsi="宋体" w:eastAsia="宋体" w:cs="宋体"/>
          <w:color w:val="000000" w:themeColor="text1"/>
          <w:sz w:val="28"/>
          <w:lang w:eastAsia="zh-CN"/>
          <w14:textFill>
            <w14:solidFill>
              <w14:schemeClr w14:val="tx1"/>
            </w14:solidFill>
          </w14:textFill>
        </w:rPr>
        <w:t>（</w:t>
      </w:r>
      <w:r>
        <w:rPr>
          <w:rFonts w:hint="eastAsia" w:ascii="宋体" w:hAnsi="宋体" w:eastAsia="宋体" w:cs="宋体"/>
          <w:color w:val="000000" w:themeColor="text1"/>
          <w:sz w:val="28"/>
          <w:lang w:val="en-US" w:eastAsia="zh-CN"/>
          <w14:textFill>
            <w14:solidFill>
              <w14:schemeClr w14:val="tx1"/>
            </w14:solidFill>
          </w14:textFill>
        </w:rPr>
        <w:t>构</w:t>
      </w:r>
      <w:r>
        <w:rPr>
          <w:rFonts w:hint="eastAsia" w:ascii="宋体" w:hAnsi="宋体" w:eastAsia="宋体" w:cs="宋体"/>
          <w:color w:val="000000" w:themeColor="text1"/>
          <w:sz w:val="28"/>
          <w:lang w:eastAsia="zh-CN"/>
          <w14:textFill>
            <w14:solidFill>
              <w14:schemeClr w14:val="tx1"/>
            </w14:solidFill>
          </w14:textFill>
        </w:rPr>
        <w:t>）</w:t>
      </w:r>
      <w:r>
        <w:rPr>
          <w:rFonts w:hint="eastAsia" w:ascii="宋体" w:hAnsi="宋体" w:eastAsia="宋体" w:cs="宋体"/>
          <w:color w:val="000000" w:themeColor="text1"/>
          <w:sz w:val="28"/>
          <w:lang w:val="en-US" w:eastAsia="zh-CN"/>
          <w14:textFill>
            <w14:solidFill>
              <w14:schemeClr w14:val="tx1"/>
            </w14:solidFill>
          </w14:textFill>
        </w:rPr>
        <w:t>筑物的耐火等级均为二类，防火间距</w:t>
      </w:r>
      <w:r>
        <w:rPr>
          <w:rFonts w:hint="eastAsia" w:ascii="宋体" w:hAnsi="宋体" w:eastAsia="宋体" w:cs="宋体"/>
          <w:color w:val="000000" w:themeColor="text1"/>
          <w:sz w:val="28"/>
          <w14:textFill>
            <w14:solidFill>
              <w14:schemeClr w14:val="tx1"/>
            </w14:solidFill>
          </w14:textFill>
        </w:rPr>
        <w:t>满足规范要求，</w:t>
      </w:r>
      <w:r>
        <w:rPr>
          <w:rFonts w:hint="eastAsia" w:ascii="宋体" w:hAnsi="宋体" w:eastAsia="宋体" w:cs="宋体"/>
          <w:color w:val="000000" w:themeColor="text1"/>
          <w:sz w:val="28"/>
          <w:lang w:val="en-US" w:eastAsia="zh-CN"/>
          <w14:textFill>
            <w14:solidFill>
              <w14:schemeClr w14:val="tx1"/>
            </w14:solidFill>
          </w14:textFill>
        </w:rPr>
        <w:t>如下表2-5示</w:t>
      </w:r>
      <w:r>
        <w:rPr>
          <w:rFonts w:hint="eastAsia" w:ascii="宋体" w:hAnsi="宋体" w:eastAsia="宋体" w:cs="宋体"/>
          <w:color w:val="000000" w:themeColor="text1"/>
          <w:sz w:val="28"/>
          <w:lang w:eastAsia="zh-CN"/>
          <w14:textFill>
            <w14:solidFill>
              <w14:schemeClr w14:val="tx1"/>
            </w14:solidFill>
          </w14:textFill>
        </w:rPr>
        <w:t>。</w:t>
      </w:r>
    </w:p>
    <w:p w14:paraId="0DA070A0">
      <w:pPr>
        <w:pStyle w:val="34"/>
        <w:rPr>
          <w:rFonts w:hint="eastAsia" w:ascii="宋体" w:hAnsi="宋体" w:eastAsia="宋体" w:cs="宋体"/>
          <w:lang w:eastAsia="zh-CN"/>
        </w:rPr>
      </w:pPr>
    </w:p>
    <w:tbl>
      <w:tblPr>
        <w:tblStyle w:val="52"/>
        <w:tblW w:w="86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8"/>
        <w:gridCol w:w="3135"/>
        <w:gridCol w:w="1332"/>
        <w:gridCol w:w="3069"/>
      </w:tblGrid>
      <w:tr w14:paraId="2B4CB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078" w:type="dxa"/>
            <w:noWrap/>
            <w:vAlign w:val="center"/>
          </w:tcPr>
          <w:p w14:paraId="09FEC7D7">
            <w:pPr>
              <w:widowControl/>
              <w:jc w:val="center"/>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序号</w:t>
            </w:r>
          </w:p>
        </w:tc>
        <w:tc>
          <w:tcPr>
            <w:tcW w:w="3135" w:type="dxa"/>
            <w:noWrap/>
            <w:vAlign w:val="center"/>
          </w:tcPr>
          <w:p w14:paraId="0D7B26D4">
            <w:pPr>
              <w:widowControl/>
              <w:jc w:val="center"/>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建筑物名称</w:t>
            </w:r>
          </w:p>
        </w:tc>
        <w:tc>
          <w:tcPr>
            <w:tcW w:w="1332" w:type="dxa"/>
            <w:noWrap w:val="0"/>
            <w:vAlign w:val="center"/>
          </w:tcPr>
          <w:p w14:paraId="7C332F86">
            <w:pPr>
              <w:widowControl/>
              <w:jc w:val="center"/>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耐火等级</w:t>
            </w:r>
          </w:p>
        </w:tc>
        <w:tc>
          <w:tcPr>
            <w:tcW w:w="3069" w:type="dxa"/>
            <w:noWrap w:val="0"/>
            <w:vAlign w:val="center"/>
          </w:tcPr>
          <w:p w14:paraId="36F1830B">
            <w:pPr>
              <w:spacing w:line="276" w:lineRule="auto"/>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火灾危险性</w:t>
            </w:r>
          </w:p>
          <w:p w14:paraId="76C06F70">
            <w:pPr>
              <w:widowControl/>
              <w:jc w:val="center"/>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依据《建筑设计防火规范[2018版]》（GB50016-2014）</w:t>
            </w:r>
          </w:p>
        </w:tc>
      </w:tr>
      <w:tr w14:paraId="4422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078" w:type="dxa"/>
            <w:noWrap/>
            <w:vAlign w:val="center"/>
          </w:tcPr>
          <w:p w14:paraId="02D3CCDF">
            <w:pPr>
              <w:widowControl/>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w:t>
            </w:r>
          </w:p>
        </w:tc>
        <w:tc>
          <w:tcPr>
            <w:tcW w:w="3135" w:type="dxa"/>
            <w:noWrap/>
            <w:vAlign w:val="center"/>
          </w:tcPr>
          <w:p w14:paraId="71577081">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生产车间</w:t>
            </w:r>
          </w:p>
        </w:tc>
        <w:tc>
          <w:tcPr>
            <w:tcW w:w="1332" w:type="dxa"/>
            <w:noWrap w:val="0"/>
            <w:vAlign w:val="top"/>
          </w:tcPr>
          <w:p w14:paraId="1D0187BA">
            <w:pPr>
              <w:widowControl/>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二级</w:t>
            </w:r>
          </w:p>
        </w:tc>
        <w:tc>
          <w:tcPr>
            <w:tcW w:w="3069" w:type="dxa"/>
            <w:noWrap w:val="0"/>
            <w:vAlign w:val="top"/>
          </w:tcPr>
          <w:p w14:paraId="389F547E">
            <w:pPr>
              <w:widowControl/>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丁</w:t>
            </w:r>
            <w:r>
              <w:rPr>
                <w:rFonts w:hint="eastAsia" w:ascii="宋体" w:hAnsi="宋体" w:eastAsia="宋体" w:cs="宋体"/>
                <w:color w:val="000000" w:themeColor="text1"/>
                <w:kern w:val="0"/>
                <w:szCs w:val="21"/>
                <w14:textFill>
                  <w14:solidFill>
                    <w14:schemeClr w14:val="tx1"/>
                  </w14:solidFill>
                </w14:textFill>
              </w:rPr>
              <w:t>类</w:t>
            </w:r>
          </w:p>
        </w:tc>
      </w:tr>
      <w:tr w14:paraId="71752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078" w:type="dxa"/>
            <w:noWrap/>
            <w:vAlign w:val="center"/>
          </w:tcPr>
          <w:p w14:paraId="66ADD6B7">
            <w:pPr>
              <w:widowControl/>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2</w:t>
            </w:r>
          </w:p>
        </w:tc>
        <w:tc>
          <w:tcPr>
            <w:tcW w:w="3135" w:type="dxa"/>
            <w:noWrap/>
            <w:vAlign w:val="center"/>
          </w:tcPr>
          <w:p w14:paraId="4AB73D50">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加工区</w:t>
            </w:r>
          </w:p>
        </w:tc>
        <w:tc>
          <w:tcPr>
            <w:tcW w:w="1332" w:type="dxa"/>
            <w:noWrap w:val="0"/>
            <w:vAlign w:val="top"/>
          </w:tcPr>
          <w:p w14:paraId="07374E1C">
            <w:pPr>
              <w:widowControl/>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二级</w:t>
            </w:r>
          </w:p>
        </w:tc>
        <w:tc>
          <w:tcPr>
            <w:tcW w:w="3069" w:type="dxa"/>
            <w:noWrap w:val="0"/>
            <w:vAlign w:val="top"/>
          </w:tcPr>
          <w:p w14:paraId="3CDDCB74">
            <w:pPr>
              <w:widowControl/>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丁</w:t>
            </w:r>
            <w:r>
              <w:rPr>
                <w:rFonts w:hint="eastAsia" w:ascii="宋体" w:hAnsi="宋体" w:eastAsia="宋体" w:cs="宋体"/>
                <w:color w:val="000000" w:themeColor="text1"/>
                <w:kern w:val="0"/>
                <w:szCs w:val="21"/>
                <w14:textFill>
                  <w14:solidFill>
                    <w14:schemeClr w14:val="tx1"/>
                  </w14:solidFill>
                </w14:textFill>
              </w:rPr>
              <w:t>类</w:t>
            </w:r>
          </w:p>
        </w:tc>
      </w:tr>
      <w:tr w14:paraId="4E67E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078" w:type="dxa"/>
            <w:noWrap/>
            <w:vAlign w:val="center"/>
          </w:tcPr>
          <w:p w14:paraId="1139C4F4">
            <w:pPr>
              <w:widowControl/>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3</w:t>
            </w:r>
          </w:p>
        </w:tc>
        <w:tc>
          <w:tcPr>
            <w:tcW w:w="3135" w:type="dxa"/>
            <w:noWrap/>
            <w:vAlign w:val="center"/>
          </w:tcPr>
          <w:p w14:paraId="6D3946E0">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组装区</w:t>
            </w:r>
          </w:p>
        </w:tc>
        <w:tc>
          <w:tcPr>
            <w:tcW w:w="1332" w:type="dxa"/>
            <w:noWrap w:val="0"/>
            <w:vAlign w:val="top"/>
          </w:tcPr>
          <w:p w14:paraId="5A58D0A7">
            <w:pPr>
              <w:widowControl/>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二级</w:t>
            </w:r>
          </w:p>
        </w:tc>
        <w:tc>
          <w:tcPr>
            <w:tcW w:w="3069" w:type="dxa"/>
            <w:noWrap w:val="0"/>
            <w:vAlign w:val="top"/>
          </w:tcPr>
          <w:p w14:paraId="5AC2D9F9">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丁</w:t>
            </w:r>
            <w:r>
              <w:rPr>
                <w:rFonts w:hint="eastAsia" w:ascii="宋体" w:hAnsi="宋体" w:eastAsia="宋体" w:cs="宋体"/>
                <w:color w:val="000000" w:themeColor="text1"/>
                <w:kern w:val="0"/>
                <w:szCs w:val="21"/>
                <w:lang w:val="en-US" w:eastAsia="zh-CN"/>
                <w14:textFill>
                  <w14:solidFill>
                    <w14:schemeClr w14:val="tx1"/>
                  </w14:solidFill>
                </w14:textFill>
              </w:rPr>
              <w:t>类</w:t>
            </w:r>
          </w:p>
        </w:tc>
      </w:tr>
      <w:tr w14:paraId="5451E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1078" w:type="dxa"/>
            <w:noWrap/>
            <w:vAlign w:val="center"/>
          </w:tcPr>
          <w:p w14:paraId="4E5D6B28">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4</w:t>
            </w:r>
          </w:p>
        </w:tc>
        <w:tc>
          <w:tcPr>
            <w:tcW w:w="3135" w:type="dxa"/>
            <w:noWrap/>
            <w:vAlign w:val="center"/>
          </w:tcPr>
          <w:p w14:paraId="6A8A3BC0">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办公室</w:t>
            </w:r>
          </w:p>
        </w:tc>
        <w:tc>
          <w:tcPr>
            <w:tcW w:w="1332" w:type="dxa"/>
            <w:noWrap w:val="0"/>
            <w:vAlign w:val="top"/>
          </w:tcPr>
          <w:p w14:paraId="32C12D3C">
            <w:pPr>
              <w:widowControl/>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二级</w:t>
            </w:r>
          </w:p>
        </w:tc>
        <w:tc>
          <w:tcPr>
            <w:tcW w:w="3069" w:type="dxa"/>
            <w:noWrap w:val="0"/>
            <w:vAlign w:val="top"/>
          </w:tcPr>
          <w:p w14:paraId="61405E8D">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戊类</w:t>
            </w:r>
          </w:p>
        </w:tc>
      </w:tr>
      <w:tr w14:paraId="3F37B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1078" w:type="dxa"/>
            <w:noWrap/>
            <w:vAlign w:val="center"/>
          </w:tcPr>
          <w:p w14:paraId="17666EF1">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5</w:t>
            </w:r>
          </w:p>
        </w:tc>
        <w:tc>
          <w:tcPr>
            <w:tcW w:w="3135" w:type="dxa"/>
            <w:noWrap/>
            <w:vAlign w:val="center"/>
          </w:tcPr>
          <w:p w14:paraId="68A1C9C7">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仓库</w:t>
            </w:r>
          </w:p>
        </w:tc>
        <w:tc>
          <w:tcPr>
            <w:tcW w:w="1332" w:type="dxa"/>
            <w:noWrap w:val="0"/>
            <w:vAlign w:val="top"/>
          </w:tcPr>
          <w:p w14:paraId="3F1F34B5">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二级</w:t>
            </w:r>
          </w:p>
        </w:tc>
        <w:tc>
          <w:tcPr>
            <w:tcW w:w="3069" w:type="dxa"/>
            <w:noWrap w:val="0"/>
            <w:vAlign w:val="top"/>
          </w:tcPr>
          <w:p w14:paraId="01725BA4">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丙类</w:t>
            </w:r>
          </w:p>
        </w:tc>
      </w:tr>
    </w:tbl>
    <w:p w14:paraId="32802646">
      <w:pPr>
        <w:bidi w:val="0"/>
        <w:rPr>
          <w:rFonts w:hint="eastAsia" w:ascii="宋体" w:hAnsi="宋体" w:eastAsia="宋体" w:cs="宋体"/>
          <w:lang w:eastAsia="zh-CN"/>
        </w:rPr>
      </w:pPr>
    </w:p>
    <w:p w14:paraId="1F0BF473">
      <w:pPr>
        <w:pStyle w:val="16"/>
        <w:ind w:left="0" w:leftChars="0"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rPr>
        <w:t xml:space="preserve">表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STYLEREF 1 \s </w:instrText>
      </w:r>
      <w:r>
        <w:rPr>
          <w:rFonts w:hint="eastAsia" w:ascii="宋体" w:hAnsi="宋体" w:eastAsia="宋体" w:cs="宋体"/>
          <w:sz w:val="21"/>
          <w:szCs w:val="21"/>
        </w:rPr>
        <w:fldChar w:fldCharType="separate"/>
      </w:r>
      <w:r>
        <w:rPr>
          <w:rFonts w:hint="eastAsia" w:ascii="宋体" w:hAnsi="宋体" w:eastAsia="宋体" w:cs="宋体"/>
          <w:sz w:val="21"/>
          <w:szCs w:val="21"/>
        </w:rPr>
        <w:t>2</w:t>
      </w:r>
      <w:r>
        <w:rPr>
          <w:rFonts w:hint="eastAsia" w:ascii="宋体" w:hAnsi="宋体" w:eastAsia="宋体" w:cs="宋体"/>
          <w:sz w:val="21"/>
          <w:szCs w:val="21"/>
        </w:rPr>
        <w:fldChar w:fldCharType="end"/>
      </w:r>
      <w:r>
        <w:rPr>
          <w:rFonts w:hint="eastAsia" w:ascii="宋体" w:hAnsi="宋体" w:eastAsia="宋体" w:cs="宋体"/>
          <w:sz w:val="21"/>
          <w:szCs w:val="21"/>
          <w:lang w:eastAsia="zh-CN"/>
        </w:rPr>
        <w:t>-</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SEQ 表 \* ARABIC \s 1 </w:instrText>
      </w:r>
      <w:r>
        <w:rPr>
          <w:rFonts w:hint="eastAsia" w:ascii="宋体" w:hAnsi="宋体" w:eastAsia="宋体" w:cs="宋体"/>
          <w:sz w:val="21"/>
          <w:szCs w:val="21"/>
        </w:rPr>
        <w:fldChar w:fldCharType="separate"/>
      </w:r>
      <w:r>
        <w:rPr>
          <w:rFonts w:hint="eastAsia" w:ascii="宋体" w:hAnsi="宋体" w:eastAsia="宋体" w:cs="宋体"/>
          <w:sz w:val="21"/>
          <w:szCs w:val="21"/>
        </w:rPr>
        <w:t>5</w:t>
      </w:r>
      <w:r>
        <w:rPr>
          <w:rFonts w:hint="eastAsia" w:ascii="宋体" w:hAnsi="宋体" w:eastAsia="宋体" w:cs="宋体"/>
          <w:sz w:val="21"/>
          <w:szCs w:val="21"/>
        </w:rPr>
        <w:fldChar w:fldCharType="end"/>
      </w:r>
      <w:r>
        <w:rPr>
          <w:rFonts w:hint="eastAsia" w:ascii="宋体" w:hAnsi="宋体" w:eastAsia="宋体" w:cs="宋体"/>
          <w:sz w:val="21"/>
          <w:szCs w:val="21"/>
          <w:lang w:eastAsia="zh-CN"/>
        </w:rPr>
        <w:t xml:space="preserve"> </w:t>
      </w:r>
      <w:r>
        <w:rPr>
          <w:rFonts w:hint="eastAsia" w:ascii="宋体" w:hAnsi="宋体" w:eastAsia="宋体" w:cs="宋体"/>
          <w:sz w:val="21"/>
          <w:szCs w:val="21"/>
          <w:lang w:val="en-US" w:eastAsia="zh-CN"/>
        </w:rPr>
        <w:t>主要</w:t>
      </w:r>
      <w:r>
        <w:rPr>
          <w:rFonts w:hint="eastAsia" w:ascii="宋体" w:hAnsi="宋体" w:eastAsia="宋体" w:cs="宋体"/>
          <w:sz w:val="21"/>
          <w:szCs w:val="21"/>
          <w:lang w:eastAsia="zh-CN"/>
        </w:rPr>
        <w:t>建（</w:t>
      </w:r>
      <w:r>
        <w:rPr>
          <w:rFonts w:hint="eastAsia" w:ascii="宋体" w:hAnsi="宋体" w:eastAsia="宋体" w:cs="宋体"/>
          <w:sz w:val="21"/>
          <w:szCs w:val="21"/>
          <w:lang w:val="en-US" w:eastAsia="zh-CN"/>
        </w:rPr>
        <w:t>构</w:t>
      </w:r>
      <w:r>
        <w:rPr>
          <w:rFonts w:hint="eastAsia" w:ascii="宋体" w:hAnsi="宋体" w:eastAsia="宋体" w:cs="宋体"/>
          <w:sz w:val="21"/>
          <w:szCs w:val="21"/>
          <w:lang w:eastAsia="zh-CN"/>
        </w:rPr>
        <w:t>）筑</w:t>
      </w:r>
      <w:r>
        <w:rPr>
          <w:rFonts w:hint="eastAsia" w:ascii="宋体" w:hAnsi="宋体" w:eastAsia="宋体" w:cs="宋体"/>
          <w:sz w:val="21"/>
          <w:szCs w:val="21"/>
          <w:lang w:val="en-US" w:eastAsia="zh-CN"/>
        </w:rPr>
        <w:t>物防火间距</w:t>
      </w:r>
      <w:r>
        <w:rPr>
          <w:rFonts w:hint="eastAsia" w:ascii="宋体" w:hAnsi="宋体" w:eastAsia="宋体" w:cs="宋体"/>
          <w:sz w:val="21"/>
          <w:szCs w:val="21"/>
          <w:lang w:eastAsia="zh-CN"/>
        </w:rPr>
        <w:t>表（</w:t>
      </w:r>
      <w:r>
        <w:rPr>
          <w:rFonts w:hint="eastAsia" w:ascii="宋体" w:hAnsi="宋体" w:eastAsia="宋体" w:cs="宋体"/>
          <w:sz w:val="21"/>
          <w:szCs w:val="21"/>
          <w:lang w:val="en-US" w:eastAsia="zh-CN"/>
        </w:rPr>
        <w:t>单位：m</w:t>
      </w:r>
      <w:r>
        <w:rPr>
          <w:rFonts w:hint="eastAsia" w:ascii="宋体" w:hAnsi="宋体" w:eastAsia="宋体" w:cs="宋体"/>
          <w:sz w:val="21"/>
          <w:szCs w:val="21"/>
          <w:lang w:eastAsia="zh-CN"/>
        </w:rPr>
        <w:t>）</w:t>
      </w:r>
    </w:p>
    <w:tbl>
      <w:tblPr>
        <w:tblStyle w:val="52"/>
        <w:tblW w:w="45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5"/>
        <w:gridCol w:w="2002"/>
        <w:gridCol w:w="820"/>
        <w:gridCol w:w="818"/>
        <w:gridCol w:w="715"/>
        <w:gridCol w:w="2079"/>
      </w:tblGrid>
      <w:tr w14:paraId="5606C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noWrap w:val="0"/>
            <w:vAlign w:val="center"/>
          </w:tcPr>
          <w:p w14:paraId="0A0B142D">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建（构）物名称</w:t>
            </w:r>
          </w:p>
        </w:tc>
        <w:tc>
          <w:tcPr>
            <w:tcW w:w="1300" w:type="pct"/>
            <w:noWrap w:val="0"/>
            <w:vAlign w:val="center"/>
          </w:tcPr>
          <w:p w14:paraId="36A83195">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周边建（筑）物</w:t>
            </w:r>
          </w:p>
        </w:tc>
        <w:tc>
          <w:tcPr>
            <w:tcW w:w="532" w:type="pct"/>
            <w:noWrap w:val="0"/>
            <w:vAlign w:val="center"/>
          </w:tcPr>
          <w:p w14:paraId="4A8FD820">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规范要求（m）</w:t>
            </w:r>
          </w:p>
        </w:tc>
        <w:tc>
          <w:tcPr>
            <w:tcW w:w="531" w:type="pct"/>
            <w:shd w:val="clear" w:color="auto" w:fill="auto"/>
            <w:noWrap w:val="0"/>
            <w:vAlign w:val="center"/>
          </w:tcPr>
          <w:p w14:paraId="5A978040">
            <w:pPr>
              <w:jc w:val="center"/>
              <w:rPr>
                <w:rFonts w:hint="eastAsia"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实际</w:t>
            </w:r>
            <w:r>
              <w:rPr>
                <w:rFonts w:hint="eastAsia" w:ascii="宋体" w:hAnsi="宋体" w:eastAsia="宋体" w:cs="宋体"/>
                <w:b/>
                <w:color w:val="000000" w:themeColor="text1"/>
                <w14:textFill>
                  <w14:solidFill>
                    <w14:schemeClr w14:val="tx1"/>
                  </w14:solidFill>
                </w14:textFill>
              </w:rPr>
              <w:t>距离（m）</w:t>
            </w:r>
          </w:p>
        </w:tc>
        <w:tc>
          <w:tcPr>
            <w:tcW w:w="464" w:type="pct"/>
            <w:noWrap w:val="0"/>
            <w:vAlign w:val="center"/>
          </w:tcPr>
          <w:p w14:paraId="0F6D4AE4">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结论</w:t>
            </w:r>
          </w:p>
        </w:tc>
        <w:tc>
          <w:tcPr>
            <w:tcW w:w="1350" w:type="pct"/>
            <w:noWrap w:val="0"/>
            <w:vAlign w:val="center"/>
          </w:tcPr>
          <w:p w14:paraId="436D2532">
            <w:pP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《建筑设计防火规范</w:t>
            </w:r>
            <w:r>
              <w:rPr>
                <w:rFonts w:hint="eastAsia" w:ascii="宋体" w:hAnsi="宋体" w:eastAsia="宋体" w:cs="宋体"/>
                <w:b/>
                <w:color w:val="000000" w:themeColor="text1"/>
                <w14:textFill>
                  <w14:solidFill>
                    <w14:schemeClr w14:val="tx1"/>
                  </w14:solidFill>
                </w14:textFill>
              </w:rPr>
              <w:t>[</w:t>
            </w:r>
            <w:r>
              <w:rPr>
                <w:rFonts w:hint="eastAsia" w:ascii="宋体" w:hAnsi="宋体" w:eastAsia="宋体" w:cs="宋体"/>
                <w:b/>
                <w:color w:val="000000" w:themeColor="text1"/>
                <w14:textFill>
                  <w14:solidFill>
                    <w14:schemeClr w14:val="tx1"/>
                  </w14:solidFill>
                </w14:textFill>
              </w:rPr>
              <w:t>2018</w:t>
            </w:r>
            <w:r>
              <w:rPr>
                <w:rFonts w:hint="eastAsia" w:ascii="宋体" w:hAnsi="宋体" w:eastAsia="宋体" w:cs="宋体"/>
                <w:b/>
                <w:color w:val="000000" w:themeColor="text1"/>
                <w14:textFill>
                  <w14:solidFill>
                    <w14:schemeClr w14:val="tx1"/>
                  </w14:solidFill>
                </w14:textFill>
              </w:rPr>
              <w:t>版</w:t>
            </w:r>
            <w:r>
              <w:rPr>
                <w:rFonts w:hint="eastAsia" w:ascii="宋体" w:hAnsi="宋体" w:eastAsia="宋体" w:cs="宋体"/>
                <w:b/>
                <w:color w:val="000000" w:themeColor="text1"/>
                <w14:textFill>
                  <w14:solidFill>
                    <w14:schemeClr w14:val="tx1"/>
                  </w14:solidFill>
                </w14:textFill>
              </w:rPr>
              <w:t>]》（GB50016-2014）条文号</w:t>
            </w:r>
          </w:p>
        </w:tc>
      </w:tr>
      <w:tr w14:paraId="34FC0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restart"/>
            <w:noWrap w:val="0"/>
            <w:vAlign w:val="center"/>
          </w:tcPr>
          <w:p w14:paraId="30593D95">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val="0"/>
                <w:bCs/>
                <w:color w:val="000000" w:themeColor="text1"/>
                <w:lang w:val="en-US" w:eastAsia="zh-CN"/>
                <w14:textFill>
                  <w14:solidFill>
                    <w14:schemeClr w14:val="tx1"/>
                  </w14:solidFill>
                </w14:textFill>
              </w:rPr>
              <w:t>生产车间</w:t>
            </w:r>
          </w:p>
        </w:tc>
        <w:tc>
          <w:tcPr>
            <w:tcW w:w="1300" w:type="pct"/>
            <w:noWrap w:val="0"/>
            <w:vAlign w:val="top"/>
          </w:tcPr>
          <w:p w14:paraId="1927FE9F">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val="0"/>
                <w:bCs/>
                <w:color w:val="000000" w:themeColor="text1"/>
                <w:lang w:val="en-US" w:eastAsia="zh-CN"/>
                <w14:textFill>
                  <w14:solidFill>
                    <w14:schemeClr w14:val="tx1"/>
                  </w14:solidFill>
                </w14:textFill>
              </w:rPr>
              <w:t>加工区</w:t>
            </w:r>
          </w:p>
        </w:tc>
        <w:tc>
          <w:tcPr>
            <w:tcW w:w="532" w:type="pct"/>
            <w:noWrap w:val="0"/>
            <w:vAlign w:val="center"/>
          </w:tcPr>
          <w:p w14:paraId="4382F3BA">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1</w:t>
            </w:r>
            <w:r>
              <w:rPr>
                <w:rFonts w:hint="eastAsia" w:ascii="宋体" w:hAnsi="宋体" w:eastAsia="宋体" w:cs="宋体"/>
                <w:b/>
                <w:color w:val="000000" w:themeColor="text1"/>
                <w14:textFill>
                  <w14:solidFill>
                    <w14:schemeClr w14:val="tx1"/>
                  </w14:solidFill>
                </w14:textFill>
              </w:rPr>
              <w:t>0</w:t>
            </w:r>
          </w:p>
        </w:tc>
        <w:tc>
          <w:tcPr>
            <w:tcW w:w="531" w:type="pct"/>
            <w:shd w:val="clear" w:color="auto" w:fill="auto"/>
            <w:noWrap w:val="0"/>
            <w:vAlign w:val="center"/>
          </w:tcPr>
          <w:p w14:paraId="7117D446">
            <w:pPr>
              <w:jc w:val="center"/>
              <w:rPr>
                <w:rFonts w:hint="eastAsia"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15</w:t>
            </w:r>
          </w:p>
        </w:tc>
        <w:tc>
          <w:tcPr>
            <w:tcW w:w="464" w:type="pct"/>
            <w:noWrap w:val="0"/>
            <w:vAlign w:val="top"/>
          </w:tcPr>
          <w:p w14:paraId="1090E495">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符合</w:t>
            </w:r>
          </w:p>
        </w:tc>
        <w:tc>
          <w:tcPr>
            <w:tcW w:w="1350" w:type="pct"/>
            <w:noWrap w:val="0"/>
            <w:vAlign w:val="top"/>
          </w:tcPr>
          <w:p w14:paraId="769620A7">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2081E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2E127267">
            <w:pPr>
              <w:jc w:val="center"/>
              <w:rPr>
                <w:rFonts w:hint="eastAsia" w:ascii="宋体" w:hAnsi="宋体" w:eastAsia="宋体" w:cs="宋体"/>
                <w:b/>
                <w:color w:val="000000" w:themeColor="text1"/>
                <w14:textFill>
                  <w14:solidFill>
                    <w14:schemeClr w14:val="tx1"/>
                  </w14:solidFill>
                </w14:textFill>
              </w:rPr>
            </w:pPr>
          </w:p>
        </w:tc>
        <w:tc>
          <w:tcPr>
            <w:tcW w:w="1300" w:type="pct"/>
            <w:noWrap w:val="0"/>
            <w:vAlign w:val="center"/>
          </w:tcPr>
          <w:p w14:paraId="0005AF65">
            <w:pPr>
              <w:jc w:val="center"/>
              <w:rPr>
                <w:rFonts w:hint="eastAsia" w:ascii="宋体" w:hAnsi="宋体" w:eastAsia="宋体" w:cs="宋体"/>
                <w:b w:val="0"/>
                <w:bCs/>
                <w:color w:val="000000" w:themeColor="text1"/>
                <w:lang w:val="en-US" w:eastAsia="zh-CN"/>
                <w14:textFill>
                  <w14:solidFill>
                    <w14:schemeClr w14:val="tx1"/>
                  </w14:solidFill>
                </w14:textFill>
              </w:rPr>
            </w:pPr>
            <w:r>
              <w:rPr>
                <w:rFonts w:hint="eastAsia" w:ascii="宋体" w:hAnsi="宋体" w:eastAsia="宋体" w:cs="宋体"/>
                <w:b w:val="0"/>
                <w:bCs/>
                <w:color w:val="000000" w:themeColor="text1"/>
                <w:lang w:val="en-US" w:eastAsia="zh-CN"/>
                <w14:textFill>
                  <w14:solidFill>
                    <w14:schemeClr w14:val="tx1"/>
                  </w14:solidFill>
                </w14:textFill>
              </w:rPr>
              <w:t>组装区</w:t>
            </w:r>
          </w:p>
        </w:tc>
        <w:tc>
          <w:tcPr>
            <w:tcW w:w="532" w:type="pct"/>
            <w:noWrap w:val="0"/>
            <w:vAlign w:val="center"/>
          </w:tcPr>
          <w:p w14:paraId="51D9772B">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1</w:t>
            </w:r>
            <w:r>
              <w:rPr>
                <w:rFonts w:hint="eastAsia" w:ascii="宋体" w:hAnsi="宋体" w:eastAsia="宋体" w:cs="宋体"/>
                <w:b/>
                <w:color w:val="000000" w:themeColor="text1"/>
                <w14:textFill>
                  <w14:solidFill>
                    <w14:schemeClr w14:val="tx1"/>
                  </w14:solidFill>
                </w14:textFill>
              </w:rPr>
              <w:t>0</w:t>
            </w:r>
          </w:p>
        </w:tc>
        <w:tc>
          <w:tcPr>
            <w:tcW w:w="531" w:type="pct"/>
            <w:shd w:val="clear" w:color="auto" w:fill="auto"/>
            <w:noWrap w:val="0"/>
            <w:vAlign w:val="center"/>
          </w:tcPr>
          <w:p w14:paraId="054FC70D">
            <w:pPr>
              <w:jc w:val="center"/>
              <w:rPr>
                <w:rFonts w:hint="eastAsia"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sz w:val="24"/>
                <w:lang w:val="en-US" w:eastAsia="zh-CN" w:bidi="ar-SA"/>
                <w14:textFill>
                  <w14:solidFill>
                    <w14:schemeClr w14:val="tx1"/>
                  </w14:solidFill>
                </w14:textFill>
              </w:rPr>
              <w:t>12</w:t>
            </w:r>
          </w:p>
        </w:tc>
        <w:tc>
          <w:tcPr>
            <w:tcW w:w="464" w:type="pct"/>
            <w:noWrap w:val="0"/>
            <w:vAlign w:val="top"/>
          </w:tcPr>
          <w:p w14:paraId="40BE9438">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符合</w:t>
            </w:r>
          </w:p>
        </w:tc>
        <w:tc>
          <w:tcPr>
            <w:tcW w:w="1350" w:type="pct"/>
            <w:noWrap w:val="0"/>
            <w:vAlign w:val="top"/>
          </w:tcPr>
          <w:p w14:paraId="5BFFC162">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3AD4F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062AA1AE">
            <w:pPr>
              <w:jc w:val="center"/>
              <w:rPr>
                <w:rFonts w:hint="eastAsia" w:ascii="宋体" w:hAnsi="宋体" w:eastAsia="宋体" w:cs="宋体"/>
                <w:b/>
                <w:color w:val="000000" w:themeColor="text1"/>
                <w14:textFill>
                  <w14:solidFill>
                    <w14:schemeClr w14:val="tx1"/>
                  </w14:solidFill>
                </w14:textFill>
              </w:rPr>
            </w:pPr>
          </w:p>
        </w:tc>
        <w:tc>
          <w:tcPr>
            <w:tcW w:w="1300" w:type="pct"/>
            <w:noWrap w:val="0"/>
            <w:vAlign w:val="center"/>
          </w:tcPr>
          <w:p w14:paraId="15BC9245">
            <w:pPr>
              <w:jc w:val="center"/>
              <w:rPr>
                <w:rFonts w:hint="eastAsia" w:ascii="宋体" w:hAnsi="宋体" w:eastAsia="宋体" w:cs="宋体"/>
                <w:b w:val="0"/>
                <w:bCs/>
                <w:color w:val="000000" w:themeColor="text1"/>
                <w:lang w:val="en-US" w:eastAsia="zh-CN"/>
                <w14:textFill>
                  <w14:solidFill>
                    <w14:schemeClr w14:val="tx1"/>
                  </w14:solidFill>
                </w14:textFill>
              </w:rPr>
            </w:pPr>
            <w:r>
              <w:rPr>
                <w:rFonts w:hint="eastAsia" w:ascii="宋体" w:hAnsi="宋体" w:eastAsia="宋体" w:cs="宋体"/>
                <w:b w:val="0"/>
                <w:bCs/>
                <w:color w:val="000000" w:themeColor="text1"/>
                <w:lang w:val="en-US" w:eastAsia="zh-CN"/>
                <w14:textFill>
                  <w14:solidFill>
                    <w14:schemeClr w14:val="tx1"/>
                  </w14:solidFill>
                </w14:textFill>
              </w:rPr>
              <w:t>办公室</w:t>
            </w:r>
          </w:p>
        </w:tc>
        <w:tc>
          <w:tcPr>
            <w:tcW w:w="532" w:type="pct"/>
            <w:noWrap w:val="0"/>
            <w:vAlign w:val="center"/>
          </w:tcPr>
          <w:p w14:paraId="37FBCD28">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1</w:t>
            </w:r>
            <w:r>
              <w:rPr>
                <w:rFonts w:hint="eastAsia" w:ascii="宋体" w:hAnsi="宋体" w:eastAsia="宋体" w:cs="宋体"/>
                <w:b/>
                <w:color w:val="000000" w:themeColor="text1"/>
                <w14:textFill>
                  <w14:solidFill>
                    <w14:schemeClr w14:val="tx1"/>
                  </w14:solidFill>
                </w14:textFill>
              </w:rPr>
              <w:t>0</w:t>
            </w:r>
          </w:p>
        </w:tc>
        <w:tc>
          <w:tcPr>
            <w:tcW w:w="531" w:type="pct"/>
            <w:shd w:val="clear" w:color="auto" w:fill="auto"/>
            <w:noWrap w:val="0"/>
            <w:vAlign w:val="center"/>
          </w:tcPr>
          <w:p w14:paraId="142B6177">
            <w:pPr>
              <w:jc w:val="center"/>
              <w:rPr>
                <w:rFonts w:hint="eastAsia"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20</w:t>
            </w:r>
          </w:p>
        </w:tc>
        <w:tc>
          <w:tcPr>
            <w:tcW w:w="464" w:type="pct"/>
            <w:noWrap w:val="0"/>
            <w:vAlign w:val="top"/>
          </w:tcPr>
          <w:p w14:paraId="2109CBC7">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符合</w:t>
            </w:r>
          </w:p>
        </w:tc>
        <w:tc>
          <w:tcPr>
            <w:tcW w:w="1350" w:type="pct"/>
            <w:noWrap w:val="0"/>
            <w:vAlign w:val="top"/>
          </w:tcPr>
          <w:p w14:paraId="1D9F63F0">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6084F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2ABA3634">
            <w:pPr>
              <w:jc w:val="center"/>
              <w:rPr>
                <w:rFonts w:hint="eastAsia" w:ascii="宋体" w:hAnsi="宋体" w:eastAsia="宋体" w:cs="宋体"/>
                <w:b/>
                <w:color w:val="000000" w:themeColor="text1"/>
                <w14:textFill>
                  <w14:solidFill>
                    <w14:schemeClr w14:val="tx1"/>
                  </w14:solidFill>
                </w14:textFill>
              </w:rPr>
            </w:pPr>
          </w:p>
        </w:tc>
        <w:tc>
          <w:tcPr>
            <w:tcW w:w="1300" w:type="pct"/>
            <w:noWrap w:val="0"/>
            <w:vAlign w:val="center"/>
          </w:tcPr>
          <w:p w14:paraId="70C7B7CE">
            <w:pPr>
              <w:jc w:val="center"/>
              <w:rPr>
                <w:rFonts w:hint="eastAsia" w:ascii="宋体" w:hAnsi="宋体" w:eastAsia="宋体" w:cs="宋体"/>
                <w:b w:val="0"/>
                <w:bCs/>
                <w:color w:val="000000" w:themeColor="text1"/>
                <w:lang w:val="en-US" w:eastAsia="zh-CN"/>
                <w14:textFill>
                  <w14:solidFill>
                    <w14:schemeClr w14:val="tx1"/>
                  </w14:solidFill>
                </w14:textFill>
              </w:rPr>
            </w:pPr>
            <w:r>
              <w:rPr>
                <w:rFonts w:hint="eastAsia" w:ascii="宋体" w:hAnsi="宋体" w:eastAsia="宋体" w:cs="宋体"/>
                <w:b w:val="0"/>
                <w:bCs/>
                <w:color w:val="000000" w:themeColor="text1"/>
                <w:lang w:val="en-US" w:eastAsia="zh-CN"/>
                <w14:textFill>
                  <w14:solidFill>
                    <w14:schemeClr w14:val="tx1"/>
                  </w14:solidFill>
                </w14:textFill>
              </w:rPr>
              <w:t>仓库</w:t>
            </w:r>
          </w:p>
        </w:tc>
        <w:tc>
          <w:tcPr>
            <w:tcW w:w="532" w:type="pct"/>
            <w:noWrap w:val="0"/>
            <w:vAlign w:val="center"/>
          </w:tcPr>
          <w:p w14:paraId="10433A03">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1411C00D">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11</w:t>
            </w:r>
          </w:p>
        </w:tc>
        <w:tc>
          <w:tcPr>
            <w:tcW w:w="464" w:type="pct"/>
            <w:noWrap w:val="0"/>
            <w:vAlign w:val="top"/>
          </w:tcPr>
          <w:p w14:paraId="4AD990BF">
            <w:pPr>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noWrap w:val="0"/>
            <w:vAlign w:val="top"/>
          </w:tcPr>
          <w:p w14:paraId="0758E1C7">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68A8F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restart"/>
            <w:noWrap w:val="0"/>
            <w:vAlign w:val="center"/>
          </w:tcPr>
          <w:p w14:paraId="34B9D9C0">
            <w:pPr>
              <w:jc w:val="center"/>
              <w:rPr>
                <w:rFonts w:hint="eastAsia" w:ascii="宋体" w:hAnsi="宋体" w:eastAsia="宋体" w:cs="宋体"/>
                <w:b w:val="0"/>
                <w:bCs/>
                <w:color w:val="000000" w:themeColor="text1"/>
                <w:lang w:val="en-US" w:eastAsia="zh-CN"/>
                <w14:textFill>
                  <w14:solidFill>
                    <w14:schemeClr w14:val="tx1"/>
                  </w14:solidFill>
                </w14:textFill>
              </w:rPr>
            </w:pPr>
            <w:r>
              <w:rPr>
                <w:rFonts w:hint="eastAsia" w:ascii="宋体" w:hAnsi="宋体" w:eastAsia="宋体" w:cs="宋体"/>
                <w:b w:val="0"/>
                <w:bCs/>
                <w:color w:val="000000" w:themeColor="text1"/>
                <w:lang w:val="en-US" w:eastAsia="zh-CN"/>
                <w14:textFill>
                  <w14:solidFill>
                    <w14:schemeClr w14:val="tx1"/>
                  </w14:solidFill>
                </w14:textFill>
              </w:rPr>
              <w:t>加工区</w:t>
            </w:r>
          </w:p>
        </w:tc>
        <w:tc>
          <w:tcPr>
            <w:tcW w:w="1300" w:type="pct"/>
            <w:noWrap w:val="0"/>
            <w:vAlign w:val="center"/>
          </w:tcPr>
          <w:p w14:paraId="16D0582B">
            <w:pPr>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生产车间</w:t>
            </w:r>
          </w:p>
        </w:tc>
        <w:tc>
          <w:tcPr>
            <w:tcW w:w="532" w:type="pct"/>
            <w:noWrap w:val="0"/>
            <w:vAlign w:val="top"/>
          </w:tcPr>
          <w:p w14:paraId="0BE17F3F">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1</w:t>
            </w:r>
            <w:r>
              <w:rPr>
                <w:rFonts w:hint="eastAsia" w:ascii="宋体" w:hAnsi="宋体" w:eastAsia="宋体" w:cs="宋体"/>
                <w:b/>
                <w:color w:val="000000" w:themeColor="text1"/>
                <w14:textFill>
                  <w14:solidFill>
                    <w14:schemeClr w14:val="tx1"/>
                  </w14:solidFill>
                </w14:textFill>
              </w:rPr>
              <w:t>0</w:t>
            </w:r>
          </w:p>
        </w:tc>
        <w:tc>
          <w:tcPr>
            <w:tcW w:w="531" w:type="pct"/>
            <w:shd w:val="clear" w:color="auto" w:fill="auto"/>
            <w:noWrap w:val="0"/>
            <w:vAlign w:val="center"/>
          </w:tcPr>
          <w:p w14:paraId="744E323B">
            <w:pPr>
              <w:jc w:val="center"/>
              <w:rPr>
                <w:rFonts w:hint="eastAsia"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sz w:val="24"/>
                <w:lang w:val="en-US" w:eastAsia="zh-CN" w:bidi="ar-SA"/>
                <w14:textFill>
                  <w14:solidFill>
                    <w14:schemeClr w14:val="tx1"/>
                  </w14:solidFill>
                </w14:textFill>
              </w:rPr>
              <w:t>15</w:t>
            </w:r>
          </w:p>
        </w:tc>
        <w:tc>
          <w:tcPr>
            <w:tcW w:w="464" w:type="pct"/>
            <w:noWrap w:val="0"/>
            <w:vAlign w:val="top"/>
          </w:tcPr>
          <w:p w14:paraId="715ED5A8">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符合</w:t>
            </w:r>
          </w:p>
        </w:tc>
        <w:tc>
          <w:tcPr>
            <w:tcW w:w="1350" w:type="pct"/>
            <w:noWrap w:val="0"/>
            <w:vAlign w:val="top"/>
          </w:tcPr>
          <w:p w14:paraId="70E52D5D">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01CF1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5E466143">
            <w:pPr>
              <w:jc w:val="center"/>
              <w:rPr>
                <w:rFonts w:hint="eastAsia" w:ascii="宋体" w:hAnsi="宋体" w:eastAsia="宋体" w:cs="宋体"/>
                <w:b/>
                <w:color w:val="000000" w:themeColor="text1"/>
                <w14:textFill>
                  <w14:solidFill>
                    <w14:schemeClr w14:val="tx1"/>
                  </w14:solidFill>
                </w14:textFill>
              </w:rPr>
            </w:pPr>
          </w:p>
        </w:tc>
        <w:tc>
          <w:tcPr>
            <w:tcW w:w="1300" w:type="pct"/>
            <w:noWrap w:val="0"/>
            <w:vAlign w:val="center"/>
          </w:tcPr>
          <w:p w14:paraId="7461B2B7">
            <w:pPr>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组装区</w:t>
            </w:r>
          </w:p>
        </w:tc>
        <w:tc>
          <w:tcPr>
            <w:tcW w:w="532" w:type="pct"/>
            <w:noWrap w:val="0"/>
            <w:vAlign w:val="top"/>
          </w:tcPr>
          <w:p w14:paraId="4526B5D4">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1</w:t>
            </w:r>
            <w:r>
              <w:rPr>
                <w:rFonts w:hint="eastAsia" w:ascii="宋体" w:hAnsi="宋体" w:eastAsia="宋体" w:cs="宋体"/>
                <w:b/>
                <w:color w:val="000000" w:themeColor="text1"/>
                <w14:textFill>
                  <w14:solidFill>
                    <w14:schemeClr w14:val="tx1"/>
                  </w14:solidFill>
                </w14:textFill>
              </w:rPr>
              <w:t>0</w:t>
            </w:r>
          </w:p>
        </w:tc>
        <w:tc>
          <w:tcPr>
            <w:tcW w:w="531" w:type="pct"/>
            <w:shd w:val="clear" w:color="auto" w:fill="auto"/>
            <w:noWrap w:val="0"/>
            <w:vAlign w:val="center"/>
          </w:tcPr>
          <w:p w14:paraId="11F5B9E8">
            <w:pPr>
              <w:jc w:val="center"/>
              <w:rPr>
                <w:rFonts w:hint="eastAsia"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sz w:val="24"/>
                <w:lang w:val="en-US" w:eastAsia="zh-CN" w:bidi="ar-SA"/>
                <w14:textFill>
                  <w14:solidFill>
                    <w14:schemeClr w14:val="tx1"/>
                  </w14:solidFill>
                </w14:textFill>
              </w:rPr>
              <w:t>11</w:t>
            </w:r>
          </w:p>
        </w:tc>
        <w:tc>
          <w:tcPr>
            <w:tcW w:w="464" w:type="pct"/>
            <w:noWrap w:val="0"/>
            <w:vAlign w:val="top"/>
          </w:tcPr>
          <w:p w14:paraId="42337702">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符合</w:t>
            </w:r>
          </w:p>
        </w:tc>
        <w:tc>
          <w:tcPr>
            <w:tcW w:w="1350" w:type="pct"/>
            <w:noWrap w:val="0"/>
            <w:vAlign w:val="top"/>
          </w:tcPr>
          <w:p w14:paraId="61FF223D">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6D99F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1DBD1724">
            <w:pPr>
              <w:jc w:val="center"/>
              <w:rPr>
                <w:rFonts w:hint="eastAsia" w:ascii="宋体" w:hAnsi="宋体" w:eastAsia="宋体" w:cs="宋体"/>
                <w:b/>
                <w:color w:val="000000" w:themeColor="text1"/>
                <w14:textFill>
                  <w14:solidFill>
                    <w14:schemeClr w14:val="tx1"/>
                  </w14:solidFill>
                </w14:textFill>
              </w:rPr>
            </w:pPr>
          </w:p>
        </w:tc>
        <w:tc>
          <w:tcPr>
            <w:tcW w:w="1300" w:type="pct"/>
            <w:noWrap w:val="0"/>
            <w:vAlign w:val="center"/>
          </w:tcPr>
          <w:p w14:paraId="3CE045C4">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val="0"/>
                <w:bCs/>
                <w:color w:val="000000" w:themeColor="text1"/>
                <w:lang w:val="en-US" w:eastAsia="zh-CN"/>
                <w14:textFill>
                  <w14:solidFill>
                    <w14:schemeClr w14:val="tx1"/>
                  </w14:solidFill>
                </w14:textFill>
              </w:rPr>
              <w:t>办公室</w:t>
            </w:r>
          </w:p>
        </w:tc>
        <w:tc>
          <w:tcPr>
            <w:tcW w:w="532" w:type="pct"/>
            <w:noWrap w:val="0"/>
            <w:vAlign w:val="top"/>
          </w:tcPr>
          <w:p w14:paraId="13E2B9FF">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1</w:t>
            </w:r>
            <w:r>
              <w:rPr>
                <w:rFonts w:hint="eastAsia" w:ascii="宋体" w:hAnsi="宋体" w:eastAsia="宋体" w:cs="宋体"/>
                <w:b/>
                <w:color w:val="000000" w:themeColor="text1"/>
                <w14:textFill>
                  <w14:solidFill>
                    <w14:schemeClr w14:val="tx1"/>
                  </w14:solidFill>
                </w14:textFill>
              </w:rPr>
              <w:t>0</w:t>
            </w:r>
          </w:p>
        </w:tc>
        <w:tc>
          <w:tcPr>
            <w:tcW w:w="531" w:type="pct"/>
            <w:shd w:val="clear" w:color="auto" w:fill="auto"/>
            <w:noWrap w:val="0"/>
            <w:vAlign w:val="center"/>
          </w:tcPr>
          <w:p w14:paraId="1B2FA8F2">
            <w:pPr>
              <w:jc w:val="center"/>
              <w:rPr>
                <w:rFonts w:hint="eastAsia"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2</w:t>
            </w:r>
            <w:r>
              <w:rPr>
                <w:rFonts w:hint="eastAsia" w:ascii="宋体" w:hAnsi="宋体" w:eastAsia="宋体" w:cs="宋体"/>
                <w:b/>
                <w:color w:val="000000" w:themeColor="text1"/>
                <w:lang w:val="en-US" w:eastAsia="zh-CN"/>
                <w14:textFill>
                  <w14:solidFill>
                    <w14:schemeClr w14:val="tx1"/>
                  </w14:solidFill>
                </w14:textFill>
              </w:rPr>
              <w:t>5</w:t>
            </w:r>
          </w:p>
        </w:tc>
        <w:tc>
          <w:tcPr>
            <w:tcW w:w="464" w:type="pct"/>
            <w:noWrap w:val="0"/>
            <w:vAlign w:val="top"/>
          </w:tcPr>
          <w:p w14:paraId="4ACCF3EE">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符合</w:t>
            </w:r>
          </w:p>
        </w:tc>
        <w:tc>
          <w:tcPr>
            <w:tcW w:w="1350" w:type="pct"/>
            <w:noWrap w:val="0"/>
            <w:vAlign w:val="top"/>
          </w:tcPr>
          <w:p w14:paraId="3F2FFC94">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47100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3D77DD44">
            <w:pPr>
              <w:jc w:val="center"/>
              <w:rPr>
                <w:rFonts w:hint="eastAsia" w:ascii="宋体" w:hAnsi="宋体" w:eastAsia="宋体" w:cs="宋体"/>
                <w:b/>
                <w:color w:val="000000" w:themeColor="text1"/>
                <w14:textFill>
                  <w14:solidFill>
                    <w14:schemeClr w14:val="tx1"/>
                  </w14:solidFill>
                </w14:textFill>
              </w:rPr>
            </w:pPr>
          </w:p>
        </w:tc>
        <w:tc>
          <w:tcPr>
            <w:tcW w:w="1300" w:type="pct"/>
            <w:noWrap w:val="0"/>
            <w:vAlign w:val="center"/>
          </w:tcPr>
          <w:p w14:paraId="25B782E1">
            <w:pPr>
              <w:jc w:val="center"/>
              <w:rPr>
                <w:rFonts w:hint="eastAsia" w:ascii="宋体" w:hAnsi="宋体" w:eastAsia="宋体" w:cs="宋体"/>
                <w:b w:val="0"/>
                <w:bCs/>
                <w:color w:val="000000" w:themeColor="text1"/>
                <w:lang w:val="en-US" w:eastAsia="zh-CN"/>
                <w14:textFill>
                  <w14:solidFill>
                    <w14:schemeClr w14:val="tx1"/>
                  </w14:solidFill>
                </w14:textFill>
              </w:rPr>
            </w:pPr>
            <w:r>
              <w:rPr>
                <w:rFonts w:hint="eastAsia" w:ascii="宋体" w:hAnsi="宋体" w:eastAsia="宋体" w:cs="宋体"/>
                <w:b w:val="0"/>
                <w:bCs/>
                <w:color w:val="000000" w:themeColor="text1"/>
                <w:lang w:val="en-US" w:eastAsia="zh-CN"/>
                <w14:textFill>
                  <w14:solidFill>
                    <w14:schemeClr w14:val="tx1"/>
                  </w14:solidFill>
                </w14:textFill>
              </w:rPr>
              <w:t>仓库</w:t>
            </w:r>
          </w:p>
        </w:tc>
        <w:tc>
          <w:tcPr>
            <w:tcW w:w="532" w:type="pct"/>
            <w:noWrap w:val="0"/>
            <w:vAlign w:val="top"/>
          </w:tcPr>
          <w:p w14:paraId="1F6D504F">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636A390B">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20</w:t>
            </w:r>
          </w:p>
        </w:tc>
        <w:tc>
          <w:tcPr>
            <w:tcW w:w="464" w:type="pct"/>
            <w:shd w:val="clear" w:color="auto" w:fill="auto"/>
            <w:noWrap w:val="0"/>
            <w:vAlign w:val="top"/>
          </w:tcPr>
          <w:p w14:paraId="4DDDE148">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noWrap w:val="0"/>
            <w:vAlign w:val="top"/>
          </w:tcPr>
          <w:p w14:paraId="6F0CFC3E">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3CFD1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restart"/>
            <w:noWrap w:val="0"/>
            <w:vAlign w:val="center"/>
          </w:tcPr>
          <w:p w14:paraId="78135A15">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val="0"/>
                <w:bCs/>
                <w:color w:val="000000" w:themeColor="text1"/>
                <w:lang w:val="en-US" w:eastAsia="zh-CN"/>
                <w14:textFill>
                  <w14:solidFill>
                    <w14:schemeClr w14:val="tx1"/>
                  </w14:solidFill>
                </w14:textFill>
              </w:rPr>
              <w:t>组装区</w:t>
            </w:r>
          </w:p>
        </w:tc>
        <w:tc>
          <w:tcPr>
            <w:tcW w:w="1300" w:type="pct"/>
            <w:noWrap w:val="0"/>
            <w:vAlign w:val="center"/>
          </w:tcPr>
          <w:p w14:paraId="61448E39">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生产</w:t>
            </w:r>
            <w:r>
              <w:rPr>
                <w:rFonts w:hint="eastAsia" w:ascii="宋体" w:hAnsi="宋体" w:eastAsia="宋体" w:cs="宋体"/>
                <w:color w:val="000000" w:themeColor="text1"/>
                <w:kern w:val="0"/>
                <w:szCs w:val="21"/>
                <w14:textFill>
                  <w14:solidFill>
                    <w14:schemeClr w14:val="tx1"/>
                  </w14:solidFill>
                </w14:textFill>
              </w:rPr>
              <w:t>车间</w:t>
            </w:r>
          </w:p>
        </w:tc>
        <w:tc>
          <w:tcPr>
            <w:tcW w:w="532" w:type="pct"/>
            <w:noWrap w:val="0"/>
            <w:vAlign w:val="center"/>
          </w:tcPr>
          <w:p w14:paraId="23F0ED21">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1</w:t>
            </w:r>
            <w:r>
              <w:rPr>
                <w:rFonts w:hint="eastAsia" w:ascii="宋体" w:hAnsi="宋体" w:eastAsia="宋体" w:cs="宋体"/>
                <w:b/>
                <w:color w:val="000000" w:themeColor="text1"/>
                <w14:textFill>
                  <w14:solidFill>
                    <w14:schemeClr w14:val="tx1"/>
                  </w14:solidFill>
                </w14:textFill>
              </w:rPr>
              <w:t>0</w:t>
            </w:r>
          </w:p>
        </w:tc>
        <w:tc>
          <w:tcPr>
            <w:tcW w:w="531" w:type="pct"/>
            <w:shd w:val="clear" w:color="auto" w:fill="auto"/>
            <w:noWrap w:val="0"/>
            <w:vAlign w:val="center"/>
          </w:tcPr>
          <w:p w14:paraId="7628B838">
            <w:pPr>
              <w:jc w:val="center"/>
              <w:rPr>
                <w:rFonts w:hint="eastAsia"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sz w:val="24"/>
                <w:lang w:val="en-US" w:eastAsia="zh-CN" w:bidi="ar-SA"/>
                <w14:textFill>
                  <w14:solidFill>
                    <w14:schemeClr w14:val="tx1"/>
                  </w14:solidFill>
                </w14:textFill>
              </w:rPr>
              <w:t>12</w:t>
            </w:r>
          </w:p>
        </w:tc>
        <w:tc>
          <w:tcPr>
            <w:tcW w:w="464" w:type="pct"/>
            <w:noWrap w:val="0"/>
            <w:vAlign w:val="top"/>
          </w:tcPr>
          <w:p w14:paraId="57AB66F4">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符合</w:t>
            </w:r>
          </w:p>
        </w:tc>
        <w:tc>
          <w:tcPr>
            <w:tcW w:w="1350" w:type="pct"/>
            <w:noWrap w:val="0"/>
            <w:vAlign w:val="top"/>
          </w:tcPr>
          <w:p w14:paraId="21414D48">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2C1BF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642D3D16">
            <w:pPr>
              <w:jc w:val="center"/>
              <w:rPr>
                <w:rFonts w:hint="eastAsia" w:ascii="宋体" w:hAnsi="宋体" w:eastAsia="宋体" w:cs="宋体"/>
                <w:color w:val="000000" w:themeColor="text1"/>
                <w:kern w:val="0"/>
                <w:szCs w:val="21"/>
                <w14:textFill>
                  <w14:solidFill>
                    <w14:schemeClr w14:val="tx1"/>
                  </w14:solidFill>
                </w14:textFill>
              </w:rPr>
            </w:pPr>
          </w:p>
        </w:tc>
        <w:tc>
          <w:tcPr>
            <w:tcW w:w="1300" w:type="pct"/>
            <w:noWrap w:val="0"/>
            <w:vAlign w:val="center"/>
          </w:tcPr>
          <w:p w14:paraId="5533B325">
            <w:pPr>
              <w:jc w:val="both"/>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 xml:space="preserve">    加工区</w:t>
            </w:r>
          </w:p>
        </w:tc>
        <w:tc>
          <w:tcPr>
            <w:tcW w:w="532" w:type="pct"/>
            <w:noWrap w:val="0"/>
            <w:vAlign w:val="center"/>
          </w:tcPr>
          <w:p w14:paraId="3356F8BD">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6C7ABD24">
            <w:pPr>
              <w:jc w:val="center"/>
              <w:rPr>
                <w:rFonts w:hint="eastAsia"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sz w:val="24"/>
                <w:lang w:val="en-US" w:eastAsia="zh-CN" w:bidi="ar-SA"/>
                <w14:textFill>
                  <w14:solidFill>
                    <w14:schemeClr w14:val="tx1"/>
                  </w14:solidFill>
                </w14:textFill>
              </w:rPr>
              <w:t>11</w:t>
            </w:r>
          </w:p>
        </w:tc>
        <w:tc>
          <w:tcPr>
            <w:tcW w:w="464" w:type="pct"/>
            <w:noWrap w:val="0"/>
            <w:vAlign w:val="top"/>
          </w:tcPr>
          <w:p w14:paraId="62DBDDE1">
            <w:pPr>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noWrap w:val="0"/>
            <w:vAlign w:val="top"/>
          </w:tcPr>
          <w:p w14:paraId="6E59BAEB">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533EE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5318C2C3">
            <w:pPr>
              <w:jc w:val="center"/>
              <w:rPr>
                <w:rFonts w:hint="eastAsia" w:ascii="宋体" w:hAnsi="宋体" w:eastAsia="宋体" w:cs="宋体"/>
                <w:color w:val="000000" w:themeColor="text1"/>
                <w:kern w:val="0"/>
                <w:szCs w:val="21"/>
                <w14:textFill>
                  <w14:solidFill>
                    <w14:schemeClr w14:val="tx1"/>
                  </w14:solidFill>
                </w14:textFill>
              </w:rPr>
            </w:pPr>
          </w:p>
        </w:tc>
        <w:tc>
          <w:tcPr>
            <w:tcW w:w="1300" w:type="pct"/>
            <w:noWrap w:val="0"/>
            <w:vAlign w:val="center"/>
          </w:tcPr>
          <w:p w14:paraId="5592DD72">
            <w:pPr>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办公室</w:t>
            </w:r>
          </w:p>
        </w:tc>
        <w:tc>
          <w:tcPr>
            <w:tcW w:w="532" w:type="pct"/>
            <w:noWrap w:val="0"/>
            <w:vAlign w:val="center"/>
          </w:tcPr>
          <w:p w14:paraId="327518FC">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32C90AFF">
            <w:pPr>
              <w:jc w:val="center"/>
              <w:rPr>
                <w:rFonts w:hint="eastAsia"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sz w:val="24"/>
                <w:lang w:val="en-US" w:eastAsia="zh-CN" w:bidi="ar-SA"/>
                <w14:textFill>
                  <w14:solidFill>
                    <w14:schemeClr w14:val="tx1"/>
                  </w14:solidFill>
                </w14:textFill>
              </w:rPr>
              <w:t>15</w:t>
            </w:r>
          </w:p>
        </w:tc>
        <w:tc>
          <w:tcPr>
            <w:tcW w:w="464" w:type="pct"/>
            <w:shd w:val="clear" w:color="auto" w:fill="auto"/>
            <w:noWrap w:val="0"/>
            <w:vAlign w:val="top"/>
          </w:tcPr>
          <w:p w14:paraId="5AD6C3E7">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shd w:val="clear" w:color="auto" w:fill="auto"/>
            <w:noWrap w:val="0"/>
            <w:vAlign w:val="top"/>
          </w:tcPr>
          <w:p w14:paraId="4F877A8F">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45005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2D15D2E3">
            <w:pPr>
              <w:jc w:val="center"/>
              <w:rPr>
                <w:rFonts w:hint="eastAsia" w:ascii="宋体" w:hAnsi="宋体" w:eastAsia="宋体" w:cs="宋体"/>
                <w:color w:val="000000" w:themeColor="text1"/>
                <w:kern w:val="0"/>
                <w:szCs w:val="21"/>
                <w14:textFill>
                  <w14:solidFill>
                    <w14:schemeClr w14:val="tx1"/>
                  </w14:solidFill>
                </w14:textFill>
              </w:rPr>
            </w:pPr>
          </w:p>
        </w:tc>
        <w:tc>
          <w:tcPr>
            <w:tcW w:w="1300" w:type="pct"/>
            <w:noWrap w:val="0"/>
            <w:vAlign w:val="center"/>
          </w:tcPr>
          <w:p w14:paraId="7B48677B">
            <w:pPr>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仓库</w:t>
            </w:r>
          </w:p>
        </w:tc>
        <w:tc>
          <w:tcPr>
            <w:tcW w:w="532" w:type="pct"/>
            <w:noWrap w:val="0"/>
            <w:vAlign w:val="center"/>
          </w:tcPr>
          <w:p w14:paraId="4B22DCCF">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3755B1F9">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15</w:t>
            </w:r>
          </w:p>
        </w:tc>
        <w:tc>
          <w:tcPr>
            <w:tcW w:w="464" w:type="pct"/>
            <w:shd w:val="clear" w:color="auto" w:fill="auto"/>
            <w:noWrap w:val="0"/>
            <w:vAlign w:val="top"/>
          </w:tcPr>
          <w:p w14:paraId="6C7C8E6C">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shd w:val="clear" w:color="auto" w:fill="auto"/>
            <w:noWrap w:val="0"/>
            <w:vAlign w:val="top"/>
          </w:tcPr>
          <w:p w14:paraId="24216FFD">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53644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restart"/>
            <w:noWrap w:val="0"/>
            <w:vAlign w:val="center"/>
          </w:tcPr>
          <w:p w14:paraId="09E99F94">
            <w:pPr>
              <w:jc w:val="center"/>
              <w:rPr>
                <w:rFonts w:hint="eastAsia" w:ascii="宋体" w:hAnsi="宋体" w:eastAsia="宋体" w:cs="宋体"/>
                <w:color w:val="000000" w:themeColor="text1"/>
                <w:kern w:val="0"/>
                <w:szCs w:val="21"/>
                <w:lang w:val="en-US" w:eastAsia="zh-CN"/>
                <w14:textFill>
                  <w14:solidFill>
                    <w14:schemeClr w14:val="tx1"/>
                  </w14:solidFill>
                </w14:textFill>
              </w:rPr>
            </w:pPr>
          </w:p>
          <w:p w14:paraId="093E5269">
            <w:pPr>
              <w:jc w:val="center"/>
              <w:rPr>
                <w:rFonts w:hint="eastAsia" w:ascii="宋体" w:hAnsi="宋体" w:eastAsia="宋体" w:cs="宋体"/>
                <w:color w:val="000000" w:themeColor="text1"/>
                <w:kern w:val="0"/>
                <w:szCs w:val="21"/>
                <w:lang w:val="en-US" w:eastAsia="zh-CN"/>
                <w14:textFill>
                  <w14:solidFill>
                    <w14:schemeClr w14:val="tx1"/>
                  </w14:solidFill>
                </w14:textFill>
              </w:rPr>
            </w:pPr>
          </w:p>
          <w:p w14:paraId="4C575EF0">
            <w:pPr>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办公室</w:t>
            </w:r>
          </w:p>
        </w:tc>
        <w:tc>
          <w:tcPr>
            <w:tcW w:w="1300" w:type="pct"/>
            <w:noWrap w:val="0"/>
            <w:vAlign w:val="center"/>
          </w:tcPr>
          <w:p w14:paraId="6BBC0EDF">
            <w:pPr>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生产车间</w:t>
            </w:r>
          </w:p>
        </w:tc>
        <w:tc>
          <w:tcPr>
            <w:tcW w:w="532" w:type="pct"/>
            <w:noWrap w:val="0"/>
            <w:vAlign w:val="center"/>
          </w:tcPr>
          <w:p w14:paraId="39C92D72">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51AC9C68">
            <w:pPr>
              <w:jc w:val="center"/>
              <w:rPr>
                <w:rFonts w:hint="eastAsia"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20</w:t>
            </w:r>
          </w:p>
        </w:tc>
        <w:tc>
          <w:tcPr>
            <w:tcW w:w="464" w:type="pct"/>
            <w:shd w:val="clear" w:color="auto" w:fill="auto"/>
            <w:noWrap w:val="0"/>
            <w:vAlign w:val="top"/>
          </w:tcPr>
          <w:p w14:paraId="516A0C2B">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shd w:val="clear" w:color="auto" w:fill="auto"/>
            <w:noWrap w:val="0"/>
            <w:vAlign w:val="top"/>
          </w:tcPr>
          <w:p w14:paraId="7FE6BA43">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6F54D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5F397E0E">
            <w:pPr>
              <w:jc w:val="center"/>
              <w:rPr>
                <w:rFonts w:hint="eastAsia" w:ascii="宋体" w:hAnsi="宋体" w:eastAsia="宋体" w:cs="宋体"/>
                <w:color w:val="000000" w:themeColor="text1"/>
                <w:kern w:val="0"/>
                <w:szCs w:val="21"/>
                <w14:textFill>
                  <w14:solidFill>
                    <w14:schemeClr w14:val="tx1"/>
                  </w14:solidFill>
                </w14:textFill>
              </w:rPr>
            </w:pPr>
          </w:p>
        </w:tc>
        <w:tc>
          <w:tcPr>
            <w:tcW w:w="1300" w:type="pct"/>
            <w:noWrap w:val="0"/>
            <w:vAlign w:val="center"/>
          </w:tcPr>
          <w:p w14:paraId="36169AF3">
            <w:pPr>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加工区</w:t>
            </w:r>
          </w:p>
        </w:tc>
        <w:tc>
          <w:tcPr>
            <w:tcW w:w="532" w:type="pct"/>
            <w:noWrap w:val="0"/>
            <w:vAlign w:val="center"/>
          </w:tcPr>
          <w:p w14:paraId="0A6E9AB8">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2B87787C">
            <w:pPr>
              <w:jc w:val="center"/>
              <w:rPr>
                <w:rFonts w:hint="eastAsia"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25</w:t>
            </w:r>
          </w:p>
        </w:tc>
        <w:tc>
          <w:tcPr>
            <w:tcW w:w="464" w:type="pct"/>
            <w:shd w:val="clear" w:color="auto" w:fill="auto"/>
            <w:noWrap w:val="0"/>
            <w:vAlign w:val="top"/>
          </w:tcPr>
          <w:p w14:paraId="59892D39">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shd w:val="clear" w:color="auto" w:fill="auto"/>
            <w:noWrap w:val="0"/>
            <w:vAlign w:val="top"/>
          </w:tcPr>
          <w:p w14:paraId="06F7125C">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63307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0F9D037E">
            <w:pPr>
              <w:jc w:val="center"/>
              <w:rPr>
                <w:rFonts w:hint="eastAsia" w:ascii="宋体" w:hAnsi="宋体" w:eastAsia="宋体" w:cs="宋体"/>
                <w:color w:val="000000" w:themeColor="text1"/>
                <w:kern w:val="0"/>
                <w:szCs w:val="21"/>
                <w14:textFill>
                  <w14:solidFill>
                    <w14:schemeClr w14:val="tx1"/>
                  </w14:solidFill>
                </w14:textFill>
              </w:rPr>
            </w:pPr>
          </w:p>
        </w:tc>
        <w:tc>
          <w:tcPr>
            <w:tcW w:w="1300" w:type="pct"/>
            <w:noWrap w:val="0"/>
            <w:vAlign w:val="center"/>
          </w:tcPr>
          <w:p w14:paraId="34B9E865">
            <w:pPr>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组装区</w:t>
            </w:r>
          </w:p>
        </w:tc>
        <w:tc>
          <w:tcPr>
            <w:tcW w:w="532" w:type="pct"/>
            <w:noWrap w:val="0"/>
            <w:vAlign w:val="center"/>
          </w:tcPr>
          <w:p w14:paraId="61F19D72">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0C94B56F">
            <w:pPr>
              <w:jc w:val="center"/>
              <w:rPr>
                <w:rFonts w:hint="eastAsia"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sz w:val="24"/>
                <w:lang w:val="en-US" w:eastAsia="zh-CN" w:bidi="ar-SA"/>
                <w14:textFill>
                  <w14:solidFill>
                    <w14:schemeClr w14:val="tx1"/>
                  </w14:solidFill>
                </w14:textFill>
              </w:rPr>
              <w:t>15</w:t>
            </w:r>
          </w:p>
        </w:tc>
        <w:tc>
          <w:tcPr>
            <w:tcW w:w="464" w:type="pct"/>
            <w:shd w:val="clear" w:color="auto" w:fill="auto"/>
            <w:noWrap w:val="0"/>
            <w:vAlign w:val="top"/>
          </w:tcPr>
          <w:p w14:paraId="2C5BE528">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shd w:val="clear" w:color="auto" w:fill="auto"/>
            <w:noWrap w:val="0"/>
            <w:vAlign w:val="top"/>
          </w:tcPr>
          <w:p w14:paraId="7B9E6DA1">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66E18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125162ED">
            <w:pPr>
              <w:jc w:val="center"/>
              <w:rPr>
                <w:rFonts w:hint="eastAsia" w:ascii="宋体" w:hAnsi="宋体" w:eastAsia="宋体" w:cs="宋体"/>
                <w:color w:val="000000" w:themeColor="text1"/>
                <w:kern w:val="0"/>
                <w:szCs w:val="21"/>
                <w14:textFill>
                  <w14:solidFill>
                    <w14:schemeClr w14:val="tx1"/>
                  </w14:solidFill>
                </w14:textFill>
              </w:rPr>
            </w:pPr>
          </w:p>
        </w:tc>
        <w:tc>
          <w:tcPr>
            <w:tcW w:w="1300" w:type="pct"/>
            <w:noWrap w:val="0"/>
            <w:vAlign w:val="center"/>
          </w:tcPr>
          <w:p w14:paraId="4949DE77">
            <w:pPr>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仓库</w:t>
            </w:r>
          </w:p>
        </w:tc>
        <w:tc>
          <w:tcPr>
            <w:tcW w:w="532" w:type="pct"/>
            <w:noWrap w:val="0"/>
            <w:vAlign w:val="center"/>
          </w:tcPr>
          <w:p w14:paraId="5946EFD3">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11BA9088">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11</w:t>
            </w:r>
          </w:p>
        </w:tc>
        <w:tc>
          <w:tcPr>
            <w:tcW w:w="464" w:type="pct"/>
            <w:shd w:val="clear" w:color="auto" w:fill="auto"/>
            <w:noWrap w:val="0"/>
            <w:vAlign w:val="top"/>
          </w:tcPr>
          <w:p w14:paraId="4E4860A3">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shd w:val="clear" w:color="auto" w:fill="auto"/>
            <w:noWrap w:val="0"/>
            <w:vAlign w:val="top"/>
          </w:tcPr>
          <w:p w14:paraId="188B3970">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22A78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restart"/>
            <w:noWrap w:val="0"/>
            <w:vAlign w:val="center"/>
          </w:tcPr>
          <w:p w14:paraId="29F934DD">
            <w:pPr>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仓库</w:t>
            </w:r>
          </w:p>
        </w:tc>
        <w:tc>
          <w:tcPr>
            <w:tcW w:w="1300" w:type="pct"/>
            <w:noWrap w:val="0"/>
            <w:vAlign w:val="center"/>
          </w:tcPr>
          <w:p w14:paraId="5AF71721">
            <w:pPr>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生产车间</w:t>
            </w:r>
          </w:p>
        </w:tc>
        <w:tc>
          <w:tcPr>
            <w:tcW w:w="532" w:type="pct"/>
            <w:noWrap w:val="0"/>
            <w:vAlign w:val="center"/>
          </w:tcPr>
          <w:p w14:paraId="22093827">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01F978F0">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11</w:t>
            </w:r>
          </w:p>
        </w:tc>
        <w:tc>
          <w:tcPr>
            <w:tcW w:w="464" w:type="pct"/>
            <w:shd w:val="clear" w:color="auto" w:fill="auto"/>
            <w:noWrap w:val="0"/>
            <w:vAlign w:val="top"/>
          </w:tcPr>
          <w:p w14:paraId="18E349BF">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shd w:val="clear" w:color="auto" w:fill="auto"/>
            <w:noWrap w:val="0"/>
            <w:vAlign w:val="top"/>
          </w:tcPr>
          <w:p w14:paraId="216F7A13">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2CE2F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0C82E8EC">
            <w:pPr>
              <w:jc w:val="center"/>
              <w:rPr>
                <w:rFonts w:hint="eastAsia" w:ascii="宋体" w:hAnsi="宋体" w:eastAsia="宋体" w:cs="宋体"/>
                <w:color w:val="000000" w:themeColor="text1"/>
                <w:kern w:val="0"/>
                <w:szCs w:val="21"/>
                <w:lang w:val="en-US" w:eastAsia="zh-CN"/>
                <w14:textFill>
                  <w14:solidFill>
                    <w14:schemeClr w14:val="tx1"/>
                  </w14:solidFill>
                </w14:textFill>
              </w:rPr>
            </w:pPr>
          </w:p>
        </w:tc>
        <w:tc>
          <w:tcPr>
            <w:tcW w:w="1300" w:type="pct"/>
            <w:noWrap w:val="0"/>
            <w:vAlign w:val="center"/>
          </w:tcPr>
          <w:p w14:paraId="2AE5DC2B">
            <w:pPr>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加工区</w:t>
            </w:r>
          </w:p>
        </w:tc>
        <w:tc>
          <w:tcPr>
            <w:tcW w:w="532" w:type="pct"/>
            <w:noWrap w:val="0"/>
            <w:vAlign w:val="center"/>
          </w:tcPr>
          <w:p w14:paraId="532C91C0">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7474AED6">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20</w:t>
            </w:r>
          </w:p>
        </w:tc>
        <w:tc>
          <w:tcPr>
            <w:tcW w:w="464" w:type="pct"/>
            <w:shd w:val="clear" w:color="auto" w:fill="auto"/>
            <w:noWrap w:val="0"/>
            <w:vAlign w:val="top"/>
          </w:tcPr>
          <w:p w14:paraId="466A7A54">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shd w:val="clear" w:color="auto" w:fill="auto"/>
            <w:noWrap w:val="0"/>
            <w:vAlign w:val="top"/>
          </w:tcPr>
          <w:p w14:paraId="632F4113">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00535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5337305E">
            <w:pPr>
              <w:jc w:val="center"/>
              <w:rPr>
                <w:rFonts w:hint="eastAsia" w:ascii="宋体" w:hAnsi="宋体" w:eastAsia="宋体" w:cs="宋体"/>
                <w:color w:val="000000" w:themeColor="text1"/>
                <w:kern w:val="0"/>
                <w:szCs w:val="21"/>
                <w:lang w:val="en-US" w:eastAsia="zh-CN"/>
                <w14:textFill>
                  <w14:solidFill>
                    <w14:schemeClr w14:val="tx1"/>
                  </w14:solidFill>
                </w14:textFill>
              </w:rPr>
            </w:pPr>
          </w:p>
        </w:tc>
        <w:tc>
          <w:tcPr>
            <w:tcW w:w="1300" w:type="pct"/>
            <w:noWrap w:val="0"/>
            <w:vAlign w:val="center"/>
          </w:tcPr>
          <w:p w14:paraId="498122D9">
            <w:pPr>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组装区</w:t>
            </w:r>
          </w:p>
        </w:tc>
        <w:tc>
          <w:tcPr>
            <w:tcW w:w="532" w:type="pct"/>
            <w:noWrap w:val="0"/>
            <w:vAlign w:val="center"/>
          </w:tcPr>
          <w:p w14:paraId="05AE1655">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580234CE">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15</w:t>
            </w:r>
          </w:p>
        </w:tc>
        <w:tc>
          <w:tcPr>
            <w:tcW w:w="464" w:type="pct"/>
            <w:shd w:val="clear" w:color="auto" w:fill="auto"/>
            <w:noWrap w:val="0"/>
            <w:vAlign w:val="top"/>
          </w:tcPr>
          <w:p w14:paraId="5B6CC90D">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shd w:val="clear" w:color="auto" w:fill="auto"/>
            <w:noWrap w:val="0"/>
            <w:vAlign w:val="top"/>
          </w:tcPr>
          <w:p w14:paraId="1695DDB0">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768EB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64C8B452">
            <w:pPr>
              <w:jc w:val="center"/>
              <w:rPr>
                <w:rFonts w:hint="eastAsia" w:ascii="宋体" w:hAnsi="宋体" w:eastAsia="宋体" w:cs="宋体"/>
                <w:color w:val="000000" w:themeColor="text1"/>
                <w:kern w:val="0"/>
                <w:szCs w:val="21"/>
                <w:lang w:val="en-US" w:eastAsia="zh-CN"/>
                <w14:textFill>
                  <w14:solidFill>
                    <w14:schemeClr w14:val="tx1"/>
                  </w14:solidFill>
                </w14:textFill>
              </w:rPr>
            </w:pPr>
          </w:p>
        </w:tc>
        <w:tc>
          <w:tcPr>
            <w:tcW w:w="1300" w:type="pct"/>
            <w:noWrap w:val="0"/>
            <w:vAlign w:val="center"/>
          </w:tcPr>
          <w:p w14:paraId="414E42C3">
            <w:pPr>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办公室</w:t>
            </w:r>
          </w:p>
        </w:tc>
        <w:tc>
          <w:tcPr>
            <w:tcW w:w="532" w:type="pct"/>
            <w:noWrap w:val="0"/>
            <w:vAlign w:val="center"/>
          </w:tcPr>
          <w:p w14:paraId="623163AA">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0909D577">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11</w:t>
            </w:r>
          </w:p>
        </w:tc>
        <w:tc>
          <w:tcPr>
            <w:tcW w:w="464" w:type="pct"/>
            <w:shd w:val="clear" w:color="auto" w:fill="auto"/>
            <w:noWrap w:val="0"/>
            <w:vAlign w:val="top"/>
          </w:tcPr>
          <w:p w14:paraId="68BFDFFD">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shd w:val="clear" w:color="auto" w:fill="auto"/>
            <w:noWrap w:val="0"/>
            <w:vAlign w:val="top"/>
          </w:tcPr>
          <w:p w14:paraId="5BBDB6A5">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bl>
    <w:p w14:paraId="3264E39E">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宋体" w:hAnsi="宋体" w:eastAsia="宋体" w:cs="宋体"/>
          <w:color w:val="000000" w:themeColor="text1"/>
          <w:sz w:val="28"/>
          <w:szCs w:val="28"/>
          <w:lang w:val="en-US"/>
          <w14:textFill>
            <w14:solidFill>
              <w14:schemeClr w14:val="tx1"/>
            </w14:solidFill>
          </w14:textFill>
        </w:rPr>
      </w:pPr>
    </w:p>
    <w:p w14:paraId="6F714F15">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sz w:val="28"/>
          <w:lang w:val="en-US" w:eastAsia="zh-CN"/>
          <w14:textFill>
            <w14:solidFill>
              <w14:schemeClr w14:val="tx1"/>
            </w14:solidFill>
          </w14:textFill>
        </w:rPr>
      </w:pPr>
      <w:bookmarkStart w:id="170" w:name="_Toc19100"/>
      <w:bookmarkStart w:id="171" w:name="_Toc22895"/>
      <w:bookmarkStart w:id="172" w:name="_Toc20682"/>
      <w:r>
        <w:rPr>
          <w:rFonts w:hint="eastAsia" w:ascii="宋体" w:hAnsi="宋体" w:eastAsia="宋体" w:cs="宋体"/>
          <w:color w:val="000000" w:themeColor="text1"/>
          <w14:textFill>
            <w14:solidFill>
              <w14:schemeClr w14:val="tx1"/>
            </w14:solidFill>
          </w14:textFill>
        </w:rPr>
        <w:t>2.3.</w:t>
      </w:r>
      <w:r>
        <w:rPr>
          <w:rFonts w:hint="eastAsia" w:ascii="宋体" w:hAnsi="宋体" w:eastAsia="宋体" w:cs="宋体"/>
          <w:color w:val="000000" w:themeColor="text1"/>
          <w:lang w:val="en-US" w:eastAsia="zh-CN"/>
          <w14:textFill>
            <w14:solidFill>
              <w14:schemeClr w14:val="tx1"/>
            </w14:solidFill>
          </w14:textFill>
        </w:rPr>
        <w:t xml:space="preserve">3 </w:t>
      </w:r>
      <w:r>
        <w:rPr>
          <w:rFonts w:hint="eastAsia" w:ascii="宋体" w:hAnsi="宋体" w:eastAsia="宋体" w:cs="宋体"/>
          <w:color w:val="000000" w:themeColor="text1"/>
          <w14:textFill>
            <w14:solidFill>
              <w14:schemeClr w14:val="tx1"/>
            </w14:solidFill>
          </w14:textFill>
        </w:rPr>
        <w:t>厂内</w:t>
      </w:r>
      <w:bookmarkEnd w:id="170"/>
      <w:r>
        <w:rPr>
          <w:rFonts w:hint="eastAsia" w:ascii="宋体" w:hAnsi="宋体" w:eastAsia="宋体" w:cs="宋体"/>
          <w:color w:val="000000" w:themeColor="text1"/>
          <w14:textFill>
            <w14:solidFill>
              <w14:schemeClr w14:val="tx1"/>
            </w14:solidFill>
          </w14:textFill>
        </w:rPr>
        <w:t>运输</w:t>
      </w:r>
      <w:bookmarkEnd w:id="171"/>
      <w:bookmarkEnd w:id="172"/>
    </w:p>
    <w:p w14:paraId="2212BB2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lang w:val="en-US" w:eastAsia="zh-CN"/>
          <w14:textFill>
            <w14:solidFill>
              <w14:schemeClr w14:val="tx1"/>
            </w14:solidFill>
          </w14:textFill>
        </w:rPr>
      </w:pPr>
      <w:r>
        <w:rPr>
          <w:rFonts w:hint="eastAsia" w:ascii="宋体" w:hAnsi="宋体" w:eastAsia="宋体" w:cs="宋体"/>
          <w:color w:val="000000" w:themeColor="text1"/>
          <w:sz w:val="28"/>
          <w:lang w:val="en-US" w:eastAsia="zh-CN"/>
          <w14:textFill>
            <w14:solidFill>
              <w14:schemeClr w14:val="tx1"/>
            </w14:solidFill>
          </w14:textFill>
        </w:rPr>
        <w:t>项目主要为生产、销售中大型机床，厂房</w:t>
      </w:r>
      <w:r>
        <w:rPr>
          <w:rFonts w:hint="eastAsia" w:ascii="宋体" w:hAnsi="宋体" w:eastAsia="宋体" w:cs="宋体"/>
          <w:color w:val="000000" w:themeColor="text1"/>
          <w:sz w:val="28"/>
          <w:lang w:val="en-US" w:eastAsia="zh-CN"/>
          <w14:textFill>
            <w14:solidFill>
              <w14:schemeClr w14:val="tx1"/>
            </w14:solidFill>
          </w14:textFill>
        </w:rPr>
        <w:t>区域内的现有道路实现了整个厂区的贯通，厂内道路道宽约</w:t>
      </w:r>
      <w:r>
        <w:rPr>
          <w:rFonts w:hint="eastAsia" w:ascii="宋体" w:hAnsi="宋体" w:eastAsia="宋体" w:cs="宋体"/>
          <w:color w:val="000000" w:themeColor="text1"/>
          <w:sz w:val="28"/>
          <w:lang w:val="en-US" w:eastAsia="zh-CN"/>
          <w14:textFill>
            <w14:solidFill>
              <w14:schemeClr w14:val="tx1"/>
            </w14:solidFill>
          </w14:textFill>
        </w:rPr>
        <w:t>4</w:t>
      </w:r>
      <w:r>
        <w:rPr>
          <w:rFonts w:hint="eastAsia" w:ascii="宋体" w:hAnsi="宋体" w:eastAsia="宋体" w:cs="宋体"/>
          <w:color w:val="000000" w:themeColor="text1"/>
          <w:sz w:val="28"/>
          <w:lang w:val="en-US" w:eastAsia="zh-CN"/>
          <w14:textFill>
            <w14:solidFill>
              <w14:schemeClr w14:val="tx1"/>
            </w14:solidFill>
          </w14:textFill>
        </w:rPr>
        <w:t>米，为混凝土路面。</w:t>
      </w:r>
      <w:r>
        <w:rPr>
          <w:rFonts w:hint="eastAsia" w:ascii="宋体" w:hAnsi="宋体" w:eastAsia="宋体" w:cs="宋体"/>
          <w:color w:val="000000" w:themeColor="text1"/>
          <w:sz w:val="28"/>
          <w:lang w:val="en-US" w:eastAsia="zh-CN"/>
          <w14:textFill>
            <w14:solidFill>
              <w14:schemeClr w14:val="tx1"/>
            </w14:solidFill>
          </w14:textFill>
        </w:rPr>
        <w:t>成品运输使用行车吊装，后汽车运输出厂。</w:t>
      </w:r>
    </w:p>
    <w:p w14:paraId="71501FE6">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173" w:name="_Toc27078"/>
      <w:bookmarkStart w:id="174" w:name="_Toc12134"/>
      <w:bookmarkStart w:id="175" w:name="_Toc16920"/>
      <w:bookmarkStart w:id="176" w:name="_Toc3421"/>
      <w:bookmarkStart w:id="177" w:name="_Toc335926148"/>
      <w:bookmarkStart w:id="178" w:name="_Toc309682407"/>
      <w:bookmarkStart w:id="179" w:name="_Toc29783"/>
      <w:bookmarkStart w:id="180" w:name="_Toc278151349"/>
      <w:bookmarkStart w:id="181" w:name="_Toc327017742"/>
      <w:bookmarkStart w:id="182" w:name="_Toc27605"/>
      <w:bookmarkStart w:id="183" w:name="_Toc313453459"/>
      <w:r>
        <w:rPr>
          <w:rFonts w:hint="eastAsia" w:ascii="宋体" w:hAnsi="宋体" w:eastAsia="宋体" w:cs="宋体"/>
          <w:color w:val="000000" w:themeColor="text1"/>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厂</w:t>
      </w:r>
      <w:bookmarkEnd w:id="173"/>
      <w:r>
        <w:rPr>
          <w:rFonts w:hint="eastAsia" w:ascii="宋体" w:hAnsi="宋体" w:eastAsia="宋体" w:cs="宋体"/>
          <w:color w:val="000000" w:themeColor="text1"/>
          <w14:textFill>
            <w14:solidFill>
              <w14:schemeClr w14:val="tx1"/>
            </w14:solidFill>
          </w14:textFill>
        </w:rPr>
        <w:t>外运输</w:t>
      </w:r>
      <w:bookmarkEnd w:id="174"/>
      <w:bookmarkEnd w:id="175"/>
    </w:p>
    <w:p w14:paraId="0F0BB20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厂外运输主要是原</w:t>
      </w:r>
      <w:r>
        <w:rPr>
          <w:rFonts w:hint="eastAsia" w:ascii="宋体" w:hAnsi="宋体" w:eastAsia="宋体" w:cs="宋体"/>
          <w:color w:val="000000" w:themeColor="text1"/>
          <w:sz w:val="28"/>
          <w:szCs w:val="28"/>
          <w:lang w:val="en-US" w:eastAsia="zh-CN"/>
          <w14:textFill>
            <w14:solidFill>
              <w14:schemeClr w14:val="tx1"/>
            </w14:solidFill>
          </w14:textFill>
        </w:rPr>
        <w:t>材</w:t>
      </w:r>
      <w:r>
        <w:rPr>
          <w:rFonts w:hint="eastAsia" w:ascii="宋体" w:hAnsi="宋体" w:eastAsia="宋体" w:cs="宋体"/>
          <w:color w:val="000000" w:themeColor="text1"/>
          <w:sz w:val="28"/>
          <w:szCs w:val="28"/>
          <w:lang w:val="en-US" w:eastAsia="zh-CN"/>
          <w14:textFill>
            <w14:solidFill>
              <w14:schemeClr w14:val="tx1"/>
            </w14:solidFill>
          </w14:textFill>
        </w:rPr>
        <w:t>料的运输和</w:t>
      </w:r>
      <w:r>
        <w:rPr>
          <w:rFonts w:hint="eastAsia" w:ascii="宋体" w:hAnsi="宋体" w:eastAsia="宋体" w:cs="宋体"/>
          <w:color w:val="000000" w:themeColor="text1"/>
          <w:sz w:val="28"/>
          <w:szCs w:val="28"/>
          <w:lang w:val="en-US" w:eastAsia="zh-CN"/>
          <w14:textFill>
            <w14:solidFill>
              <w14:schemeClr w14:val="tx1"/>
            </w14:solidFill>
          </w14:textFill>
        </w:rPr>
        <w:t>产成品</w:t>
      </w:r>
      <w:r>
        <w:rPr>
          <w:rFonts w:hint="eastAsia" w:ascii="宋体" w:hAnsi="宋体" w:eastAsia="宋体" w:cs="宋体"/>
          <w:color w:val="000000" w:themeColor="text1"/>
          <w:sz w:val="28"/>
          <w:szCs w:val="28"/>
          <w:lang w:val="en-US" w:eastAsia="zh-CN"/>
          <w14:textFill>
            <w14:solidFill>
              <w14:schemeClr w14:val="tx1"/>
            </w14:solidFill>
          </w14:textFill>
        </w:rPr>
        <w:t>的运输，以社会运输力量为主。</w:t>
      </w:r>
      <w:bookmarkEnd w:id="176"/>
    </w:p>
    <w:p w14:paraId="6BF28C48">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184" w:name="_Toc5774"/>
      <w:r>
        <w:rPr>
          <w:rFonts w:hint="eastAsia" w:ascii="宋体" w:hAnsi="宋体" w:eastAsia="宋体" w:cs="宋体"/>
          <w:color w:val="000000" w:themeColor="text1"/>
          <w14:textFill>
            <w14:solidFill>
              <w14:schemeClr w14:val="tx1"/>
            </w14:solidFill>
          </w14:textFill>
        </w:rPr>
        <w:t>2.4</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生产</w:t>
      </w:r>
      <w:bookmarkEnd w:id="177"/>
      <w:bookmarkEnd w:id="178"/>
      <w:bookmarkEnd w:id="179"/>
      <w:bookmarkEnd w:id="180"/>
      <w:bookmarkEnd w:id="181"/>
      <w:r>
        <w:rPr>
          <w:rFonts w:hint="eastAsia" w:ascii="宋体" w:hAnsi="宋体" w:eastAsia="宋体" w:cs="宋体"/>
          <w:color w:val="000000" w:themeColor="text1"/>
          <w14:textFill>
            <w14:solidFill>
              <w14:schemeClr w14:val="tx1"/>
            </w14:solidFill>
          </w14:textFill>
        </w:rPr>
        <w:t>工艺</w:t>
      </w:r>
      <w:bookmarkEnd w:id="182"/>
      <w:bookmarkEnd w:id="184"/>
    </w:p>
    <w:bookmarkEnd w:id="183"/>
    <w:p w14:paraId="3A1C7566">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185" w:name="_Toc18735"/>
      <w:bookmarkStart w:id="186" w:name="_Toc27916"/>
      <w:r>
        <w:rPr>
          <w:rFonts w:hint="eastAsia" w:ascii="宋体" w:hAnsi="宋体" w:eastAsia="宋体" w:cs="宋体"/>
          <w:color w:val="000000" w:themeColor="text1"/>
          <w14:textFill>
            <w14:solidFill>
              <w14:schemeClr w14:val="tx1"/>
            </w14:solidFill>
          </w14:textFill>
        </w:rPr>
        <w:t>2.4.1</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产品</w:t>
      </w:r>
      <w:bookmarkEnd w:id="185"/>
      <w:bookmarkEnd w:id="186"/>
    </w:p>
    <w:p w14:paraId="3E985D6F">
      <w:pPr>
        <w:pStyle w:val="327"/>
        <w:keepNext w:val="0"/>
        <w:keepLines w:val="0"/>
        <w:pageBreakBefore w:val="0"/>
        <w:widowControl w:val="0"/>
        <w:kinsoku/>
        <w:wordWrap/>
        <w:overflowPunct/>
        <w:topLinePunct w:val="0"/>
        <w:autoSpaceDE/>
        <w:autoSpaceDN/>
        <w:bidi w:val="0"/>
        <w:adjustRightInd/>
        <w:snapToGrid/>
        <w:spacing w:after="0" w:line="52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产品：</w:t>
      </w:r>
      <w:r>
        <w:rPr>
          <w:rFonts w:hint="eastAsia" w:ascii="宋体" w:hAnsi="宋体" w:eastAsia="宋体" w:cs="宋体"/>
          <w:color w:val="000000" w:themeColor="text1"/>
          <w:sz w:val="28"/>
          <w:szCs w:val="28"/>
          <w:lang w:val="en-US" w:eastAsia="zh-CN"/>
          <w14:textFill>
            <w14:solidFill>
              <w14:schemeClr w14:val="tx1"/>
            </w14:solidFill>
          </w14:textFill>
        </w:rPr>
        <w:t>数控机床的组装、销售。</w:t>
      </w:r>
    </w:p>
    <w:p w14:paraId="00227AA4">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sz w:val="28"/>
          <w:szCs w:val="28"/>
          <w14:textFill>
            <w14:solidFill>
              <w14:schemeClr w14:val="tx1"/>
            </w14:solidFill>
          </w14:textFill>
        </w:rPr>
      </w:pPr>
      <w:bookmarkStart w:id="187" w:name="_Toc313453465"/>
      <w:bookmarkStart w:id="188" w:name="_Toc24061"/>
      <w:bookmarkStart w:id="189" w:name="_Toc32361"/>
      <w:bookmarkStart w:id="190" w:name="_Toc335926151"/>
      <w:bookmarkStart w:id="191" w:name="_Toc14895"/>
      <w:r>
        <w:rPr>
          <w:rFonts w:hint="eastAsia" w:ascii="宋体" w:hAnsi="宋体" w:eastAsia="宋体" w:cs="宋体"/>
          <w:color w:val="000000" w:themeColor="text1"/>
          <w14:textFill>
            <w14:solidFill>
              <w14:schemeClr w14:val="tx1"/>
            </w14:solidFill>
          </w14:textFill>
        </w:rPr>
        <w:t>2.4.</w:t>
      </w:r>
      <w:r>
        <w:rPr>
          <w:rFonts w:hint="eastAsia" w:ascii="宋体" w:hAnsi="宋体" w:eastAsia="宋体" w:cs="宋体"/>
          <w:color w:val="000000" w:themeColor="text1"/>
          <w:lang w:val="en-US" w:eastAsia="zh-CN"/>
          <w14:textFill>
            <w14:solidFill>
              <w14:schemeClr w14:val="tx1"/>
            </w14:solidFill>
          </w14:textFill>
        </w:rPr>
        <w:t xml:space="preserve">2 </w:t>
      </w:r>
      <w:r>
        <w:rPr>
          <w:rFonts w:hint="eastAsia" w:ascii="宋体" w:hAnsi="宋体" w:eastAsia="宋体" w:cs="宋体"/>
          <w:color w:val="000000" w:themeColor="text1"/>
          <w14:textFill>
            <w14:solidFill>
              <w14:schemeClr w14:val="tx1"/>
            </w14:solidFill>
          </w14:textFill>
        </w:rPr>
        <w:t>生产工艺</w:t>
      </w:r>
      <w:bookmarkEnd w:id="187"/>
      <w:r>
        <w:rPr>
          <w:rFonts w:hint="eastAsia" w:ascii="宋体" w:hAnsi="宋体" w:eastAsia="宋体" w:cs="宋体"/>
          <w:color w:val="000000" w:themeColor="text1"/>
          <w14:textFill>
            <w14:solidFill>
              <w14:schemeClr w14:val="tx1"/>
            </w14:solidFill>
          </w14:textFill>
        </w:rPr>
        <w:t>简述</w:t>
      </w:r>
      <w:bookmarkEnd w:id="188"/>
      <w:bookmarkEnd w:id="189"/>
      <w:bookmarkEnd w:id="190"/>
      <w:bookmarkEnd w:id="191"/>
    </w:p>
    <w:p w14:paraId="235ABAF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lang w:val="en-US" w:eastAsia="zh-CN"/>
          <w14:textFill>
            <w14:solidFill>
              <w14:schemeClr w14:val="tx1"/>
            </w14:solidFill>
          </w14:textFill>
        </w:rPr>
      </w:pPr>
      <w:r>
        <w:rPr>
          <w:rFonts w:hint="eastAsia" w:ascii="宋体" w:hAnsi="宋体" w:eastAsia="宋体" w:cs="宋体"/>
          <w:color w:val="000000" w:themeColor="text1"/>
          <w:sz w:val="28"/>
          <w:lang w:val="en-US" w:eastAsia="zh-CN"/>
          <w14:textFill>
            <w14:solidFill>
              <w14:schemeClr w14:val="tx1"/>
            </w14:solidFill>
          </w14:textFill>
        </w:rPr>
        <w:t>本项目为</w:t>
      </w:r>
      <w:r>
        <w:rPr>
          <w:rFonts w:hint="eastAsia" w:ascii="宋体" w:hAnsi="宋体" w:eastAsia="宋体" w:cs="宋体"/>
          <w:color w:val="000000" w:themeColor="text1"/>
          <w:sz w:val="28"/>
          <w:lang w:val="en-US" w:eastAsia="zh-CN"/>
          <w14:textFill>
            <w14:solidFill>
              <w14:schemeClr w14:val="tx1"/>
            </w14:solidFill>
          </w14:textFill>
        </w:rPr>
        <w:t>生产、销售数控机床</w:t>
      </w:r>
      <w:r>
        <w:rPr>
          <w:rFonts w:hint="eastAsia" w:ascii="宋体" w:hAnsi="宋体" w:eastAsia="宋体" w:cs="宋体"/>
          <w:color w:val="000000" w:themeColor="text1"/>
          <w:sz w:val="28"/>
          <w:lang w:val="en-US" w:eastAsia="zh-CN"/>
          <w14:textFill>
            <w14:solidFill>
              <w14:schemeClr w14:val="tx1"/>
            </w14:solidFill>
          </w14:textFill>
        </w:rPr>
        <w:t>项目，主要生产工艺流程如下：</w:t>
      </w:r>
    </w:p>
    <w:p w14:paraId="7AC2F469">
      <w:pPr>
        <w:spacing w:line="52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1.光机检验、调水平</w:t>
      </w:r>
    </w:p>
    <w:p w14:paraId="448836AF">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项目所需原</w:t>
      </w:r>
      <w:r>
        <w:rPr>
          <w:rFonts w:hint="eastAsia" w:ascii="宋体" w:hAnsi="宋体" w:eastAsia="宋体" w:cs="宋体"/>
          <w:sz w:val="28"/>
          <w:szCs w:val="28"/>
          <w:lang w:val="en-US" w:eastAsia="zh-CN"/>
        </w:rPr>
        <w:t>材料</w:t>
      </w:r>
      <w:r>
        <w:rPr>
          <w:rFonts w:hint="eastAsia" w:ascii="宋体" w:hAnsi="宋体" w:eastAsia="宋体" w:cs="宋体"/>
          <w:sz w:val="28"/>
          <w:szCs w:val="28"/>
        </w:rPr>
        <w:t>为</w:t>
      </w:r>
      <w:r>
        <w:rPr>
          <w:rFonts w:hint="eastAsia" w:ascii="宋体" w:hAnsi="宋体" w:eastAsia="宋体" w:cs="宋体"/>
          <w:sz w:val="28"/>
          <w:szCs w:val="28"/>
          <w:lang w:val="en-US" w:eastAsia="zh-CN"/>
        </w:rPr>
        <w:t>整机</w:t>
      </w:r>
      <w:r>
        <w:rPr>
          <w:rFonts w:hint="eastAsia" w:ascii="宋体" w:hAnsi="宋体" w:eastAsia="宋体" w:cs="宋体"/>
          <w:sz w:val="28"/>
          <w:szCs w:val="28"/>
        </w:rPr>
        <w:t>及功能部件。</w:t>
      </w:r>
      <w:r>
        <w:rPr>
          <w:rFonts w:hint="eastAsia" w:ascii="宋体" w:hAnsi="宋体" w:eastAsia="宋体" w:cs="宋体"/>
          <w:sz w:val="28"/>
          <w:szCs w:val="28"/>
          <w:lang w:val="en-US" w:eastAsia="zh-CN"/>
        </w:rPr>
        <w:t>整机</w:t>
      </w:r>
      <w:r>
        <w:rPr>
          <w:rFonts w:hint="eastAsia" w:ascii="宋体" w:hAnsi="宋体" w:eastAsia="宋体" w:cs="宋体"/>
          <w:sz w:val="28"/>
          <w:szCs w:val="28"/>
          <w:lang w:eastAsia="zh-CN"/>
        </w:rPr>
        <w:t>、</w:t>
      </w:r>
      <w:r>
        <w:rPr>
          <w:rFonts w:hint="eastAsia" w:ascii="宋体" w:hAnsi="宋体" w:eastAsia="宋体" w:cs="宋体"/>
          <w:sz w:val="28"/>
          <w:szCs w:val="28"/>
        </w:rPr>
        <w:t>功能部件</w:t>
      </w:r>
      <w:r>
        <w:rPr>
          <w:rFonts w:hint="eastAsia" w:ascii="宋体" w:hAnsi="宋体" w:eastAsia="宋体" w:cs="宋体"/>
          <w:sz w:val="28"/>
          <w:szCs w:val="28"/>
          <w:lang w:val="en-US" w:eastAsia="zh-CN"/>
        </w:rPr>
        <w:t>均为对外</w:t>
      </w:r>
      <w:r>
        <w:rPr>
          <w:rFonts w:hint="eastAsia" w:ascii="宋体" w:hAnsi="宋体" w:eastAsia="宋体" w:cs="宋体"/>
          <w:sz w:val="28"/>
          <w:szCs w:val="28"/>
        </w:rPr>
        <w:t>采购，将外购的原材料送检验员验收，主要是目测</w:t>
      </w:r>
      <w:r>
        <w:rPr>
          <w:rFonts w:hint="eastAsia" w:ascii="宋体" w:hAnsi="宋体" w:eastAsia="宋体" w:cs="宋体"/>
          <w:sz w:val="28"/>
          <w:szCs w:val="28"/>
          <w:lang w:val="en-US" w:eastAsia="zh-CN"/>
        </w:rPr>
        <w:t>主机及功能部件</w:t>
      </w:r>
      <w:r>
        <w:rPr>
          <w:rFonts w:hint="eastAsia" w:ascii="宋体" w:hAnsi="宋体" w:eastAsia="宋体" w:cs="宋体"/>
          <w:sz w:val="28"/>
          <w:szCs w:val="28"/>
        </w:rPr>
        <w:t>的规格、类型是否符合要求，</w:t>
      </w:r>
      <w:r>
        <w:rPr>
          <w:rFonts w:hint="eastAsia" w:ascii="宋体" w:hAnsi="宋体" w:eastAsia="宋体" w:cs="宋体"/>
          <w:sz w:val="28"/>
          <w:szCs w:val="28"/>
          <w:lang w:val="en-US" w:eastAsia="zh-CN"/>
        </w:rPr>
        <w:t>整机外观有无缺陷，精度是否达到出厂标准。</w:t>
      </w:r>
      <w:r>
        <w:rPr>
          <w:rFonts w:hint="eastAsia" w:ascii="宋体" w:hAnsi="宋体" w:eastAsia="宋体" w:cs="宋体"/>
          <w:sz w:val="28"/>
          <w:szCs w:val="28"/>
        </w:rPr>
        <w:t>符合要求的</w:t>
      </w:r>
      <w:r>
        <w:rPr>
          <w:rFonts w:hint="eastAsia" w:ascii="宋体" w:hAnsi="宋体" w:eastAsia="宋体" w:cs="宋体"/>
          <w:sz w:val="28"/>
          <w:szCs w:val="28"/>
          <w:lang w:val="en-US" w:eastAsia="zh-CN"/>
        </w:rPr>
        <w:t>各部件</w:t>
      </w:r>
      <w:r>
        <w:rPr>
          <w:rFonts w:hint="eastAsia" w:ascii="宋体" w:hAnsi="宋体" w:eastAsia="宋体" w:cs="宋体"/>
          <w:sz w:val="28"/>
          <w:szCs w:val="28"/>
        </w:rPr>
        <w:t>用于加工</w:t>
      </w:r>
      <w:r>
        <w:rPr>
          <w:rFonts w:hint="eastAsia" w:ascii="宋体" w:hAnsi="宋体" w:eastAsia="宋体" w:cs="宋体"/>
          <w:sz w:val="28"/>
          <w:szCs w:val="28"/>
          <w:lang w:val="en-US" w:eastAsia="zh-CN"/>
        </w:rPr>
        <w:t>组装</w:t>
      </w:r>
      <w:r>
        <w:rPr>
          <w:rFonts w:hint="eastAsia" w:ascii="宋体" w:hAnsi="宋体" w:eastAsia="宋体" w:cs="宋体"/>
          <w:sz w:val="28"/>
          <w:szCs w:val="28"/>
        </w:rPr>
        <w:t>。</w:t>
      </w:r>
    </w:p>
    <w:p w14:paraId="1235346F">
      <w:pPr>
        <w:spacing w:line="52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2.钣金安装、试运行、检验</w:t>
      </w:r>
    </w:p>
    <w:p w14:paraId="0B6F2B99">
      <w:pPr>
        <w:spacing w:line="52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此步骤为主机</w:t>
      </w:r>
      <w:r>
        <w:rPr>
          <w:rFonts w:hint="eastAsia" w:ascii="宋体" w:hAnsi="宋体" w:eastAsia="宋体" w:cs="宋体"/>
          <w:sz w:val="28"/>
          <w:szCs w:val="28"/>
        </w:rPr>
        <w:t>进行数控机床基础设施搭建。这包括</w:t>
      </w:r>
      <w:r>
        <w:rPr>
          <w:rFonts w:hint="eastAsia" w:ascii="宋体" w:hAnsi="宋体" w:eastAsia="宋体" w:cs="宋体"/>
          <w:sz w:val="28"/>
          <w:szCs w:val="28"/>
          <w:lang w:val="en-US" w:eastAsia="zh-CN"/>
        </w:rPr>
        <w:t>将光机配装打孔</w:t>
      </w:r>
      <w:r>
        <w:rPr>
          <w:rFonts w:hint="eastAsia" w:ascii="宋体" w:hAnsi="宋体" w:eastAsia="宋体" w:cs="宋体"/>
          <w:sz w:val="28"/>
          <w:szCs w:val="28"/>
        </w:rPr>
        <w:t>，</w:t>
      </w:r>
      <w:r>
        <w:rPr>
          <w:rFonts w:hint="eastAsia" w:ascii="宋体" w:hAnsi="宋体" w:eastAsia="宋体" w:cs="宋体"/>
          <w:sz w:val="28"/>
          <w:szCs w:val="28"/>
          <w:lang w:val="en-US" w:eastAsia="zh-CN"/>
        </w:rPr>
        <w:t>攻牙。立板安装成90°。</w:t>
      </w:r>
      <w:r>
        <w:rPr>
          <w:rFonts w:hint="eastAsia" w:ascii="宋体" w:hAnsi="宋体" w:eastAsia="宋体" w:cs="宋体"/>
          <w:sz w:val="28"/>
          <w:szCs w:val="28"/>
        </w:rPr>
        <w:t>确保</w:t>
      </w:r>
      <w:r>
        <w:rPr>
          <w:rFonts w:hint="eastAsia" w:ascii="宋体" w:hAnsi="宋体" w:eastAsia="宋体" w:cs="宋体"/>
          <w:sz w:val="28"/>
          <w:szCs w:val="28"/>
          <w:lang w:val="en-US" w:eastAsia="zh-CN"/>
        </w:rPr>
        <w:t>钣金平整、外观无刮痕、无凹凸现象</w:t>
      </w:r>
      <w:r>
        <w:rPr>
          <w:rFonts w:hint="eastAsia" w:ascii="宋体" w:hAnsi="宋体" w:eastAsia="宋体" w:cs="宋体"/>
          <w:sz w:val="28"/>
          <w:szCs w:val="28"/>
        </w:rPr>
        <w:t>且符合设备要求</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试运行时间不低于48小时，且保证机床运行无异响。</w:t>
      </w:r>
    </w:p>
    <w:p w14:paraId="333D5788">
      <w:pPr>
        <w:spacing w:line="52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3.配件、配电盘安装</w:t>
      </w:r>
    </w:p>
    <w:p w14:paraId="660F4639">
      <w:pPr>
        <w:spacing w:line="52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此步骤进行配件、配电盘的精确安装。配电盘是数控机床的关键部件之一，在安装过程中，需要确保各配件安装整齐，连线正确。配电盘型号与订单匹配，线路布置合理、整齐、美观。电机与机械部分的精准对接，调整并固定好传动装置，如联轴器或皮带轮等，以保证运动精度和平稳性。</w:t>
      </w:r>
    </w:p>
    <w:p w14:paraId="56C8BA41">
      <w:pPr>
        <w:spacing w:line="520" w:lineRule="exact"/>
        <w:ind w:firstLine="560" w:firstLineChars="200"/>
        <w:rPr>
          <w:rFonts w:hint="eastAsia" w:ascii="宋体" w:hAnsi="宋体" w:eastAsia="宋体" w:cs="宋体"/>
          <w:sz w:val="28"/>
          <w:szCs w:val="28"/>
          <w:lang w:val="en-US"/>
        </w:rPr>
      </w:pPr>
      <w:r>
        <w:rPr>
          <w:rFonts w:hint="eastAsia" w:ascii="宋体" w:hAnsi="宋体" w:eastAsia="宋体" w:cs="宋体"/>
          <w:sz w:val="28"/>
          <w:szCs w:val="28"/>
          <w:lang w:val="en-US" w:eastAsia="zh-CN"/>
        </w:rPr>
        <w:t>4.机床上电、调试、做补偿</w:t>
      </w:r>
    </w:p>
    <w:p w14:paraId="4AA04B23">
      <w:pPr>
        <w:spacing w:line="52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接下来，安装数控系统及其相关硬件。包括控制单元、显示器、键盘、接口板卡等组件的布置与连接。</w:t>
      </w:r>
      <w:r>
        <w:rPr>
          <w:rFonts w:hint="eastAsia" w:ascii="宋体" w:hAnsi="宋体" w:eastAsia="宋体" w:cs="宋体"/>
          <w:sz w:val="28"/>
          <w:szCs w:val="28"/>
          <w:lang w:val="en-US" w:eastAsia="zh-CN"/>
        </w:rPr>
        <w:t>检查高低电压是否正常。</w:t>
      </w:r>
      <w:r>
        <w:rPr>
          <w:rFonts w:hint="eastAsia" w:ascii="宋体" w:hAnsi="宋体" w:eastAsia="宋体" w:cs="宋体"/>
          <w:sz w:val="28"/>
          <w:szCs w:val="28"/>
        </w:rPr>
        <w:t>在此阶段，还需根据机床的具体型号和功能需求，配置相应的软件系统和参数设置，</w:t>
      </w:r>
      <w:r>
        <w:rPr>
          <w:rFonts w:hint="eastAsia" w:ascii="宋体" w:hAnsi="宋体" w:eastAsia="宋体" w:cs="宋体"/>
          <w:sz w:val="28"/>
          <w:szCs w:val="28"/>
          <w:lang w:val="en-US" w:eastAsia="zh-CN"/>
        </w:rPr>
        <w:t>调整系统参数，设置机械原点和正负软限位。</w:t>
      </w:r>
      <w:r>
        <w:rPr>
          <w:rFonts w:hint="eastAsia" w:ascii="宋体" w:hAnsi="宋体" w:eastAsia="宋体" w:cs="宋体"/>
          <w:sz w:val="28"/>
          <w:szCs w:val="28"/>
        </w:rPr>
        <w:t>移动各轴查看是否异常气压、打刀量调整</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并</w:t>
      </w:r>
      <w:r>
        <w:rPr>
          <w:rFonts w:hint="eastAsia" w:ascii="宋体" w:hAnsi="宋体" w:eastAsia="宋体" w:cs="宋体"/>
          <w:sz w:val="28"/>
          <w:szCs w:val="28"/>
        </w:rPr>
        <w:t>做激光螺距补偿，球杆仪循圆补偿</w:t>
      </w:r>
      <w:r>
        <w:rPr>
          <w:rFonts w:hint="eastAsia" w:ascii="宋体" w:hAnsi="宋体" w:eastAsia="宋体" w:cs="宋体"/>
          <w:sz w:val="28"/>
          <w:szCs w:val="28"/>
          <w:lang w:eastAsia="zh-CN"/>
        </w:rPr>
        <w:t>，</w:t>
      </w:r>
    </w:p>
    <w:p w14:paraId="2701D120">
      <w:pPr>
        <w:spacing w:line="520" w:lineRule="exact"/>
        <w:rPr>
          <w:rFonts w:hint="eastAsia" w:ascii="宋体" w:hAnsi="宋体" w:eastAsia="宋体" w:cs="宋体"/>
          <w:sz w:val="28"/>
          <w:szCs w:val="28"/>
        </w:rPr>
      </w:pPr>
      <w:r>
        <w:rPr>
          <w:rFonts w:hint="eastAsia" w:ascii="宋体" w:hAnsi="宋体" w:eastAsia="宋体" w:cs="宋体"/>
          <w:sz w:val="28"/>
          <w:szCs w:val="28"/>
        </w:rPr>
        <w:t>为后续工作打下基础。</w:t>
      </w:r>
    </w:p>
    <w:p w14:paraId="19010589">
      <w:pPr>
        <w:spacing w:line="520" w:lineRule="exact"/>
        <w:ind w:firstLine="560" w:firstLineChars="200"/>
        <w:rPr>
          <w:rFonts w:hint="eastAsia" w:ascii="宋体" w:hAnsi="宋体" w:eastAsia="宋体" w:cs="宋体"/>
          <w:sz w:val="28"/>
          <w:szCs w:val="28"/>
          <w:lang w:val="en-US"/>
        </w:rPr>
      </w:pPr>
      <w:r>
        <w:rPr>
          <w:rFonts w:hint="eastAsia" w:ascii="宋体" w:hAnsi="宋体" w:eastAsia="宋体" w:cs="宋体"/>
          <w:sz w:val="28"/>
          <w:szCs w:val="28"/>
          <w:lang w:val="en-US" w:eastAsia="zh-CN"/>
        </w:rPr>
        <w:t>5.试切削加工、试水</w:t>
      </w:r>
    </w:p>
    <w:p w14:paraId="03D2A210">
      <w:pPr>
        <w:spacing w:line="52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试切削是验证机床性能和加工效果的重要环节。首先使车刀与工件表面轻微接触，按照一定的切深和进给速度进行切削。切削完成后退出车刀并进行度量，如果尺寸不到则继续进刀切削直至尺寸合格。然后需进行试水测试以验证设备的防水性，是否漏水、漏油等。</w:t>
      </w:r>
    </w:p>
    <w:p w14:paraId="1FF86577">
      <w:pPr>
        <w:spacing w:line="52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w:t>
      </w:r>
      <w:r>
        <w:rPr>
          <w:rFonts w:hint="eastAsia" w:ascii="宋体" w:hAnsi="宋体" w:eastAsia="宋体" w:cs="宋体"/>
          <w:sz w:val="28"/>
          <w:szCs w:val="28"/>
        </w:rPr>
        <w:t>数控机床</w:t>
      </w:r>
      <w:r>
        <w:rPr>
          <w:rFonts w:hint="eastAsia" w:ascii="宋体" w:hAnsi="宋体" w:eastAsia="宋体" w:cs="宋体"/>
          <w:sz w:val="28"/>
          <w:szCs w:val="28"/>
          <w:lang w:val="en-US" w:eastAsia="zh-CN"/>
        </w:rPr>
        <w:t>总</w:t>
      </w:r>
      <w:r>
        <w:rPr>
          <w:rFonts w:hint="eastAsia" w:ascii="宋体" w:hAnsi="宋体" w:eastAsia="宋体" w:cs="宋体"/>
          <w:sz w:val="28"/>
          <w:szCs w:val="28"/>
        </w:rPr>
        <w:t>检验测试</w:t>
      </w:r>
    </w:p>
    <w:p w14:paraId="63B89CAB">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在数控系统调试完成后，进行全面的机床检验测试。这包括对机床的加工精度、重复定位精度、动态响应性能等进行严格的测试和评估。同时，还需要检查机床的安全防护装置是否完好有效，以确保机床在使用过程中的人机安全。</w:t>
      </w:r>
    </w:p>
    <w:p w14:paraId="33241E34">
      <w:pPr>
        <w:numPr>
          <w:ilvl w:val="0"/>
          <w:numId w:val="0"/>
        </w:numPr>
        <w:spacing w:line="520" w:lineRule="exact"/>
        <w:ind w:firstLine="560" w:firstLineChars="200"/>
        <w:rPr>
          <w:rFonts w:hint="eastAsia" w:ascii="宋体" w:hAnsi="宋体" w:eastAsia="宋体" w:cs="宋体"/>
          <w:sz w:val="28"/>
          <w:szCs w:val="28"/>
        </w:rPr>
      </w:pPr>
      <w:r>
        <w:rPr>
          <w:rFonts w:hint="eastAsia" w:ascii="宋体" w:hAnsi="宋体" w:eastAsia="宋体" w:cs="宋体"/>
          <w:kern w:val="2"/>
          <w:sz w:val="28"/>
          <w:szCs w:val="28"/>
          <w:lang w:val="en-US" w:eastAsia="zh-CN" w:bidi="ar-SA"/>
        </w:rPr>
        <w:t>7.贴铭牌、包装、</w:t>
      </w:r>
      <w:r>
        <w:rPr>
          <w:rFonts w:hint="eastAsia" w:ascii="宋体" w:hAnsi="宋体" w:eastAsia="宋体" w:cs="宋体"/>
          <w:sz w:val="28"/>
          <w:szCs w:val="28"/>
        </w:rPr>
        <w:t>交付发货</w:t>
      </w:r>
    </w:p>
    <w:p w14:paraId="1B82C3C9">
      <w:pPr>
        <w:numPr>
          <w:ilvl w:val="0"/>
          <w:numId w:val="0"/>
        </w:num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当数控机床经过全面检验测试并确认无误后，即可</w:t>
      </w:r>
      <w:r>
        <w:rPr>
          <w:rFonts w:hint="eastAsia" w:ascii="宋体" w:hAnsi="宋体" w:eastAsia="宋体" w:cs="宋体"/>
          <w:sz w:val="28"/>
          <w:szCs w:val="28"/>
          <w:lang w:val="en-US" w:eastAsia="zh-CN"/>
        </w:rPr>
        <w:t>贴上铭牌，</w:t>
      </w:r>
      <w:r>
        <w:rPr>
          <w:rFonts w:hint="eastAsia" w:ascii="宋体" w:hAnsi="宋体" w:eastAsia="宋体" w:cs="宋体"/>
          <w:sz w:val="28"/>
          <w:szCs w:val="28"/>
        </w:rPr>
        <w:t>进行交付发货。在发货前，需做好包装保护工作以防止运输过程中的损坏，并向用户提供详细的操作手册和维护指南以便用户正确使用和维护机床。</w:t>
      </w:r>
    </w:p>
    <w:p w14:paraId="678F9EB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工艺流程如图2-4。</w:t>
      </w:r>
    </w:p>
    <w:p w14:paraId="53224C4C">
      <w:pPr>
        <w:pStyle w:val="9"/>
        <w:bidi w:val="0"/>
        <w:ind w:firstLine="0" w:firstLineChars="0"/>
        <w:rPr>
          <w:rFonts w:hint="eastAsia" w:ascii="宋体" w:hAnsi="宋体" w:eastAsia="宋体" w:cs="宋体"/>
          <w:color w:val="000000" w:themeColor="text1"/>
          <w:sz w:val="21"/>
          <w14:textFill>
            <w14:solidFill>
              <w14:schemeClr w14:val="tx1"/>
            </w14:solidFill>
          </w14:textFill>
        </w:rPr>
      </w:pPr>
      <w:r>
        <w:rPr>
          <w:rFonts w:hint="eastAsia" w:ascii="宋体" w:hAnsi="宋体" w:eastAsia="宋体" w:cs="宋体"/>
          <w:sz w:val="28"/>
          <w:szCs w:val="28"/>
          <w:lang w:eastAsia="zh-CN"/>
        </w:rPr>
        <w:drawing>
          <wp:inline distT="0" distB="0" distL="114300" distR="114300">
            <wp:extent cx="5666740" cy="683895"/>
            <wp:effectExtent l="0" t="0" r="2540" b="1905"/>
            <wp:docPr id="79" name="F360BE8B-6686-4F3D-AEAF-501FE73E4058-2" descr="玉溪明哲工艺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F360BE8B-6686-4F3D-AEAF-501FE73E4058-2" descr="玉溪明哲工艺流程图"/>
                    <pic:cNvPicPr>
                      <a:picLocks noChangeAspect="1"/>
                    </pic:cNvPicPr>
                  </pic:nvPicPr>
                  <pic:blipFill>
                    <a:blip r:embed="rId16"/>
                    <a:stretch>
                      <a:fillRect/>
                    </a:stretch>
                  </pic:blipFill>
                  <pic:spPr>
                    <a:xfrm>
                      <a:off x="0" y="0"/>
                      <a:ext cx="5666740" cy="683895"/>
                    </a:xfrm>
                    <a:prstGeom prst="rect">
                      <a:avLst/>
                    </a:prstGeom>
                  </pic:spPr>
                </pic:pic>
              </a:graphicData>
            </a:graphic>
          </wp:inline>
        </w:drawing>
      </w:r>
    </w:p>
    <w:p w14:paraId="56746559">
      <w:pPr>
        <w:pStyle w:val="9"/>
        <w:bidi w:val="0"/>
        <w:ind w:firstLine="0" w:firstLineChars="0"/>
        <w:jc w:val="center"/>
        <w:rPr>
          <w:rFonts w:hint="eastAsia" w:ascii="宋体" w:hAnsi="宋体" w:eastAsia="宋体" w:cs="宋体"/>
          <w:color w:val="000000" w:themeColor="text1"/>
          <w:sz w:val="21"/>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图2-4</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en-US" w:eastAsia="zh-CN"/>
          <w14:textFill>
            <w14:solidFill>
              <w14:schemeClr w14:val="tx1"/>
            </w14:solidFill>
          </w14:textFill>
        </w:rPr>
        <w:t>工艺流程</w:t>
      </w:r>
    </w:p>
    <w:p w14:paraId="3F4F7F1B">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192" w:name="_Toc313453470"/>
      <w:bookmarkStart w:id="193" w:name="_Toc335926158"/>
      <w:bookmarkStart w:id="194" w:name="_Toc11429"/>
      <w:bookmarkStart w:id="195" w:name="_Toc27943"/>
      <w:bookmarkStart w:id="196" w:name="_Toc14691"/>
      <w:r>
        <w:rPr>
          <w:rFonts w:hint="eastAsia" w:ascii="宋体" w:hAnsi="宋体" w:eastAsia="宋体" w:cs="宋体"/>
          <w:color w:val="000000" w:themeColor="text1"/>
          <w14:textFill>
            <w14:solidFill>
              <w14:schemeClr w14:val="tx1"/>
            </w14:solidFill>
          </w14:textFill>
        </w:rPr>
        <w:t>2.4.</w:t>
      </w:r>
      <w:r>
        <w:rPr>
          <w:rFonts w:hint="eastAsia" w:ascii="宋体" w:hAnsi="宋体" w:eastAsia="宋体" w:cs="宋体"/>
          <w:color w:val="000000" w:themeColor="text1"/>
          <w:lang w:val="en-US" w:eastAsia="zh-CN"/>
          <w14:textFill>
            <w14:solidFill>
              <w14:schemeClr w14:val="tx1"/>
            </w14:solidFill>
          </w14:textFill>
        </w:rPr>
        <w:t xml:space="preserve">3 </w:t>
      </w:r>
      <w:r>
        <w:rPr>
          <w:rFonts w:hint="eastAsia" w:ascii="宋体" w:hAnsi="宋体" w:eastAsia="宋体" w:cs="宋体"/>
          <w:color w:val="000000" w:themeColor="text1"/>
          <w14:textFill>
            <w14:solidFill>
              <w14:schemeClr w14:val="tx1"/>
            </w14:solidFill>
          </w14:textFill>
        </w:rPr>
        <w:t>主要</w:t>
      </w:r>
      <w:bookmarkEnd w:id="192"/>
      <w:bookmarkEnd w:id="193"/>
      <w:bookmarkEnd w:id="194"/>
      <w:bookmarkStart w:id="197" w:name="_Toc14194"/>
      <w:bookmarkStart w:id="198" w:name="_Toc4278"/>
      <w:bookmarkStart w:id="199" w:name="_Toc313453474"/>
      <w:bookmarkStart w:id="200" w:name="_Toc335926168"/>
      <w:r>
        <w:rPr>
          <w:rFonts w:hint="eastAsia" w:ascii="宋体" w:hAnsi="宋体" w:eastAsia="宋体" w:cs="宋体"/>
          <w:color w:val="000000" w:themeColor="text1"/>
          <w14:textFill>
            <w14:solidFill>
              <w14:schemeClr w14:val="tx1"/>
            </w14:solidFill>
          </w14:textFill>
        </w:rPr>
        <w:t>生产设备</w:t>
      </w:r>
      <w:bookmarkEnd w:id="195"/>
      <w:bookmarkEnd w:id="196"/>
    </w:p>
    <w:p w14:paraId="32DB649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该项目生产系统</w:t>
      </w:r>
      <w:r>
        <w:rPr>
          <w:rFonts w:hint="eastAsia" w:ascii="宋体" w:hAnsi="宋体" w:eastAsia="宋体" w:cs="宋体"/>
          <w:color w:val="000000" w:themeColor="text1"/>
          <w:sz w:val="28"/>
          <w:szCs w:val="28"/>
          <w:lang w:val="en-US" w:eastAsia="zh-CN"/>
          <w14:textFill>
            <w14:solidFill>
              <w14:schemeClr w14:val="tx1"/>
            </w14:solidFill>
          </w14:textFill>
        </w:rPr>
        <w:t>中</w:t>
      </w:r>
      <w:r>
        <w:rPr>
          <w:rFonts w:hint="eastAsia" w:ascii="宋体" w:hAnsi="宋体" w:eastAsia="宋体" w:cs="宋体"/>
          <w:color w:val="000000" w:themeColor="text1"/>
          <w:sz w:val="28"/>
          <w:szCs w:val="28"/>
          <w:lang w:val="en-US" w:eastAsia="zh-CN"/>
          <w14:textFill>
            <w14:solidFill>
              <w14:schemeClr w14:val="tx1"/>
            </w14:solidFill>
          </w14:textFill>
        </w:rPr>
        <w:t>使用</w:t>
      </w:r>
      <w:r>
        <w:rPr>
          <w:rFonts w:hint="eastAsia" w:ascii="宋体" w:hAnsi="宋体" w:eastAsia="宋体" w:cs="宋体"/>
          <w:color w:val="000000" w:themeColor="text1"/>
          <w:sz w:val="28"/>
          <w:szCs w:val="28"/>
          <w:lang w:val="en-US" w:eastAsia="zh-CN"/>
          <w14:textFill>
            <w14:solidFill>
              <w14:schemeClr w14:val="tx1"/>
            </w14:solidFill>
          </w14:textFill>
        </w:rPr>
        <w:t>的</w:t>
      </w:r>
      <w:r>
        <w:rPr>
          <w:rFonts w:hint="eastAsia" w:ascii="宋体" w:hAnsi="宋体" w:eastAsia="宋体" w:cs="宋体"/>
          <w:color w:val="000000" w:themeColor="text1"/>
          <w:sz w:val="28"/>
          <w:szCs w:val="28"/>
          <w:lang w:val="en-US" w:eastAsia="zh-CN"/>
          <w14:textFill>
            <w14:solidFill>
              <w14:schemeClr w14:val="tx1"/>
            </w14:solidFill>
          </w14:textFill>
        </w:rPr>
        <w:t>主要生产</w:t>
      </w:r>
      <w:r>
        <w:rPr>
          <w:rFonts w:hint="eastAsia" w:ascii="宋体" w:hAnsi="宋体" w:eastAsia="宋体" w:cs="宋体"/>
          <w:color w:val="000000" w:themeColor="text1"/>
          <w:sz w:val="28"/>
          <w:szCs w:val="28"/>
          <w:lang w:val="en-US" w:eastAsia="zh-CN"/>
          <w14:textFill>
            <w14:solidFill>
              <w14:schemeClr w14:val="tx1"/>
            </w14:solidFill>
          </w14:textFill>
        </w:rPr>
        <w:t>设备</w:t>
      </w:r>
      <w:r>
        <w:rPr>
          <w:rFonts w:hint="eastAsia" w:ascii="宋体" w:hAnsi="宋体" w:eastAsia="宋体" w:cs="宋体"/>
          <w:color w:val="000000" w:themeColor="text1"/>
          <w:sz w:val="28"/>
          <w:szCs w:val="28"/>
          <w:lang w:val="en-US" w:eastAsia="zh-CN"/>
          <w14:textFill>
            <w14:solidFill>
              <w14:schemeClr w14:val="tx1"/>
            </w14:solidFill>
          </w14:textFill>
        </w:rPr>
        <w:t>详见</w:t>
      </w:r>
      <w:r>
        <w:rPr>
          <w:rFonts w:hint="eastAsia" w:ascii="宋体" w:hAnsi="宋体" w:eastAsia="宋体" w:cs="宋体"/>
          <w:color w:val="000000" w:themeColor="text1"/>
          <w:sz w:val="28"/>
          <w:szCs w:val="28"/>
          <w:lang w:val="en-US" w:eastAsia="zh-CN"/>
          <w14:textFill>
            <w14:solidFill>
              <w14:schemeClr w14:val="tx1"/>
            </w14:solidFill>
          </w14:textFill>
        </w:rPr>
        <w:t>表2-2</w:t>
      </w:r>
      <w:r>
        <w:rPr>
          <w:rFonts w:hint="eastAsia" w:ascii="宋体" w:hAnsi="宋体" w:eastAsia="宋体" w:cs="宋体"/>
          <w:color w:val="000000" w:themeColor="text1"/>
          <w:sz w:val="28"/>
          <w:szCs w:val="28"/>
          <w:lang w:val="en-US" w:eastAsia="zh-CN"/>
          <w14:textFill>
            <w14:solidFill>
              <w14:schemeClr w14:val="tx1"/>
            </w14:solidFill>
          </w14:textFill>
        </w:rPr>
        <w:t>。</w:t>
      </w:r>
    </w:p>
    <w:p w14:paraId="04A5E363">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Cs w:val="24"/>
          <w14:textFill>
            <w14:solidFill>
              <w14:schemeClr w14:val="tx1"/>
            </w14:solidFill>
          </w14:textFill>
        </w:rPr>
        <w:t xml:space="preserve">表2-2 </w:t>
      </w:r>
      <w:r>
        <w:rPr>
          <w:rFonts w:hint="eastAsia" w:ascii="宋体" w:hAnsi="宋体" w:eastAsia="宋体" w:cs="宋体"/>
          <w:b/>
          <w:bCs/>
          <w:color w:val="000000" w:themeColor="text1"/>
          <w:szCs w:val="24"/>
          <w:lang w:val="en-US" w:eastAsia="zh-CN"/>
          <w14:textFill>
            <w14:solidFill>
              <w14:schemeClr w14:val="tx1"/>
            </w14:solidFill>
          </w14:textFill>
        </w:rPr>
        <w:t>主要生产</w:t>
      </w:r>
      <w:r>
        <w:rPr>
          <w:rFonts w:hint="eastAsia" w:ascii="宋体" w:hAnsi="宋体" w:eastAsia="宋体" w:cs="宋体"/>
          <w:b/>
          <w:bCs/>
          <w:color w:val="000000" w:themeColor="text1"/>
          <w:szCs w:val="24"/>
          <w14:textFill>
            <w14:solidFill>
              <w14:schemeClr w14:val="tx1"/>
            </w14:solidFill>
          </w14:textFill>
        </w:rPr>
        <w:t>设备一览表</w:t>
      </w:r>
    </w:p>
    <w:tbl>
      <w:tblPr>
        <w:tblStyle w:val="5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4097"/>
        <w:gridCol w:w="2552"/>
      </w:tblGrid>
      <w:tr w14:paraId="33BF3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42" w:type="dxa"/>
            <w:noWrap w:val="0"/>
            <w:vAlign w:val="top"/>
          </w:tcPr>
          <w:p w14:paraId="223A7155">
            <w:pPr>
              <w:pStyle w:val="69"/>
              <w:rPr>
                <w:rFonts w:hint="eastAsia" w:ascii="宋体" w:hAnsi="宋体" w:eastAsia="宋体" w:cs="宋体"/>
                <w:szCs w:val="21"/>
              </w:rPr>
            </w:pPr>
            <w:r>
              <w:rPr>
                <w:rFonts w:hint="eastAsia" w:ascii="宋体" w:hAnsi="宋体" w:eastAsia="宋体" w:cs="宋体"/>
                <w:szCs w:val="21"/>
              </w:rPr>
              <w:t>序号</w:t>
            </w:r>
          </w:p>
        </w:tc>
        <w:tc>
          <w:tcPr>
            <w:tcW w:w="4097" w:type="dxa"/>
            <w:noWrap w:val="0"/>
            <w:vAlign w:val="top"/>
          </w:tcPr>
          <w:p w14:paraId="1237F7CD">
            <w:pPr>
              <w:pStyle w:val="69"/>
              <w:rPr>
                <w:rFonts w:hint="eastAsia" w:ascii="宋体" w:hAnsi="宋体" w:eastAsia="宋体" w:cs="宋体"/>
                <w:szCs w:val="21"/>
              </w:rPr>
            </w:pPr>
            <w:r>
              <w:rPr>
                <w:rFonts w:hint="eastAsia" w:ascii="宋体" w:hAnsi="宋体" w:eastAsia="宋体" w:cs="宋体"/>
                <w:szCs w:val="21"/>
              </w:rPr>
              <w:t>设备名称</w:t>
            </w:r>
          </w:p>
        </w:tc>
        <w:tc>
          <w:tcPr>
            <w:tcW w:w="2552" w:type="dxa"/>
            <w:noWrap w:val="0"/>
            <w:vAlign w:val="top"/>
          </w:tcPr>
          <w:p w14:paraId="172E1E13">
            <w:pPr>
              <w:pStyle w:val="69"/>
              <w:rPr>
                <w:rFonts w:hint="eastAsia" w:ascii="宋体" w:hAnsi="宋体" w:eastAsia="宋体" w:cs="宋体"/>
                <w:szCs w:val="21"/>
              </w:rPr>
            </w:pPr>
            <w:r>
              <w:rPr>
                <w:rFonts w:hint="eastAsia" w:ascii="宋体" w:hAnsi="宋体" w:eastAsia="宋体" w:cs="宋体"/>
                <w:szCs w:val="21"/>
              </w:rPr>
              <w:t>数量（台）</w:t>
            </w:r>
          </w:p>
        </w:tc>
      </w:tr>
      <w:tr w14:paraId="007B6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noWrap w:val="0"/>
            <w:vAlign w:val="top"/>
          </w:tcPr>
          <w:p w14:paraId="70DA1B79">
            <w:pPr>
              <w:pStyle w:val="69"/>
              <w:rPr>
                <w:rFonts w:hint="eastAsia" w:ascii="宋体" w:hAnsi="宋体" w:eastAsia="宋体" w:cs="宋体"/>
                <w:b/>
                <w:szCs w:val="21"/>
              </w:rPr>
            </w:pPr>
            <w:r>
              <w:rPr>
                <w:rFonts w:hint="eastAsia" w:ascii="宋体" w:hAnsi="宋体" w:eastAsia="宋体" w:cs="宋体"/>
                <w:szCs w:val="21"/>
              </w:rPr>
              <w:t>1</w:t>
            </w:r>
          </w:p>
        </w:tc>
        <w:tc>
          <w:tcPr>
            <w:tcW w:w="4097" w:type="dxa"/>
            <w:shd w:val="clear" w:color="auto" w:fill="auto"/>
            <w:noWrap w:val="0"/>
            <w:vAlign w:val="center"/>
          </w:tcPr>
          <w:p w14:paraId="1C5B4264">
            <w:pPr>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数控加工龙门吊</w:t>
            </w:r>
            <w:r>
              <w:rPr>
                <w:rFonts w:hint="eastAsia" w:ascii="宋体" w:hAnsi="宋体" w:eastAsia="宋体" w:cs="宋体"/>
                <w:szCs w:val="21"/>
                <w:lang w:val="en-US" w:eastAsia="zh-CN"/>
              </w:rPr>
              <w:t>SP2518</w:t>
            </w:r>
          </w:p>
        </w:tc>
        <w:tc>
          <w:tcPr>
            <w:tcW w:w="2552" w:type="dxa"/>
            <w:shd w:val="clear" w:color="auto" w:fill="auto"/>
            <w:noWrap w:val="0"/>
            <w:vAlign w:val="center"/>
          </w:tcPr>
          <w:p w14:paraId="27344725">
            <w:pPr>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2台</w:t>
            </w:r>
          </w:p>
        </w:tc>
      </w:tr>
      <w:tr w14:paraId="41EC7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noWrap w:val="0"/>
            <w:vAlign w:val="top"/>
          </w:tcPr>
          <w:p w14:paraId="2DE6A41F">
            <w:pPr>
              <w:pStyle w:val="69"/>
              <w:rPr>
                <w:rFonts w:hint="eastAsia" w:ascii="宋体" w:hAnsi="宋体" w:eastAsia="宋体" w:cs="宋体"/>
                <w:b/>
                <w:szCs w:val="21"/>
              </w:rPr>
            </w:pPr>
            <w:r>
              <w:rPr>
                <w:rFonts w:hint="eastAsia" w:ascii="宋体" w:hAnsi="宋体" w:eastAsia="宋体" w:cs="宋体"/>
                <w:szCs w:val="21"/>
              </w:rPr>
              <w:t>2</w:t>
            </w:r>
          </w:p>
        </w:tc>
        <w:tc>
          <w:tcPr>
            <w:tcW w:w="4097" w:type="dxa"/>
            <w:shd w:val="clear" w:color="auto" w:fill="auto"/>
            <w:noWrap w:val="0"/>
            <w:vAlign w:val="center"/>
          </w:tcPr>
          <w:p w14:paraId="5D91C935">
            <w:pPr>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数控磨床630</w:t>
            </w:r>
          </w:p>
        </w:tc>
        <w:tc>
          <w:tcPr>
            <w:tcW w:w="2552" w:type="dxa"/>
            <w:shd w:val="clear" w:color="auto" w:fill="auto"/>
            <w:noWrap w:val="0"/>
            <w:vAlign w:val="center"/>
          </w:tcPr>
          <w:p w14:paraId="120889AF">
            <w:pPr>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1台</w:t>
            </w:r>
          </w:p>
        </w:tc>
      </w:tr>
      <w:tr w14:paraId="30809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noWrap w:val="0"/>
            <w:vAlign w:val="top"/>
          </w:tcPr>
          <w:p w14:paraId="45DBDC80">
            <w:pPr>
              <w:pStyle w:val="69"/>
              <w:rPr>
                <w:rFonts w:hint="eastAsia" w:ascii="宋体" w:hAnsi="宋体" w:eastAsia="宋体" w:cs="宋体"/>
                <w:b/>
                <w:szCs w:val="21"/>
              </w:rPr>
            </w:pPr>
            <w:r>
              <w:rPr>
                <w:rFonts w:hint="eastAsia" w:ascii="宋体" w:hAnsi="宋体" w:eastAsia="宋体" w:cs="宋体"/>
                <w:szCs w:val="21"/>
              </w:rPr>
              <w:t>3</w:t>
            </w:r>
          </w:p>
        </w:tc>
        <w:tc>
          <w:tcPr>
            <w:tcW w:w="4097" w:type="dxa"/>
            <w:noWrap w:val="0"/>
            <w:vAlign w:val="top"/>
          </w:tcPr>
          <w:p w14:paraId="5EA06680">
            <w:pPr>
              <w:pStyle w:val="69"/>
              <w:rPr>
                <w:rFonts w:hint="eastAsia" w:ascii="宋体" w:hAnsi="宋体" w:eastAsia="宋体" w:cs="宋体"/>
                <w:b/>
                <w:szCs w:val="21"/>
                <w:lang w:val="en-US" w:eastAsia="zh-CN"/>
              </w:rPr>
            </w:pPr>
            <w:r>
              <w:rPr>
                <w:rFonts w:hint="eastAsia" w:ascii="宋体" w:hAnsi="宋体" w:eastAsia="宋体" w:cs="宋体"/>
                <w:kern w:val="2"/>
                <w:sz w:val="21"/>
                <w:szCs w:val="21"/>
                <w:lang w:val="en-US" w:eastAsia="zh-CN" w:bidi="ar-SA"/>
              </w:rPr>
              <w:t>手持电动工具（手持电钻、小砂轮机等）</w:t>
            </w:r>
          </w:p>
        </w:tc>
        <w:tc>
          <w:tcPr>
            <w:tcW w:w="2552" w:type="dxa"/>
            <w:noWrap w:val="0"/>
            <w:vAlign w:val="top"/>
          </w:tcPr>
          <w:p w14:paraId="0671A788">
            <w:pPr>
              <w:pStyle w:val="69"/>
              <w:rPr>
                <w:rFonts w:hint="eastAsia" w:ascii="宋体" w:hAnsi="宋体" w:eastAsia="宋体" w:cs="宋体"/>
                <w:b/>
                <w:szCs w:val="21"/>
                <w:lang w:val="en-US" w:eastAsia="zh-CN"/>
              </w:rPr>
            </w:pPr>
          </w:p>
        </w:tc>
      </w:tr>
    </w:tbl>
    <w:p w14:paraId="0FD01D93">
      <w:pPr>
        <w:spacing w:line="600" w:lineRule="exact"/>
        <w:ind w:firstLine="560" w:firstLineChars="2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sz w:val="28"/>
          <w:szCs w:val="28"/>
          <w:lang w:val="en-US" w:eastAsia="zh-CN"/>
        </w:rPr>
        <w:t>特种设备（</w:t>
      </w:r>
      <w:r>
        <w:rPr>
          <w:rFonts w:hint="eastAsia" w:ascii="宋体" w:hAnsi="宋体" w:eastAsia="宋体" w:cs="宋体"/>
          <w:sz w:val="28"/>
          <w:szCs w:val="28"/>
        </w:rPr>
        <w:t>行车</w:t>
      </w:r>
      <w:r>
        <w:rPr>
          <w:rFonts w:hint="eastAsia" w:ascii="宋体" w:hAnsi="宋体" w:eastAsia="宋体" w:cs="宋体"/>
          <w:sz w:val="28"/>
          <w:szCs w:val="28"/>
          <w:lang w:val="en-US" w:eastAsia="zh-CN"/>
        </w:rPr>
        <w:t>）</w:t>
      </w:r>
      <w:r>
        <w:rPr>
          <w:rFonts w:hint="eastAsia" w:ascii="宋体" w:hAnsi="宋体" w:eastAsia="宋体" w:cs="宋体"/>
          <w:sz w:val="28"/>
          <w:szCs w:val="28"/>
        </w:rPr>
        <w:t>已向红塔区市场监督管理局申请登记，并取得特种设备使用登记证，登记证见附件</w:t>
      </w:r>
      <w:r>
        <w:rPr>
          <w:rFonts w:hint="eastAsia" w:ascii="宋体" w:hAnsi="宋体" w:eastAsia="宋体" w:cs="宋体"/>
          <w:sz w:val="28"/>
          <w:szCs w:val="28"/>
          <w:lang w:val="en-US" w:eastAsia="zh-CN"/>
        </w:rPr>
        <w:t>5</w:t>
      </w:r>
      <w:r>
        <w:rPr>
          <w:rFonts w:hint="eastAsia" w:ascii="宋体" w:hAnsi="宋体" w:eastAsia="宋体" w:cs="宋体"/>
          <w:sz w:val="28"/>
          <w:szCs w:val="28"/>
        </w:rPr>
        <w:t>；并按相关规范要求对行车进行了定期检验，行车于202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3</w:t>
      </w:r>
      <w:r>
        <w:rPr>
          <w:rFonts w:hint="eastAsia" w:ascii="宋体" w:hAnsi="宋体" w:eastAsia="宋体" w:cs="宋体"/>
          <w:sz w:val="28"/>
          <w:szCs w:val="28"/>
        </w:rPr>
        <w:t>月</w:t>
      </w:r>
      <w:r>
        <w:rPr>
          <w:rFonts w:hint="eastAsia" w:ascii="宋体" w:hAnsi="宋体" w:eastAsia="宋体" w:cs="宋体"/>
          <w:sz w:val="28"/>
          <w:szCs w:val="28"/>
          <w:lang w:eastAsia="zh-CN"/>
        </w:rPr>
        <w:t>、</w:t>
      </w:r>
      <w:r>
        <w:rPr>
          <w:rFonts w:hint="eastAsia" w:ascii="宋体" w:hAnsi="宋体" w:eastAsia="宋体" w:cs="宋体"/>
          <w:sz w:val="28"/>
          <w:szCs w:val="28"/>
        </w:rPr>
        <w:t>202</w:t>
      </w:r>
      <w:r>
        <w:rPr>
          <w:rFonts w:hint="eastAsia" w:ascii="宋体" w:hAnsi="宋体" w:eastAsia="宋体" w:cs="宋体"/>
          <w:sz w:val="28"/>
          <w:szCs w:val="28"/>
          <w:lang w:val="en-US" w:eastAsia="zh-CN"/>
        </w:rPr>
        <w:t>4</w:t>
      </w:r>
      <w:r>
        <w:rPr>
          <w:rFonts w:hint="eastAsia" w:ascii="宋体" w:hAnsi="宋体" w:eastAsia="宋体" w:cs="宋体"/>
          <w:sz w:val="28"/>
          <w:szCs w:val="28"/>
        </w:rPr>
        <w:t>年</w:t>
      </w:r>
      <w:r>
        <w:rPr>
          <w:rFonts w:hint="eastAsia" w:ascii="宋体" w:hAnsi="宋体" w:eastAsia="宋体" w:cs="宋体"/>
          <w:sz w:val="28"/>
          <w:szCs w:val="28"/>
          <w:lang w:val="en-US" w:eastAsia="zh-CN"/>
        </w:rPr>
        <w:t>4</w:t>
      </w:r>
      <w:r>
        <w:rPr>
          <w:rFonts w:hint="eastAsia" w:ascii="宋体" w:hAnsi="宋体" w:eastAsia="宋体" w:cs="宋体"/>
          <w:sz w:val="28"/>
          <w:szCs w:val="28"/>
        </w:rPr>
        <w:t>月进行检验，检验有效期至202</w:t>
      </w:r>
      <w:r>
        <w:rPr>
          <w:rFonts w:hint="eastAsia" w:ascii="宋体" w:hAnsi="宋体" w:eastAsia="宋体" w:cs="宋体"/>
          <w:sz w:val="28"/>
          <w:szCs w:val="28"/>
          <w:lang w:val="en-US" w:eastAsia="zh-CN"/>
        </w:rPr>
        <w:t>7</w:t>
      </w:r>
      <w:r>
        <w:rPr>
          <w:rFonts w:hint="eastAsia" w:ascii="宋体" w:hAnsi="宋体" w:eastAsia="宋体" w:cs="宋体"/>
          <w:sz w:val="28"/>
          <w:szCs w:val="28"/>
        </w:rPr>
        <w:t>年</w:t>
      </w:r>
      <w:r>
        <w:rPr>
          <w:rFonts w:hint="eastAsia" w:ascii="宋体" w:hAnsi="宋体" w:eastAsia="宋体" w:cs="宋体"/>
          <w:sz w:val="28"/>
          <w:szCs w:val="28"/>
          <w:lang w:val="en-US" w:eastAsia="zh-CN"/>
        </w:rPr>
        <w:t>3</w:t>
      </w:r>
      <w:r>
        <w:rPr>
          <w:rFonts w:hint="eastAsia" w:ascii="宋体" w:hAnsi="宋体" w:eastAsia="宋体" w:cs="宋体"/>
          <w:sz w:val="28"/>
          <w:szCs w:val="28"/>
        </w:rPr>
        <w:t>月</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2026年4月，</w:t>
      </w:r>
      <w:r>
        <w:rPr>
          <w:rFonts w:hint="eastAsia" w:ascii="宋体" w:hAnsi="宋体" w:eastAsia="宋体" w:cs="宋体"/>
          <w:sz w:val="28"/>
          <w:szCs w:val="28"/>
        </w:rPr>
        <w:t>检验报告见附件</w:t>
      </w:r>
      <w:r>
        <w:rPr>
          <w:rFonts w:hint="eastAsia" w:ascii="宋体" w:hAnsi="宋体" w:eastAsia="宋体" w:cs="宋体"/>
          <w:sz w:val="28"/>
          <w:szCs w:val="28"/>
          <w:lang w:val="en-US" w:eastAsia="zh-CN"/>
        </w:rPr>
        <w:t>5</w:t>
      </w:r>
      <w:r>
        <w:rPr>
          <w:rFonts w:hint="eastAsia" w:ascii="宋体" w:hAnsi="宋体" w:eastAsia="宋体" w:cs="宋体"/>
          <w:sz w:val="28"/>
          <w:szCs w:val="28"/>
        </w:rPr>
        <w:t>。</w:t>
      </w:r>
    </w:p>
    <w:bookmarkEnd w:id="197"/>
    <w:bookmarkEnd w:id="198"/>
    <w:p w14:paraId="6C8EA969">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201" w:name="_Toc436"/>
      <w:bookmarkStart w:id="202" w:name="_Toc16030"/>
      <w:r>
        <w:rPr>
          <w:rFonts w:hint="eastAsia" w:ascii="宋体" w:hAnsi="宋体" w:eastAsia="宋体" w:cs="宋体"/>
          <w:color w:val="000000" w:themeColor="text1"/>
          <w14:textFill>
            <w14:solidFill>
              <w14:schemeClr w14:val="tx1"/>
            </w14:solidFill>
          </w14:textFill>
        </w:rPr>
        <w:t>2.5</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公用工程及辅助工程</w:t>
      </w:r>
      <w:bookmarkEnd w:id="201"/>
      <w:bookmarkEnd w:id="202"/>
    </w:p>
    <w:p w14:paraId="68FF14B3">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203" w:name="_Toc5146"/>
      <w:bookmarkStart w:id="204" w:name="_Toc16987"/>
      <w:r>
        <w:rPr>
          <w:rFonts w:hint="eastAsia" w:ascii="宋体" w:hAnsi="宋体" w:eastAsia="宋体" w:cs="宋体"/>
          <w:color w:val="000000" w:themeColor="text1"/>
          <w14:textFill>
            <w14:solidFill>
              <w14:schemeClr w14:val="tx1"/>
            </w14:solidFill>
          </w14:textFill>
        </w:rPr>
        <w:t>2.5.1</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给排水</w:t>
      </w:r>
      <w:bookmarkEnd w:id="203"/>
      <w:bookmarkEnd w:id="204"/>
    </w:p>
    <w:p w14:paraId="78E6F538">
      <w:pPr>
        <w:pStyle w:val="6"/>
        <w:keepNext w:val="0"/>
        <w:keepLines w:val="0"/>
        <w:pageBreakBefore w:val="0"/>
        <w:widowControl w:val="0"/>
        <w:kinsoku/>
        <w:wordWrap/>
        <w:overflowPunct/>
        <w:topLinePunct w:val="0"/>
        <w:autoSpaceDE/>
        <w:autoSpaceDN/>
        <w:bidi w:val="0"/>
        <w:adjustRightInd/>
        <w:snapToGrid w:val="0"/>
        <w:spacing w:line="520" w:lineRule="exact"/>
        <w:jc w:val="both"/>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2.5.1.1 给水</w:t>
      </w:r>
    </w:p>
    <w:p w14:paraId="4D46561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本项目生产、生活用水由研和</w:t>
      </w:r>
      <w:r>
        <w:rPr>
          <w:rFonts w:hint="eastAsia" w:ascii="宋体" w:hAnsi="宋体" w:eastAsia="宋体" w:cs="宋体"/>
          <w:color w:val="000000" w:themeColor="text1"/>
          <w:sz w:val="28"/>
          <w:szCs w:val="28"/>
          <w:lang w:val="en-US" w:eastAsia="zh-CN"/>
          <w14:textFill>
            <w14:solidFill>
              <w14:schemeClr w14:val="tx1"/>
            </w14:solidFill>
          </w14:textFill>
        </w:rPr>
        <w:t>街道</w:t>
      </w:r>
      <w:r>
        <w:rPr>
          <w:rFonts w:hint="eastAsia" w:ascii="宋体" w:hAnsi="宋体" w:eastAsia="宋体" w:cs="宋体"/>
          <w:color w:val="000000" w:themeColor="text1"/>
          <w:sz w:val="28"/>
          <w:szCs w:val="28"/>
          <w:lang w:val="en-US" w:eastAsia="zh-CN"/>
          <w14:textFill>
            <w14:solidFill>
              <w14:schemeClr w14:val="tx1"/>
            </w14:solidFill>
          </w14:textFill>
        </w:rPr>
        <w:t>自来水厂通过工业园区城市供水管网提供。</w:t>
      </w:r>
      <w:r>
        <w:rPr>
          <w:rFonts w:hint="eastAsia" w:ascii="宋体" w:hAnsi="宋体" w:eastAsia="宋体" w:cs="宋体"/>
          <w:color w:val="000000"/>
          <w:sz w:val="28"/>
          <w:szCs w:val="28"/>
          <w:lang w:bidi="ar"/>
        </w:rPr>
        <w:t>消防</w:t>
      </w:r>
      <w:r>
        <w:rPr>
          <w:rFonts w:hint="eastAsia" w:ascii="宋体" w:hAnsi="宋体" w:eastAsia="宋体" w:cs="宋体"/>
          <w:color w:val="000000"/>
          <w:sz w:val="28"/>
          <w:szCs w:val="28"/>
          <w:lang w:val="en-US" w:eastAsia="zh-CN" w:bidi="ar"/>
        </w:rPr>
        <w:t>用</w:t>
      </w:r>
      <w:r>
        <w:rPr>
          <w:rFonts w:hint="eastAsia" w:ascii="宋体" w:hAnsi="宋体" w:eastAsia="宋体" w:cs="宋体"/>
          <w:color w:val="000000"/>
          <w:sz w:val="28"/>
          <w:szCs w:val="28"/>
          <w:lang w:bidi="ar"/>
        </w:rPr>
        <w:t>水由园区消防水管网供给。</w:t>
      </w:r>
    </w:p>
    <w:p w14:paraId="6371CF6D">
      <w:pPr>
        <w:pStyle w:val="6"/>
        <w:keepNext w:val="0"/>
        <w:keepLines w:val="0"/>
        <w:pageBreakBefore w:val="0"/>
        <w:widowControl w:val="0"/>
        <w:kinsoku/>
        <w:wordWrap/>
        <w:overflowPunct/>
        <w:topLinePunct w:val="0"/>
        <w:autoSpaceDE/>
        <w:autoSpaceDN/>
        <w:bidi w:val="0"/>
        <w:adjustRightInd/>
        <w:snapToGrid w:val="0"/>
        <w:spacing w:line="520" w:lineRule="exact"/>
        <w:jc w:val="both"/>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2.5.1.2 排水</w:t>
      </w:r>
    </w:p>
    <w:p w14:paraId="1ECCD54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bookmarkStart w:id="205" w:name="_Toc2481"/>
      <w:bookmarkStart w:id="206" w:name="_Toc934"/>
      <w:r>
        <w:rPr>
          <w:rFonts w:hint="eastAsia" w:ascii="宋体" w:hAnsi="宋体" w:eastAsia="宋体" w:cs="宋体"/>
          <w:color w:val="000000" w:themeColor="text1"/>
          <w:sz w:val="28"/>
          <w:szCs w:val="28"/>
          <w:highlight w:val="none"/>
          <w:lang w:val="en-US" w:eastAsia="zh-CN"/>
          <w14:textFill>
            <w14:solidFill>
              <w14:schemeClr w14:val="tx1"/>
            </w14:solidFill>
          </w14:textFill>
        </w:rPr>
        <w:t>1.生产排水：生产用水循环使用，不外排。</w:t>
      </w:r>
    </w:p>
    <w:p w14:paraId="0817C18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2.生活污水排放：生活废水经</w:t>
      </w:r>
      <w:r>
        <w:rPr>
          <w:rFonts w:hint="eastAsia" w:ascii="宋体" w:hAnsi="宋体" w:eastAsia="宋体" w:cs="宋体"/>
          <w:color w:val="000000" w:themeColor="text1"/>
          <w:sz w:val="28"/>
          <w:szCs w:val="28"/>
          <w:highlight w:val="none"/>
          <w:lang w:val="en-US" w:eastAsia="zh-CN"/>
          <w14:textFill>
            <w14:solidFill>
              <w14:schemeClr w14:val="tx1"/>
            </w14:solidFill>
          </w14:textFill>
        </w:rPr>
        <w:t>园区污水管网统一收集</w:t>
      </w:r>
      <w:r>
        <w:rPr>
          <w:rFonts w:hint="eastAsia" w:ascii="宋体" w:hAnsi="宋体" w:eastAsia="宋体" w:cs="宋体"/>
          <w:color w:val="000000" w:themeColor="text1"/>
          <w:sz w:val="28"/>
          <w:szCs w:val="28"/>
          <w:highlight w:val="none"/>
          <w:lang w:val="en-US" w:eastAsia="zh-CN"/>
          <w14:textFill>
            <w14:solidFill>
              <w14:schemeClr w14:val="tx1"/>
            </w14:solidFill>
          </w14:textFill>
        </w:rPr>
        <w:t>处理，用于</w:t>
      </w:r>
      <w:r>
        <w:rPr>
          <w:rFonts w:hint="eastAsia" w:ascii="宋体" w:hAnsi="宋体" w:eastAsia="宋体" w:cs="宋体"/>
          <w:color w:val="000000" w:themeColor="text1"/>
          <w:sz w:val="28"/>
          <w:szCs w:val="28"/>
          <w:highlight w:val="none"/>
          <w:lang w:val="en-US" w:eastAsia="zh-CN"/>
          <w14:textFill>
            <w14:solidFill>
              <w14:schemeClr w14:val="tx1"/>
            </w14:solidFill>
          </w14:textFill>
        </w:rPr>
        <w:t>园</w:t>
      </w:r>
      <w:r>
        <w:rPr>
          <w:rFonts w:hint="eastAsia" w:ascii="宋体" w:hAnsi="宋体" w:eastAsia="宋体" w:cs="宋体"/>
          <w:color w:val="000000" w:themeColor="text1"/>
          <w:sz w:val="28"/>
          <w:szCs w:val="28"/>
          <w:highlight w:val="none"/>
          <w:lang w:val="en-US" w:eastAsia="zh-CN"/>
          <w14:textFill>
            <w14:solidFill>
              <w14:schemeClr w14:val="tx1"/>
            </w14:solidFill>
          </w14:textFill>
        </w:rPr>
        <w:t>区绿化和</w:t>
      </w:r>
      <w:r>
        <w:rPr>
          <w:rFonts w:hint="eastAsia" w:ascii="宋体" w:hAnsi="宋体" w:eastAsia="宋体" w:cs="宋体"/>
          <w:color w:val="000000" w:themeColor="text1"/>
          <w:sz w:val="28"/>
          <w:szCs w:val="28"/>
          <w:highlight w:val="none"/>
          <w:lang w:val="en-US" w:eastAsia="zh-CN"/>
          <w14:textFill>
            <w14:solidFill>
              <w14:schemeClr w14:val="tx1"/>
            </w14:solidFill>
          </w14:textFill>
        </w:rPr>
        <w:t>园</w:t>
      </w:r>
      <w:r>
        <w:rPr>
          <w:rFonts w:hint="eastAsia" w:ascii="宋体" w:hAnsi="宋体" w:eastAsia="宋体" w:cs="宋体"/>
          <w:color w:val="000000" w:themeColor="text1"/>
          <w:sz w:val="28"/>
          <w:szCs w:val="28"/>
          <w:highlight w:val="none"/>
          <w:lang w:val="en-US" w:eastAsia="zh-CN"/>
          <w14:textFill>
            <w14:solidFill>
              <w14:schemeClr w14:val="tx1"/>
            </w14:solidFill>
          </w14:textFill>
        </w:rPr>
        <w:t>区洒水降尘，不外排。</w:t>
      </w:r>
    </w:p>
    <w:p w14:paraId="32AB4FA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3.雨水排放：厂区的地面及道路为已硬化的道路，厂区围墙外设置了雨水排水沟。</w:t>
      </w:r>
    </w:p>
    <w:p w14:paraId="5A016980">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207" w:name="_Toc26890"/>
      <w:r>
        <w:rPr>
          <w:rFonts w:hint="eastAsia" w:ascii="宋体" w:hAnsi="宋体" w:eastAsia="宋体" w:cs="宋体"/>
          <w:color w:val="000000" w:themeColor="text1"/>
          <w14:textFill>
            <w14:solidFill>
              <w14:schemeClr w14:val="tx1"/>
            </w14:solidFill>
          </w14:textFill>
        </w:rPr>
        <w:t>2.5.2</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供配电</w:t>
      </w:r>
      <w:bookmarkEnd w:id="205"/>
      <w:bookmarkEnd w:id="206"/>
      <w:bookmarkEnd w:id="207"/>
    </w:p>
    <w:p w14:paraId="69CE42A4">
      <w:pPr>
        <w:tabs>
          <w:tab w:val="left" w:pos="2700"/>
        </w:tabs>
        <w:adjustRightInd w:val="0"/>
        <w:snapToGrid w:val="0"/>
        <w:spacing w:line="500" w:lineRule="exact"/>
        <w:ind w:firstLine="560" w:firstLineChars="200"/>
        <w:rPr>
          <w:rFonts w:hint="eastAsia" w:ascii="宋体" w:hAnsi="宋体" w:eastAsia="宋体" w:cs="宋体"/>
          <w:color w:val="000000" w:themeColor="text1"/>
          <w:sz w:val="28"/>
          <w:szCs w:val="28"/>
          <w:highlight w:val="none"/>
          <w:lang w:val="en-US" w:eastAsia="zh-CN"/>
          <w14:textFill>
            <w14:solidFill>
              <w14:schemeClr w14:val="tx1"/>
            </w14:solidFill>
          </w14:textFill>
        </w:rPr>
      </w:pPr>
      <w:bookmarkStart w:id="208" w:name="_Toc14522"/>
      <w:bookmarkStart w:id="209" w:name="_Toc21017"/>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该项目用电负荷为三级用电负荷，厂区东南侧设有变压器一座，项目供电线路由玉溪市供电局 </w:t>
      </w:r>
      <w:r>
        <w:rPr>
          <w:rFonts w:hint="eastAsia" w:ascii="宋体" w:hAnsi="宋体" w:eastAsia="宋体" w:cs="宋体"/>
          <w:color w:val="000000" w:themeColor="text1"/>
          <w:sz w:val="28"/>
          <w:szCs w:val="28"/>
          <w:highlight w:val="none"/>
          <w:lang w:val="en-US" w:eastAsia="zh-CN"/>
          <w14:textFill>
            <w14:solidFill>
              <w14:schemeClr w14:val="tx1"/>
            </w14:solidFill>
          </w14:textFill>
        </w:rPr>
        <w:t>110kV 研和变电站供给</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由外电10kV供电线引入厂区油浸式变压器，经过厂区变压器降压后，接入生产车间各配电柜，在通过配电柜分别接至各开关箱，通过开关箱向用电设备供电，该项目的供电方式采用放散式供电方式。</w:t>
      </w:r>
    </w:p>
    <w:p w14:paraId="10651EEA">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210" w:name="_Toc23221"/>
      <w:r>
        <w:rPr>
          <w:rFonts w:hint="eastAsia" w:ascii="宋体" w:hAnsi="宋体" w:eastAsia="宋体" w:cs="宋体"/>
          <w:color w:val="000000" w:themeColor="text1"/>
          <w14:textFill>
            <w14:solidFill>
              <w14:schemeClr w14:val="tx1"/>
            </w14:solidFill>
          </w14:textFill>
        </w:rPr>
        <w:t>2.5.3</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防雷防静电</w:t>
      </w:r>
      <w:bookmarkEnd w:id="208"/>
      <w:bookmarkEnd w:id="209"/>
      <w:bookmarkEnd w:id="210"/>
    </w:p>
    <w:p w14:paraId="75F69352">
      <w:pPr>
        <w:tabs>
          <w:tab w:val="left" w:pos="2700"/>
        </w:tabs>
        <w:adjustRightInd w:val="0"/>
        <w:snapToGrid w:val="0"/>
        <w:spacing w:line="500" w:lineRule="exact"/>
        <w:ind w:firstLine="560" w:firstLineChars="200"/>
        <w:rPr>
          <w:rFonts w:hint="eastAsia" w:ascii="宋体" w:hAnsi="宋体" w:eastAsia="宋体" w:cs="宋体"/>
          <w:color w:val="000000" w:themeColor="text1"/>
          <w:sz w:val="28"/>
          <w:highlight w:val="yellow"/>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项目范围内的建（构）筑物均已按第三类防雷建筑物建设防雷接地装置，生产车间、办公</w:t>
      </w:r>
      <w:r>
        <w:rPr>
          <w:rFonts w:hint="eastAsia" w:ascii="宋体" w:hAnsi="宋体" w:eastAsia="宋体" w:cs="宋体"/>
          <w:color w:val="000000" w:themeColor="text1"/>
          <w:sz w:val="28"/>
          <w:szCs w:val="28"/>
          <w:highlight w:val="none"/>
          <w:lang w:val="en-US" w:eastAsia="zh-CN"/>
          <w14:textFill>
            <w14:solidFill>
              <w14:schemeClr w14:val="tx1"/>
            </w14:solidFill>
          </w14:textFill>
        </w:rPr>
        <w:t>室</w:t>
      </w:r>
      <w:r>
        <w:rPr>
          <w:rFonts w:hint="eastAsia" w:ascii="宋体" w:hAnsi="宋体" w:eastAsia="宋体" w:cs="宋体"/>
          <w:color w:val="000000" w:themeColor="text1"/>
          <w:sz w:val="28"/>
          <w:szCs w:val="28"/>
          <w:highlight w:val="none"/>
          <w:lang w:val="en-US" w:eastAsia="zh-CN"/>
          <w14:textFill>
            <w14:solidFill>
              <w14:schemeClr w14:val="tx1"/>
            </w14:solidFill>
          </w14:textFill>
        </w:rPr>
        <w:t>等建（构）筑物均进行了相应的防雷接地。</w:t>
      </w:r>
      <w:r>
        <w:rPr>
          <w:rFonts w:hint="eastAsia" w:ascii="宋体" w:hAnsi="宋体" w:eastAsia="宋体" w:cs="宋体"/>
          <w:color w:val="000000" w:themeColor="text1"/>
          <w:sz w:val="28"/>
          <w14:textFill>
            <w14:solidFill>
              <w14:schemeClr w14:val="tx1"/>
            </w14:solidFill>
          </w14:textFill>
        </w:rPr>
        <w:t>于202</w:t>
      </w:r>
      <w:r>
        <w:rPr>
          <w:rFonts w:hint="eastAsia" w:ascii="宋体" w:hAnsi="宋体" w:eastAsia="宋体" w:cs="宋体"/>
          <w:color w:val="000000" w:themeColor="text1"/>
          <w:sz w:val="28"/>
          <w:lang w:val="en-US" w:eastAsia="zh-CN"/>
          <w14:textFill>
            <w14:solidFill>
              <w14:schemeClr w14:val="tx1"/>
            </w14:solidFill>
          </w14:textFill>
        </w:rPr>
        <w:t>4</w:t>
      </w:r>
      <w:r>
        <w:rPr>
          <w:rFonts w:hint="eastAsia" w:ascii="宋体" w:hAnsi="宋体" w:eastAsia="宋体" w:cs="宋体"/>
          <w:color w:val="000000" w:themeColor="text1"/>
          <w:sz w:val="28"/>
          <w14:textFill>
            <w14:solidFill>
              <w14:schemeClr w14:val="tx1"/>
            </w14:solidFill>
          </w14:textFill>
        </w:rPr>
        <w:t>年</w:t>
      </w:r>
      <w:r>
        <w:rPr>
          <w:rFonts w:hint="eastAsia" w:ascii="宋体" w:hAnsi="宋体" w:eastAsia="宋体" w:cs="宋体"/>
          <w:color w:val="000000" w:themeColor="text1"/>
          <w:sz w:val="28"/>
          <w:lang w:val="en-US" w:eastAsia="zh-CN"/>
          <w14:textFill>
            <w14:solidFill>
              <w14:schemeClr w14:val="tx1"/>
            </w14:solidFill>
          </w14:textFill>
        </w:rPr>
        <w:t>11</w:t>
      </w:r>
      <w:r>
        <w:rPr>
          <w:rFonts w:hint="eastAsia" w:ascii="宋体" w:hAnsi="宋体" w:eastAsia="宋体" w:cs="宋体"/>
          <w:color w:val="000000" w:themeColor="text1"/>
          <w:sz w:val="28"/>
          <w14:textFill>
            <w14:solidFill>
              <w14:schemeClr w14:val="tx1"/>
            </w14:solidFill>
          </w14:textFill>
        </w:rPr>
        <w:t>月</w:t>
      </w:r>
      <w:r>
        <w:rPr>
          <w:rFonts w:hint="eastAsia" w:ascii="宋体" w:hAnsi="宋体" w:eastAsia="宋体" w:cs="宋体"/>
          <w:color w:val="000000" w:themeColor="text1"/>
          <w:sz w:val="28"/>
          <w:lang w:val="en-US" w:eastAsia="zh-CN"/>
          <w14:textFill>
            <w14:solidFill>
              <w14:schemeClr w14:val="tx1"/>
            </w14:solidFill>
          </w14:textFill>
        </w:rPr>
        <w:t>04</w:t>
      </w:r>
      <w:r>
        <w:rPr>
          <w:rFonts w:hint="eastAsia" w:ascii="宋体" w:hAnsi="宋体" w:eastAsia="宋体" w:cs="宋体"/>
          <w:color w:val="000000" w:themeColor="text1"/>
          <w:sz w:val="28"/>
          <w14:textFill>
            <w14:solidFill>
              <w14:schemeClr w14:val="tx1"/>
            </w14:solidFill>
          </w14:textFill>
        </w:rPr>
        <w:t>日委托</w:t>
      </w:r>
      <w:r>
        <w:rPr>
          <w:rFonts w:hint="eastAsia" w:ascii="宋体" w:hAnsi="宋体" w:eastAsia="宋体" w:cs="宋体"/>
          <w:color w:val="000000" w:themeColor="text1"/>
          <w:sz w:val="28"/>
          <w:lang w:val="en-US" w:eastAsia="zh-CN"/>
          <w14:textFill>
            <w14:solidFill>
              <w14:schemeClr w14:val="tx1"/>
            </w14:solidFill>
          </w14:textFill>
        </w:rPr>
        <w:t>云南标普电气检测技术有限公司对</w:t>
      </w:r>
      <w:r>
        <w:rPr>
          <w:rFonts w:hint="eastAsia" w:ascii="宋体" w:hAnsi="宋体" w:eastAsia="宋体" w:cs="宋体"/>
          <w:color w:val="000000" w:themeColor="text1"/>
          <w:sz w:val="28"/>
          <w14:textFill>
            <w14:solidFill>
              <w14:schemeClr w14:val="tx1"/>
            </w14:solidFill>
          </w14:textFill>
        </w:rPr>
        <w:t>防雷装置进行检测，检测结果均为合格，</w:t>
      </w:r>
      <w:r>
        <w:rPr>
          <w:rFonts w:hint="eastAsia" w:ascii="宋体" w:hAnsi="宋体" w:eastAsia="宋体" w:cs="宋体"/>
          <w:color w:val="000000" w:themeColor="text1"/>
          <w:sz w:val="28"/>
          <w14:textFill>
            <w14:solidFill>
              <w14:schemeClr w14:val="tx1"/>
            </w14:solidFill>
          </w14:textFill>
        </w:rPr>
        <w:t>报告编号：</w:t>
      </w:r>
      <w:r>
        <w:rPr>
          <w:rFonts w:hint="eastAsia" w:ascii="宋体" w:hAnsi="宋体" w:eastAsia="宋体" w:cs="宋体"/>
          <w:color w:val="000000" w:themeColor="text1"/>
          <w:sz w:val="28"/>
          <w:lang w:eastAsia="zh-CN"/>
          <w14:textFill>
            <w14:solidFill>
              <w14:schemeClr w14:val="tx1"/>
            </w14:solidFill>
          </w14:textFill>
        </w:rPr>
        <w:t>（</w:t>
      </w:r>
      <w:r>
        <w:rPr>
          <w:rFonts w:hint="eastAsia" w:ascii="宋体" w:hAnsi="宋体" w:eastAsia="宋体" w:cs="宋体"/>
          <w:color w:val="000000" w:themeColor="text1"/>
          <w:sz w:val="28"/>
          <w:lang w:val="en-US" w:eastAsia="zh-CN"/>
          <w14:textFill>
            <w14:solidFill>
              <w14:schemeClr w14:val="tx1"/>
            </w14:solidFill>
          </w14:textFill>
        </w:rPr>
        <w:t>1252022002</w:t>
      </w:r>
      <w:r>
        <w:rPr>
          <w:rFonts w:hint="eastAsia" w:ascii="宋体" w:hAnsi="宋体" w:eastAsia="宋体" w:cs="宋体"/>
          <w:color w:val="000000" w:themeColor="text1"/>
          <w:sz w:val="28"/>
          <w:lang w:eastAsia="zh-CN"/>
          <w14:textFill>
            <w14:solidFill>
              <w14:schemeClr w14:val="tx1"/>
            </w14:solidFill>
          </w14:textFill>
        </w:rPr>
        <w:t>）</w:t>
      </w:r>
      <w:r>
        <w:rPr>
          <w:rFonts w:hint="eastAsia" w:ascii="宋体" w:hAnsi="宋体" w:eastAsia="宋体" w:cs="宋体"/>
          <w:color w:val="000000" w:themeColor="text1"/>
          <w:sz w:val="28"/>
          <w:lang w:val="en-US" w:eastAsia="zh-CN"/>
          <w14:textFill>
            <w14:solidFill>
              <w14:schemeClr w14:val="tx1"/>
            </w14:solidFill>
          </w14:textFill>
        </w:rPr>
        <w:t>[2024]0</w:t>
      </w:r>
      <w:r>
        <w:rPr>
          <w:rFonts w:hint="eastAsia" w:ascii="宋体" w:hAnsi="宋体" w:eastAsia="宋体" w:cs="宋体"/>
          <w:color w:val="000000" w:themeColor="text1"/>
          <w:sz w:val="28"/>
          <w:lang w:val="en-US" w:eastAsia="zh-CN"/>
          <w14:textFill>
            <w14:solidFill>
              <w14:schemeClr w14:val="tx1"/>
            </w14:solidFill>
          </w14:textFill>
        </w:rPr>
        <w:t>697</w:t>
      </w:r>
      <w:r>
        <w:rPr>
          <w:rFonts w:hint="eastAsia" w:ascii="宋体" w:hAnsi="宋体" w:eastAsia="宋体" w:cs="宋体"/>
          <w:color w:val="000000" w:themeColor="text1"/>
          <w:sz w:val="28"/>
          <w:lang w:val="en-US" w:eastAsia="zh-CN"/>
          <w14:textFill>
            <w14:solidFill>
              <w14:schemeClr w14:val="tx1"/>
            </w14:solidFill>
          </w14:textFill>
        </w:rPr>
        <w:t>号</w:t>
      </w:r>
      <w:r>
        <w:rPr>
          <w:rFonts w:hint="eastAsia" w:ascii="宋体" w:hAnsi="宋体" w:eastAsia="宋体" w:cs="宋体"/>
          <w:color w:val="000000" w:themeColor="text1"/>
          <w:sz w:val="28"/>
          <w14:textFill>
            <w14:solidFill>
              <w14:schemeClr w14:val="tx1"/>
            </w14:solidFill>
          </w14:textFill>
        </w:rPr>
        <w:t>。有效期至：202</w:t>
      </w:r>
      <w:r>
        <w:rPr>
          <w:rFonts w:hint="eastAsia" w:ascii="宋体" w:hAnsi="宋体" w:eastAsia="宋体" w:cs="宋体"/>
          <w:color w:val="000000" w:themeColor="text1"/>
          <w:sz w:val="28"/>
          <w:lang w:val="en-US" w:eastAsia="zh-CN"/>
          <w14:textFill>
            <w14:solidFill>
              <w14:schemeClr w14:val="tx1"/>
            </w14:solidFill>
          </w14:textFill>
        </w:rPr>
        <w:t>5</w:t>
      </w:r>
      <w:r>
        <w:rPr>
          <w:rFonts w:hint="eastAsia" w:ascii="宋体" w:hAnsi="宋体" w:eastAsia="宋体" w:cs="宋体"/>
          <w:color w:val="000000" w:themeColor="text1"/>
          <w:sz w:val="28"/>
          <w14:textFill>
            <w14:solidFill>
              <w14:schemeClr w14:val="tx1"/>
            </w14:solidFill>
          </w14:textFill>
        </w:rPr>
        <w:t>年</w:t>
      </w:r>
      <w:r>
        <w:rPr>
          <w:rFonts w:hint="eastAsia" w:ascii="宋体" w:hAnsi="宋体" w:eastAsia="宋体" w:cs="宋体"/>
          <w:color w:val="000000" w:themeColor="text1"/>
          <w:sz w:val="28"/>
          <w:lang w:val="en-US" w:eastAsia="zh-CN"/>
          <w14:textFill>
            <w14:solidFill>
              <w14:schemeClr w14:val="tx1"/>
            </w14:solidFill>
          </w14:textFill>
        </w:rPr>
        <w:t>11</w:t>
      </w:r>
      <w:r>
        <w:rPr>
          <w:rFonts w:hint="eastAsia" w:ascii="宋体" w:hAnsi="宋体" w:eastAsia="宋体" w:cs="宋体"/>
          <w:color w:val="000000" w:themeColor="text1"/>
          <w:sz w:val="28"/>
          <w14:textFill>
            <w14:solidFill>
              <w14:schemeClr w14:val="tx1"/>
            </w14:solidFill>
          </w14:textFill>
        </w:rPr>
        <w:t>月</w:t>
      </w:r>
      <w:r>
        <w:rPr>
          <w:rFonts w:hint="eastAsia" w:ascii="宋体" w:hAnsi="宋体" w:eastAsia="宋体" w:cs="宋体"/>
          <w:color w:val="000000" w:themeColor="text1"/>
          <w:sz w:val="28"/>
          <w:lang w:val="en-US" w:eastAsia="zh-CN"/>
          <w14:textFill>
            <w14:solidFill>
              <w14:schemeClr w14:val="tx1"/>
            </w14:solidFill>
          </w14:textFill>
        </w:rPr>
        <w:t>03</w:t>
      </w:r>
      <w:r>
        <w:rPr>
          <w:rFonts w:hint="eastAsia" w:ascii="宋体" w:hAnsi="宋体" w:eastAsia="宋体" w:cs="宋体"/>
          <w:color w:val="000000" w:themeColor="text1"/>
          <w:sz w:val="28"/>
          <w14:textFill>
            <w14:solidFill>
              <w14:schemeClr w14:val="tx1"/>
            </w14:solidFill>
          </w14:textFill>
        </w:rPr>
        <w:t>日，防雷检测报告见附件</w:t>
      </w:r>
      <w:r>
        <w:rPr>
          <w:rFonts w:hint="eastAsia" w:ascii="宋体" w:hAnsi="宋体" w:eastAsia="宋体" w:cs="宋体"/>
          <w:color w:val="000000" w:themeColor="text1"/>
          <w:sz w:val="28"/>
          <w:lang w:val="en-US" w:eastAsia="zh-CN"/>
          <w14:textFill>
            <w14:solidFill>
              <w14:schemeClr w14:val="tx1"/>
            </w14:solidFill>
          </w14:textFill>
        </w:rPr>
        <w:t>17</w:t>
      </w:r>
      <w:r>
        <w:rPr>
          <w:rFonts w:hint="eastAsia" w:ascii="宋体" w:hAnsi="宋体" w:eastAsia="宋体" w:cs="宋体"/>
          <w:color w:val="000000" w:themeColor="text1"/>
          <w:sz w:val="28"/>
          <w14:textFill>
            <w14:solidFill>
              <w14:schemeClr w14:val="tx1"/>
            </w14:solidFill>
          </w14:textFill>
        </w:rPr>
        <w:t>。</w:t>
      </w:r>
    </w:p>
    <w:p w14:paraId="354A6C25">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211" w:name="_Toc17830"/>
      <w:bookmarkStart w:id="212" w:name="_Toc26245"/>
      <w:bookmarkStart w:id="213" w:name="_Toc8765"/>
      <w:r>
        <w:rPr>
          <w:rFonts w:hint="eastAsia" w:ascii="宋体" w:hAnsi="宋体" w:eastAsia="宋体" w:cs="宋体"/>
          <w:color w:val="000000" w:themeColor="text1"/>
          <w14:textFill>
            <w14:solidFill>
              <w14:schemeClr w14:val="tx1"/>
            </w14:solidFill>
          </w14:textFill>
        </w:rPr>
        <w:t>2.5.4</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消防</w:t>
      </w:r>
      <w:bookmarkEnd w:id="199"/>
      <w:bookmarkEnd w:id="200"/>
      <w:bookmarkEnd w:id="211"/>
      <w:bookmarkEnd w:id="212"/>
      <w:bookmarkEnd w:id="213"/>
    </w:p>
    <w:p w14:paraId="6933CFD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sz w:val="28"/>
          <w:szCs w:val="28"/>
          <w:lang w:val="en-US" w:eastAsia="zh-CN"/>
        </w:rPr>
        <w:t>公司</w:t>
      </w:r>
      <w:r>
        <w:rPr>
          <w:rFonts w:hint="eastAsia" w:ascii="宋体" w:hAnsi="宋体" w:eastAsia="宋体" w:cs="宋体"/>
          <w:color w:val="000000"/>
          <w:sz w:val="28"/>
          <w:szCs w:val="28"/>
        </w:rPr>
        <w:t>按照《建筑设计防火规范》（GB50016-20</w:t>
      </w:r>
      <w:r>
        <w:rPr>
          <w:rFonts w:hint="eastAsia" w:ascii="宋体" w:hAnsi="宋体" w:eastAsia="宋体" w:cs="宋体"/>
          <w:color w:val="000000"/>
          <w:sz w:val="28"/>
          <w:szCs w:val="28"/>
          <w:lang w:val="en-US" w:eastAsia="zh-CN"/>
        </w:rPr>
        <w:t>14</w:t>
      </w: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中安全疏散通道设置情况</w:t>
      </w:r>
      <w:r>
        <w:rPr>
          <w:rFonts w:hint="eastAsia" w:ascii="宋体" w:hAnsi="宋体" w:eastAsia="宋体" w:cs="宋体"/>
          <w:color w:val="000000"/>
          <w:sz w:val="28"/>
          <w:szCs w:val="28"/>
        </w:rPr>
        <w:t>的</w:t>
      </w:r>
      <w:r>
        <w:rPr>
          <w:rFonts w:hint="eastAsia" w:ascii="宋体" w:hAnsi="宋体" w:eastAsia="宋体" w:cs="宋体"/>
          <w:color w:val="000000" w:themeColor="text1"/>
          <w:sz w:val="28"/>
          <w:szCs w:val="28"/>
          <w:lang w:val="en-US" w:eastAsia="zh-CN"/>
          <w14:textFill>
            <w14:solidFill>
              <w14:schemeClr w14:val="tx1"/>
            </w14:solidFill>
          </w14:textFill>
        </w:rPr>
        <w:t>相关要求，已在办公</w:t>
      </w:r>
      <w:r>
        <w:rPr>
          <w:rFonts w:hint="eastAsia" w:ascii="宋体" w:hAnsi="宋体" w:eastAsia="宋体" w:cs="宋体"/>
          <w:color w:val="000000" w:themeColor="text1"/>
          <w:sz w:val="28"/>
          <w:szCs w:val="28"/>
          <w:lang w:val="en-US" w:eastAsia="zh-CN"/>
          <w14:textFill>
            <w14:solidFill>
              <w14:schemeClr w14:val="tx1"/>
            </w14:solidFill>
          </w14:textFill>
        </w:rPr>
        <w:t>区</w:t>
      </w:r>
      <w:r>
        <w:rPr>
          <w:rFonts w:hint="eastAsia" w:ascii="宋体" w:hAnsi="宋体" w:eastAsia="宋体" w:cs="宋体"/>
          <w:color w:val="000000" w:themeColor="text1"/>
          <w:sz w:val="28"/>
          <w:szCs w:val="28"/>
          <w:lang w:val="en-US" w:eastAsia="zh-CN"/>
          <w14:textFill>
            <w14:solidFill>
              <w14:schemeClr w14:val="tx1"/>
            </w14:solidFill>
          </w14:textFill>
        </w:rPr>
        <w:t>、生产区、</w:t>
      </w:r>
      <w:r>
        <w:rPr>
          <w:rFonts w:hint="eastAsia" w:ascii="宋体" w:hAnsi="宋体" w:eastAsia="宋体" w:cs="宋体"/>
          <w:color w:val="000000" w:themeColor="text1"/>
          <w:sz w:val="28"/>
          <w:szCs w:val="28"/>
          <w:lang w:val="en-US" w:eastAsia="zh-CN"/>
          <w14:textFill>
            <w14:solidFill>
              <w14:schemeClr w14:val="tx1"/>
            </w14:solidFill>
          </w14:textFill>
        </w:rPr>
        <w:t>加工区、组装区、仓库旁</w:t>
      </w:r>
      <w:r>
        <w:rPr>
          <w:rFonts w:hint="eastAsia" w:ascii="宋体" w:hAnsi="宋体" w:eastAsia="宋体" w:cs="宋体"/>
          <w:color w:val="000000" w:themeColor="text1"/>
          <w:sz w:val="28"/>
          <w:szCs w:val="28"/>
          <w:lang w:val="en-US" w:eastAsia="zh-CN"/>
          <w14:textFill>
            <w14:solidFill>
              <w14:schemeClr w14:val="tx1"/>
            </w14:solidFill>
          </w14:textFill>
        </w:rPr>
        <w:t>等位置，设置了手提式干粉灭火器，防止建筑物及电气火灾。主要消防设置见表2-</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lang w:val="en-US" w:eastAsia="zh-CN"/>
          <w14:textFill>
            <w14:solidFill>
              <w14:schemeClr w14:val="tx1"/>
            </w14:solidFill>
          </w14:textFill>
        </w:rPr>
        <w:t>。</w:t>
      </w:r>
    </w:p>
    <w:p w14:paraId="7F014B2D">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表2-</w:t>
      </w:r>
      <w:r>
        <w:rPr>
          <w:rFonts w:hint="eastAsia" w:ascii="宋体" w:hAnsi="宋体" w:eastAsia="宋体" w:cs="宋体"/>
          <w:b/>
          <w:bCs/>
          <w:color w:val="000000" w:themeColor="text1"/>
          <w:sz w:val="24"/>
          <w:szCs w:val="24"/>
          <w:lang w:val="en-US" w:eastAsia="zh-CN"/>
          <w14:textFill>
            <w14:solidFill>
              <w14:schemeClr w14:val="tx1"/>
            </w14:solidFill>
          </w14:textFill>
        </w:rPr>
        <w:t>4</w:t>
      </w:r>
      <w:r>
        <w:rPr>
          <w:rFonts w:hint="eastAsia" w:ascii="宋体" w:hAnsi="宋体" w:eastAsia="宋体" w:cs="宋体"/>
          <w:b/>
          <w:bCs/>
          <w:color w:val="000000" w:themeColor="text1"/>
          <w:sz w:val="24"/>
          <w:szCs w:val="24"/>
          <w14:textFill>
            <w14:solidFill>
              <w14:schemeClr w14:val="tx1"/>
            </w14:solidFill>
          </w14:textFill>
        </w:rPr>
        <w:t>主要消防设施一览表</w:t>
      </w:r>
    </w:p>
    <w:tbl>
      <w:tblPr>
        <w:tblStyle w:val="5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12"/>
        <w:gridCol w:w="2171"/>
        <w:gridCol w:w="2839"/>
      </w:tblGrid>
      <w:tr w14:paraId="31DCF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12" w:type="dxa"/>
            <w:vAlign w:val="center"/>
          </w:tcPr>
          <w:p w14:paraId="3062D58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设备名称</w:t>
            </w:r>
          </w:p>
        </w:tc>
        <w:tc>
          <w:tcPr>
            <w:tcW w:w="2171" w:type="dxa"/>
            <w:vAlign w:val="center"/>
          </w:tcPr>
          <w:p w14:paraId="10B5DAA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设备</w:t>
            </w:r>
            <w:r>
              <w:rPr>
                <w:rFonts w:hint="eastAsia" w:ascii="宋体" w:hAnsi="宋体" w:eastAsia="宋体" w:cs="宋体"/>
                <w:b w:val="0"/>
                <w:bCs w:val="0"/>
                <w:color w:val="000000" w:themeColor="text1"/>
                <w:sz w:val="21"/>
                <w:szCs w:val="21"/>
                <w:lang w:val="en-US" w:eastAsia="zh-CN"/>
                <w14:textFill>
                  <w14:solidFill>
                    <w14:schemeClr w14:val="tx1"/>
                  </w14:solidFill>
                </w14:textFill>
              </w:rPr>
              <w:t>规格、</w:t>
            </w:r>
            <w:r>
              <w:rPr>
                <w:rFonts w:hint="eastAsia" w:ascii="宋体" w:hAnsi="宋体" w:eastAsia="宋体" w:cs="宋体"/>
                <w:b w:val="0"/>
                <w:bCs w:val="0"/>
                <w:color w:val="000000" w:themeColor="text1"/>
                <w:sz w:val="21"/>
                <w:szCs w:val="21"/>
                <w14:textFill>
                  <w14:solidFill>
                    <w14:schemeClr w14:val="tx1"/>
                  </w14:solidFill>
                </w14:textFill>
              </w:rPr>
              <w:t>数量</w:t>
            </w:r>
          </w:p>
        </w:tc>
        <w:tc>
          <w:tcPr>
            <w:tcW w:w="2839" w:type="dxa"/>
            <w:vAlign w:val="center"/>
          </w:tcPr>
          <w:p w14:paraId="6FD73C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设置位置</w:t>
            </w:r>
          </w:p>
        </w:tc>
      </w:tr>
      <w:tr w14:paraId="674A5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12" w:type="dxa"/>
            <w:vAlign w:val="center"/>
          </w:tcPr>
          <w:p w14:paraId="1E038E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手提式干粉灭火器</w:t>
            </w:r>
          </w:p>
        </w:tc>
        <w:tc>
          <w:tcPr>
            <w:tcW w:w="2171" w:type="dxa"/>
            <w:vAlign w:val="center"/>
          </w:tcPr>
          <w:p w14:paraId="1AA1C9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ABC5型、2</w:t>
            </w:r>
            <w:r>
              <w:rPr>
                <w:rFonts w:hint="eastAsia" w:ascii="宋体" w:hAnsi="宋体" w:eastAsia="宋体" w:cs="宋体"/>
                <w:color w:val="000000" w:themeColor="text1"/>
                <w:sz w:val="21"/>
                <w:szCs w:val="21"/>
                <w14:textFill>
                  <w14:solidFill>
                    <w14:schemeClr w14:val="tx1"/>
                  </w14:solidFill>
                </w14:textFill>
              </w:rPr>
              <w:t>具</w:t>
            </w:r>
          </w:p>
        </w:tc>
        <w:tc>
          <w:tcPr>
            <w:tcW w:w="2839" w:type="dxa"/>
            <w:vAlign w:val="center"/>
          </w:tcPr>
          <w:p w14:paraId="45F9C9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办公区</w:t>
            </w:r>
          </w:p>
        </w:tc>
      </w:tr>
      <w:tr w14:paraId="4A60B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12" w:type="dxa"/>
            <w:vAlign w:val="center"/>
          </w:tcPr>
          <w:p w14:paraId="2F6612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手提式干粉灭火器</w:t>
            </w:r>
          </w:p>
        </w:tc>
        <w:tc>
          <w:tcPr>
            <w:tcW w:w="2171" w:type="dxa"/>
            <w:vAlign w:val="center"/>
          </w:tcPr>
          <w:p w14:paraId="4FB3C7D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ABC5型、6</w:t>
            </w:r>
            <w:r>
              <w:rPr>
                <w:rFonts w:hint="eastAsia" w:ascii="宋体" w:hAnsi="宋体" w:eastAsia="宋体" w:cs="宋体"/>
                <w:color w:val="000000" w:themeColor="text1"/>
                <w:sz w:val="21"/>
                <w:szCs w:val="21"/>
                <w14:textFill>
                  <w14:solidFill>
                    <w14:schemeClr w14:val="tx1"/>
                  </w14:solidFill>
                </w14:textFill>
              </w:rPr>
              <w:t>具</w:t>
            </w:r>
          </w:p>
        </w:tc>
        <w:tc>
          <w:tcPr>
            <w:tcW w:w="2839" w:type="dxa"/>
            <w:vAlign w:val="center"/>
          </w:tcPr>
          <w:p w14:paraId="16496A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生产区</w:t>
            </w:r>
          </w:p>
        </w:tc>
      </w:tr>
      <w:tr w14:paraId="00DDE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12" w:type="dxa"/>
            <w:shd w:val="clear" w:color="auto" w:fill="auto"/>
            <w:vAlign w:val="center"/>
          </w:tcPr>
          <w:p w14:paraId="5AA513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手提式干粉灭火器</w:t>
            </w:r>
          </w:p>
        </w:tc>
        <w:tc>
          <w:tcPr>
            <w:tcW w:w="2171" w:type="dxa"/>
            <w:shd w:val="clear" w:color="auto" w:fill="auto"/>
            <w:vAlign w:val="center"/>
          </w:tcPr>
          <w:p w14:paraId="170ACB4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ABC5型、6</w:t>
            </w:r>
            <w:r>
              <w:rPr>
                <w:rFonts w:hint="eastAsia" w:ascii="宋体" w:hAnsi="宋体" w:eastAsia="宋体" w:cs="宋体"/>
                <w:color w:val="000000" w:themeColor="text1"/>
                <w:sz w:val="21"/>
                <w:szCs w:val="21"/>
                <w14:textFill>
                  <w14:solidFill>
                    <w14:schemeClr w14:val="tx1"/>
                  </w14:solidFill>
                </w14:textFill>
              </w:rPr>
              <w:t>具</w:t>
            </w:r>
          </w:p>
        </w:tc>
        <w:tc>
          <w:tcPr>
            <w:tcW w:w="2839" w:type="dxa"/>
            <w:shd w:val="clear" w:color="auto" w:fill="auto"/>
            <w:vAlign w:val="center"/>
          </w:tcPr>
          <w:p w14:paraId="08A08E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加工区</w:t>
            </w:r>
          </w:p>
        </w:tc>
      </w:tr>
      <w:tr w14:paraId="4810B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12" w:type="dxa"/>
            <w:shd w:val="clear" w:color="auto" w:fill="auto"/>
            <w:vAlign w:val="center"/>
          </w:tcPr>
          <w:p w14:paraId="7D3BF0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手提式干粉灭火器</w:t>
            </w:r>
          </w:p>
        </w:tc>
        <w:tc>
          <w:tcPr>
            <w:tcW w:w="2171" w:type="dxa"/>
            <w:shd w:val="clear" w:color="auto" w:fill="auto"/>
            <w:vAlign w:val="center"/>
          </w:tcPr>
          <w:p w14:paraId="1E2A77A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ABC5型、4</w:t>
            </w:r>
            <w:r>
              <w:rPr>
                <w:rFonts w:hint="eastAsia" w:ascii="宋体" w:hAnsi="宋体" w:eastAsia="宋体" w:cs="宋体"/>
                <w:color w:val="000000" w:themeColor="text1"/>
                <w:sz w:val="21"/>
                <w:szCs w:val="21"/>
                <w14:textFill>
                  <w14:solidFill>
                    <w14:schemeClr w14:val="tx1"/>
                  </w14:solidFill>
                </w14:textFill>
              </w:rPr>
              <w:t>具</w:t>
            </w:r>
          </w:p>
        </w:tc>
        <w:tc>
          <w:tcPr>
            <w:tcW w:w="2839" w:type="dxa"/>
            <w:shd w:val="clear" w:color="auto" w:fill="auto"/>
            <w:vAlign w:val="center"/>
          </w:tcPr>
          <w:p w14:paraId="300DB6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组装区</w:t>
            </w:r>
          </w:p>
        </w:tc>
      </w:tr>
      <w:tr w14:paraId="64331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12" w:type="dxa"/>
            <w:shd w:val="clear" w:color="auto" w:fill="auto"/>
            <w:vAlign w:val="center"/>
          </w:tcPr>
          <w:p w14:paraId="73D251D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手提式干粉灭火器</w:t>
            </w:r>
          </w:p>
        </w:tc>
        <w:tc>
          <w:tcPr>
            <w:tcW w:w="2171" w:type="dxa"/>
            <w:shd w:val="clear" w:color="auto" w:fill="auto"/>
            <w:vAlign w:val="center"/>
          </w:tcPr>
          <w:p w14:paraId="261B295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ABC5型、2</w:t>
            </w:r>
            <w:r>
              <w:rPr>
                <w:rFonts w:hint="eastAsia" w:ascii="宋体" w:hAnsi="宋体" w:eastAsia="宋体" w:cs="宋体"/>
                <w:color w:val="000000" w:themeColor="text1"/>
                <w:sz w:val="21"/>
                <w:szCs w:val="21"/>
                <w14:textFill>
                  <w14:solidFill>
                    <w14:schemeClr w14:val="tx1"/>
                  </w14:solidFill>
                </w14:textFill>
              </w:rPr>
              <w:t>具</w:t>
            </w:r>
          </w:p>
        </w:tc>
        <w:tc>
          <w:tcPr>
            <w:tcW w:w="2839" w:type="dxa"/>
            <w:shd w:val="clear" w:color="auto" w:fill="auto"/>
            <w:vAlign w:val="center"/>
          </w:tcPr>
          <w:p w14:paraId="206DCA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仓库</w:t>
            </w:r>
          </w:p>
        </w:tc>
      </w:tr>
      <w:tr w14:paraId="3368B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12" w:type="dxa"/>
            <w:shd w:val="clear" w:color="auto" w:fill="auto"/>
            <w:vAlign w:val="center"/>
          </w:tcPr>
          <w:p w14:paraId="6B9080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消防栓</w:t>
            </w:r>
          </w:p>
        </w:tc>
        <w:tc>
          <w:tcPr>
            <w:tcW w:w="2171" w:type="dxa"/>
            <w:shd w:val="clear" w:color="auto" w:fill="auto"/>
            <w:vAlign w:val="center"/>
          </w:tcPr>
          <w:p w14:paraId="29AD569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4个</w:t>
            </w:r>
          </w:p>
        </w:tc>
        <w:tc>
          <w:tcPr>
            <w:tcW w:w="2839" w:type="dxa"/>
            <w:shd w:val="clear" w:color="auto" w:fill="auto"/>
            <w:vAlign w:val="center"/>
          </w:tcPr>
          <w:p w14:paraId="35C50D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生产区</w:t>
            </w:r>
          </w:p>
        </w:tc>
      </w:tr>
    </w:tbl>
    <w:p w14:paraId="2E4E0666">
      <w:pPr>
        <w:pStyle w:val="22"/>
        <w:rPr>
          <w:rFonts w:hint="eastAsia" w:ascii="宋体" w:hAnsi="宋体" w:eastAsia="宋体" w:cs="宋体"/>
          <w:color w:val="000000" w:themeColor="text1"/>
          <w:lang w:val="en-US" w:eastAsia="zh-CN"/>
          <w14:textFill>
            <w14:solidFill>
              <w14:schemeClr w14:val="tx1"/>
            </w14:solidFill>
          </w14:textFill>
        </w:rPr>
      </w:pPr>
    </w:p>
    <w:p w14:paraId="596C370C">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pPr>
      <w:bookmarkStart w:id="214" w:name="_Toc19708"/>
      <w:bookmarkStart w:id="215" w:name="_Toc11646"/>
      <w:bookmarkStart w:id="216" w:name="_Toc8335"/>
      <w:r>
        <w:rPr>
          <w:rFonts w:hint="eastAsia" w:ascii="宋体" w:hAnsi="宋体" w:eastAsia="宋体" w:cs="宋体"/>
          <w:color w:val="000000" w:themeColor="text1"/>
          <w:lang w:val="en-US" w:eastAsia="zh-CN"/>
          <w14:textFill>
            <w14:solidFill>
              <w14:schemeClr w14:val="tx1"/>
            </w14:solidFill>
          </w14:textFill>
        </w:rPr>
        <w:t>2.5.5供气情况</w:t>
      </w:r>
      <w:bookmarkEnd w:id="214"/>
    </w:p>
    <w:p w14:paraId="41B626B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本项目用气由云南台宇数控机床有限公司提供，由该公司通过管道引入，后输送到各个设备，驱动设备运转。</w:t>
      </w:r>
    </w:p>
    <w:bookmarkEnd w:id="215"/>
    <w:p w14:paraId="4FD2AD81">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217" w:name="_Toc306"/>
      <w:bookmarkStart w:id="218" w:name="_Toc1008"/>
      <w:r>
        <w:rPr>
          <w:rFonts w:hint="eastAsia" w:ascii="宋体" w:hAnsi="宋体" w:eastAsia="宋体" w:cs="宋体"/>
          <w:color w:val="000000" w:themeColor="text1"/>
          <w14:textFill>
            <w14:solidFill>
              <w14:schemeClr w14:val="tx1"/>
            </w14:solidFill>
          </w14:textFill>
        </w:rPr>
        <w:t>2.5.</w:t>
      </w:r>
      <w:bookmarkEnd w:id="216"/>
      <w:r>
        <w:rPr>
          <w:rFonts w:hint="eastAsia" w:ascii="宋体" w:hAnsi="宋体" w:eastAsia="宋体" w:cs="宋体"/>
          <w:color w:val="000000" w:themeColor="text1"/>
          <w:lang w:val="en-US" w:eastAsia="zh-CN"/>
          <w14:textFill>
            <w14:solidFill>
              <w14:schemeClr w14:val="tx1"/>
            </w14:solidFill>
          </w14:textFill>
        </w:rPr>
        <w:t xml:space="preserve">6 </w:t>
      </w:r>
      <w:r>
        <w:rPr>
          <w:rFonts w:hint="eastAsia" w:ascii="宋体" w:hAnsi="宋体" w:eastAsia="宋体" w:cs="宋体"/>
          <w:color w:val="000000" w:themeColor="text1"/>
          <w14:textFill>
            <w14:solidFill>
              <w14:schemeClr w14:val="tx1"/>
            </w14:solidFill>
          </w14:textFill>
        </w:rPr>
        <w:t>其他</w:t>
      </w:r>
      <w:bookmarkEnd w:id="217"/>
      <w:bookmarkEnd w:id="218"/>
    </w:p>
    <w:p w14:paraId="386358E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1</w:t>
      </w:r>
      <w:r>
        <w:rPr>
          <w:rFonts w:hint="eastAsia" w:ascii="宋体" w:hAnsi="宋体" w:eastAsia="宋体" w:cs="宋体"/>
          <w:b/>
          <w:bCs/>
          <w:color w:val="000000" w:themeColor="text1"/>
          <w:sz w:val="28"/>
          <w:szCs w:val="28"/>
          <w14:textFill>
            <w14:solidFill>
              <w14:schemeClr w14:val="tx1"/>
            </w14:solidFill>
          </w14:textFill>
        </w:rPr>
        <w:t>.</w:t>
      </w:r>
      <w:r>
        <w:rPr>
          <w:rFonts w:hint="eastAsia" w:ascii="宋体" w:hAnsi="宋体" w:eastAsia="宋体" w:cs="宋体"/>
          <w:b/>
          <w:bCs/>
          <w:color w:val="000000" w:themeColor="text1"/>
          <w:sz w:val="28"/>
          <w:szCs w:val="28"/>
          <w:lang w:val="en-US" w:eastAsia="zh-CN"/>
          <w14:textFill>
            <w14:solidFill>
              <w14:schemeClr w14:val="tx1"/>
            </w14:solidFill>
          </w14:textFill>
        </w:rPr>
        <w:t>危险物质</w:t>
      </w:r>
      <w:r>
        <w:rPr>
          <w:rFonts w:hint="eastAsia" w:ascii="宋体" w:hAnsi="宋体" w:eastAsia="宋体" w:cs="宋体"/>
          <w:b/>
          <w:bCs/>
          <w:color w:val="000000" w:themeColor="text1"/>
          <w:sz w:val="28"/>
          <w:szCs w:val="28"/>
          <w14:textFill>
            <w14:solidFill>
              <w14:schemeClr w14:val="tx1"/>
            </w14:solidFill>
          </w14:textFill>
        </w:rPr>
        <w:t>储存</w:t>
      </w:r>
    </w:p>
    <w:p w14:paraId="154D81B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通过对本项目生产工艺、原料、辅助材料、产品进行分析后，本项目生产过程中</w:t>
      </w:r>
      <w:r>
        <w:rPr>
          <w:rFonts w:hint="eastAsia" w:ascii="宋体" w:hAnsi="宋体" w:eastAsia="宋体" w:cs="宋体"/>
          <w:color w:val="000000" w:themeColor="text1"/>
          <w:sz w:val="28"/>
          <w:szCs w:val="28"/>
          <w:lang w:val="en-US" w:eastAsia="zh-CN"/>
          <w14:textFill>
            <w14:solidFill>
              <w14:schemeClr w14:val="tx1"/>
            </w14:solidFill>
          </w14:textFill>
        </w:rPr>
        <w:t>未产生</w:t>
      </w:r>
      <w:r>
        <w:rPr>
          <w:rFonts w:hint="eastAsia" w:ascii="宋体" w:hAnsi="宋体" w:eastAsia="宋体" w:cs="宋体"/>
          <w:color w:val="000000" w:themeColor="text1"/>
          <w:sz w:val="28"/>
          <w:szCs w:val="28"/>
          <w:lang w:val="en-US" w:eastAsia="zh-CN"/>
          <w14:textFill>
            <w14:solidFill>
              <w14:schemeClr w14:val="tx1"/>
            </w14:solidFill>
          </w14:textFill>
        </w:rPr>
        <w:t>危险物质</w:t>
      </w:r>
      <w:r>
        <w:rPr>
          <w:rFonts w:hint="eastAsia" w:ascii="宋体" w:hAnsi="宋体" w:eastAsia="宋体" w:cs="宋体"/>
          <w:color w:val="000000" w:themeColor="text1"/>
          <w:sz w:val="28"/>
          <w:szCs w:val="28"/>
          <w:lang w:val="en-US" w:eastAsia="zh-CN"/>
          <w14:textFill>
            <w14:solidFill>
              <w14:schemeClr w14:val="tx1"/>
            </w14:solidFill>
          </w14:textFill>
        </w:rPr>
        <w:t>。</w:t>
      </w:r>
    </w:p>
    <w:p w14:paraId="78909581">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2</w:t>
      </w:r>
      <w:r>
        <w:rPr>
          <w:rFonts w:hint="eastAsia" w:ascii="宋体" w:hAnsi="宋体" w:eastAsia="宋体" w:cs="宋体"/>
          <w:b/>
          <w:bCs/>
          <w:color w:val="000000" w:themeColor="text1"/>
          <w:sz w:val="28"/>
          <w:szCs w:val="28"/>
          <w14:textFill>
            <w14:solidFill>
              <w14:schemeClr w14:val="tx1"/>
            </w14:solidFill>
          </w14:textFill>
        </w:rPr>
        <w:t>.仓储物流</w:t>
      </w:r>
    </w:p>
    <w:p w14:paraId="3C8E18F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项目主要包括原料</w:t>
      </w:r>
      <w:r>
        <w:rPr>
          <w:rFonts w:hint="eastAsia" w:ascii="宋体" w:hAnsi="宋体" w:eastAsia="宋体" w:cs="宋体"/>
          <w:color w:val="000000" w:themeColor="text1"/>
          <w:sz w:val="28"/>
          <w:szCs w:val="28"/>
          <w:lang w:val="en-US" w:eastAsia="zh-CN"/>
          <w14:textFill>
            <w14:solidFill>
              <w14:schemeClr w14:val="tx1"/>
            </w14:solidFill>
          </w14:textFill>
        </w:rPr>
        <w:t>堆放区</w:t>
      </w:r>
      <w:r>
        <w:rPr>
          <w:rFonts w:hint="eastAsia" w:ascii="宋体" w:hAnsi="宋体" w:eastAsia="宋体" w:cs="宋体"/>
          <w:color w:val="000000" w:themeColor="text1"/>
          <w:sz w:val="28"/>
          <w:szCs w:val="28"/>
          <w:lang w:val="en-US" w:eastAsia="zh-CN"/>
          <w14:textFill>
            <w14:solidFill>
              <w14:schemeClr w14:val="tx1"/>
            </w14:solidFill>
          </w14:textFill>
        </w:rPr>
        <w:t>、成品</w:t>
      </w:r>
      <w:r>
        <w:rPr>
          <w:rFonts w:hint="eastAsia" w:ascii="宋体" w:hAnsi="宋体" w:eastAsia="宋体" w:cs="宋体"/>
          <w:color w:val="000000" w:themeColor="text1"/>
          <w:sz w:val="28"/>
          <w:szCs w:val="28"/>
          <w:lang w:val="en-US" w:eastAsia="zh-CN"/>
          <w14:textFill>
            <w14:solidFill>
              <w14:schemeClr w14:val="tx1"/>
            </w14:solidFill>
          </w14:textFill>
        </w:rPr>
        <w:t>堆放区</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两区</w:t>
      </w:r>
      <w:r>
        <w:rPr>
          <w:rFonts w:hint="eastAsia" w:ascii="宋体" w:hAnsi="宋体" w:eastAsia="宋体" w:cs="宋体"/>
          <w:color w:val="000000" w:themeColor="text1"/>
          <w:sz w:val="28"/>
          <w:szCs w:val="28"/>
          <w:lang w:val="en-US" w:eastAsia="zh-CN"/>
          <w14:textFill>
            <w14:solidFill>
              <w14:schemeClr w14:val="tx1"/>
            </w14:solidFill>
          </w14:textFill>
        </w:rPr>
        <w:t>独立设置。</w:t>
      </w:r>
      <w:r>
        <w:rPr>
          <w:rFonts w:hint="eastAsia" w:ascii="宋体" w:hAnsi="宋体" w:eastAsia="宋体" w:cs="宋体"/>
          <w:color w:val="000000" w:themeColor="text1"/>
          <w:sz w:val="28"/>
          <w:szCs w:val="28"/>
          <w:lang w:val="en-US" w:eastAsia="zh-CN"/>
          <w14:textFill>
            <w14:solidFill>
              <w14:schemeClr w14:val="tx1"/>
            </w14:solidFill>
          </w14:textFill>
        </w:rPr>
        <w:t>货运车辆</w:t>
      </w:r>
      <w:r>
        <w:rPr>
          <w:rFonts w:hint="eastAsia" w:ascii="宋体" w:hAnsi="宋体" w:eastAsia="宋体" w:cs="宋体"/>
          <w:color w:val="000000" w:themeColor="text1"/>
          <w:sz w:val="28"/>
          <w:szCs w:val="28"/>
          <w:lang w:val="en-US" w:eastAsia="zh-CN"/>
          <w14:textFill>
            <w14:solidFill>
              <w14:schemeClr w14:val="tx1"/>
            </w14:solidFill>
          </w14:textFill>
        </w:rPr>
        <w:t>由厂区大门进入，方便物料及</w:t>
      </w:r>
      <w:r>
        <w:rPr>
          <w:rFonts w:hint="eastAsia" w:ascii="宋体" w:hAnsi="宋体" w:eastAsia="宋体" w:cs="宋体"/>
          <w:color w:val="000000" w:themeColor="text1"/>
          <w:sz w:val="28"/>
          <w:szCs w:val="28"/>
          <w:lang w:val="en-US" w:eastAsia="zh-CN"/>
          <w14:textFill>
            <w14:solidFill>
              <w14:schemeClr w14:val="tx1"/>
            </w14:solidFill>
          </w14:textFill>
        </w:rPr>
        <w:t>成</w:t>
      </w:r>
      <w:r>
        <w:rPr>
          <w:rFonts w:hint="eastAsia" w:ascii="宋体" w:hAnsi="宋体" w:eastAsia="宋体" w:cs="宋体"/>
          <w:color w:val="000000" w:themeColor="text1"/>
          <w:sz w:val="28"/>
          <w:szCs w:val="28"/>
          <w:lang w:val="en-US" w:eastAsia="zh-CN"/>
          <w14:textFill>
            <w14:solidFill>
              <w14:schemeClr w14:val="tx1"/>
            </w14:solidFill>
          </w14:textFill>
        </w:rPr>
        <w:t>品的运输。</w:t>
      </w:r>
    </w:p>
    <w:p w14:paraId="033B51E5">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eastAsia="zh-CN"/>
          <w14:textFill>
            <w14:solidFill>
              <w14:schemeClr w14:val="tx1"/>
            </w14:solidFill>
          </w14:textFill>
        </w:rPr>
      </w:pPr>
      <w:bookmarkStart w:id="219" w:name="_Toc331"/>
      <w:bookmarkStart w:id="220" w:name="_Toc18417"/>
      <w:r>
        <w:rPr>
          <w:rFonts w:hint="eastAsia" w:ascii="宋体" w:hAnsi="宋体" w:eastAsia="宋体" w:cs="宋体"/>
          <w:color w:val="000000" w:themeColor="text1"/>
          <w:lang w:val="en-US" w:eastAsia="zh-CN"/>
          <w14:textFill>
            <w14:solidFill>
              <w14:schemeClr w14:val="tx1"/>
            </w14:solidFill>
          </w14:textFill>
        </w:rPr>
        <w:t xml:space="preserve">2.6 </w:t>
      </w:r>
      <w:r>
        <w:rPr>
          <w:rFonts w:hint="eastAsia" w:ascii="宋体" w:hAnsi="宋体" w:eastAsia="宋体" w:cs="宋体"/>
          <w:color w:val="000000" w:themeColor="text1"/>
          <w14:textFill>
            <w14:solidFill>
              <w14:schemeClr w14:val="tx1"/>
            </w14:solidFill>
          </w14:textFill>
        </w:rPr>
        <w:t>安全</w:t>
      </w:r>
      <w:r>
        <w:rPr>
          <w:rFonts w:hint="eastAsia" w:ascii="宋体" w:hAnsi="宋体" w:eastAsia="宋体" w:cs="宋体"/>
          <w:color w:val="000000" w:themeColor="text1"/>
          <w:lang w:val="en-US" w:eastAsia="zh-CN"/>
          <w14:textFill>
            <w14:solidFill>
              <w14:schemeClr w14:val="tx1"/>
            </w14:solidFill>
          </w14:textFill>
        </w:rPr>
        <w:t>生产</w:t>
      </w:r>
      <w:r>
        <w:rPr>
          <w:rFonts w:hint="eastAsia" w:ascii="宋体" w:hAnsi="宋体" w:eastAsia="宋体" w:cs="宋体"/>
          <w:color w:val="000000" w:themeColor="text1"/>
          <w14:textFill>
            <w14:solidFill>
              <w14:schemeClr w14:val="tx1"/>
            </w14:solidFill>
          </w14:textFill>
        </w:rPr>
        <w:t>管理</w:t>
      </w:r>
      <w:bookmarkEnd w:id="219"/>
      <w:r>
        <w:rPr>
          <w:rFonts w:hint="eastAsia" w:ascii="宋体" w:hAnsi="宋体" w:eastAsia="宋体" w:cs="宋体"/>
          <w:color w:val="000000" w:themeColor="text1"/>
          <w:lang w:val="en-US" w:eastAsia="zh-CN"/>
          <w14:textFill>
            <w14:solidFill>
              <w14:schemeClr w14:val="tx1"/>
            </w14:solidFill>
          </w14:textFill>
        </w:rPr>
        <w:t>情况</w:t>
      </w:r>
      <w:bookmarkEnd w:id="220"/>
    </w:p>
    <w:p w14:paraId="1044705C">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221" w:name="_Toc15389"/>
      <w:bookmarkStart w:id="222" w:name="_Toc4430"/>
      <w:bookmarkStart w:id="223" w:name="_Toc22020"/>
      <w:r>
        <w:rPr>
          <w:rFonts w:hint="eastAsia" w:ascii="宋体" w:hAnsi="宋体" w:eastAsia="宋体" w:cs="宋体"/>
          <w:color w:val="000000" w:themeColor="text1"/>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.1</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工作制度</w:t>
      </w:r>
      <w:bookmarkEnd w:id="221"/>
      <w:bookmarkEnd w:id="222"/>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劳动定员</w:t>
      </w:r>
      <w:bookmarkEnd w:id="223"/>
    </w:p>
    <w:p w14:paraId="7F5A5A98">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auto"/>
          <w:sz w:val="28"/>
          <w:szCs w:val="28"/>
          <w:lang w:val="en-US" w:eastAsia="zh-CN"/>
        </w:rPr>
        <w:t>项目工作时间为300天，根据公司订单量适当调整。现员工只需上白班，每天工作8h</w:t>
      </w:r>
      <w:r>
        <w:rPr>
          <w:rFonts w:hint="eastAsia" w:ascii="宋体" w:hAnsi="宋体" w:eastAsia="宋体" w:cs="宋体"/>
          <w:color w:val="000000" w:themeColor="text1"/>
          <w:sz w:val="28"/>
          <w:szCs w:val="28"/>
          <w:lang w:val="en-US" w:eastAsia="zh-CN"/>
          <w14:textFill>
            <w14:solidFill>
              <w14:schemeClr w14:val="tx1"/>
            </w14:solidFill>
          </w14:textFill>
        </w:rPr>
        <w:t>。</w:t>
      </w:r>
    </w:p>
    <w:p w14:paraId="19E30EA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公司</w:t>
      </w:r>
      <w:r>
        <w:rPr>
          <w:rFonts w:hint="eastAsia" w:ascii="宋体" w:hAnsi="宋体" w:eastAsia="宋体" w:cs="宋体"/>
          <w:color w:val="000000" w:themeColor="text1"/>
          <w:sz w:val="28"/>
          <w:szCs w:val="28"/>
          <w:lang w:val="en-US" w:eastAsia="zh-CN"/>
          <w14:textFill>
            <w14:solidFill>
              <w14:schemeClr w14:val="tx1"/>
            </w14:solidFill>
          </w14:textFill>
        </w:rPr>
        <w:t>现</w:t>
      </w:r>
      <w:r>
        <w:rPr>
          <w:rFonts w:hint="eastAsia" w:ascii="宋体" w:hAnsi="宋体" w:eastAsia="宋体" w:cs="宋体"/>
          <w:color w:val="000000" w:themeColor="text1"/>
          <w:sz w:val="28"/>
          <w:szCs w:val="28"/>
          <w:lang w:val="en-US" w:eastAsia="zh-CN"/>
          <w14:textFill>
            <w14:solidFill>
              <w14:schemeClr w14:val="tx1"/>
            </w14:solidFill>
          </w14:textFill>
        </w:rPr>
        <w:t>在册</w:t>
      </w:r>
      <w:r>
        <w:rPr>
          <w:rFonts w:hint="eastAsia" w:ascii="宋体" w:hAnsi="宋体" w:eastAsia="宋体" w:cs="宋体"/>
          <w:color w:val="000000" w:themeColor="text1"/>
          <w:sz w:val="28"/>
          <w:szCs w:val="28"/>
          <w:lang w:val="en-US" w:eastAsia="zh-CN"/>
          <w14:textFill>
            <w14:solidFill>
              <w14:schemeClr w14:val="tx1"/>
            </w14:solidFill>
          </w14:textFill>
        </w:rPr>
        <w:t>员工17</w:t>
      </w:r>
      <w:r>
        <w:rPr>
          <w:rFonts w:hint="eastAsia" w:ascii="宋体" w:hAnsi="宋体" w:eastAsia="宋体" w:cs="宋体"/>
          <w:color w:val="000000" w:themeColor="text1"/>
          <w:sz w:val="28"/>
          <w:szCs w:val="28"/>
          <w:lang w:val="en-US" w:eastAsia="zh-CN"/>
          <w14:textFill>
            <w14:solidFill>
              <w14:schemeClr w14:val="tx1"/>
            </w14:solidFill>
          </w14:textFill>
        </w:rPr>
        <w:t>人，其中管理人员</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lang w:val="en-US" w:eastAsia="zh-CN"/>
          <w14:textFill>
            <w14:solidFill>
              <w14:schemeClr w14:val="tx1"/>
            </w14:solidFill>
          </w14:textFill>
        </w:rPr>
        <w:t>人</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生产人员</w:t>
      </w:r>
      <w:r>
        <w:rPr>
          <w:rFonts w:hint="eastAsia" w:ascii="宋体" w:hAnsi="宋体" w:eastAsia="宋体" w:cs="宋体"/>
          <w:color w:val="000000" w:themeColor="text1"/>
          <w:sz w:val="28"/>
          <w:szCs w:val="28"/>
          <w:lang w:val="en-US" w:eastAsia="zh-CN"/>
          <w14:textFill>
            <w14:solidFill>
              <w14:schemeClr w14:val="tx1"/>
            </w14:solidFill>
          </w14:textFill>
        </w:rPr>
        <w:t>13</w:t>
      </w:r>
      <w:r>
        <w:rPr>
          <w:rFonts w:hint="eastAsia" w:ascii="宋体" w:hAnsi="宋体" w:eastAsia="宋体" w:cs="宋体"/>
          <w:color w:val="000000" w:themeColor="text1"/>
          <w:sz w:val="28"/>
          <w:szCs w:val="28"/>
          <w:lang w:val="en-US" w:eastAsia="zh-CN"/>
          <w14:textFill>
            <w14:solidFill>
              <w14:schemeClr w14:val="tx1"/>
            </w14:solidFill>
          </w14:textFill>
        </w:rPr>
        <w:t>人。</w:t>
      </w:r>
    </w:p>
    <w:p w14:paraId="50D646F2">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224" w:name="_Toc8053"/>
      <w:bookmarkStart w:id="225" w:name="_Toc9565"/>
      <w:bookmarkStart w:id="226" w:name="_Toc16033"/>
      <w:r>
        <w:rPr>
          <w:rFonts w:hint="eastAsia" w:ascii="宋体" w:hAnsi="宋体" w:eastAsia="宋体" w:cs="宋体"/>
          <w:color w:val="000000" w:themeColor="text1"/>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 xml:space="preserve"> 安全管理机构</w:t>
      </w:r>
      <w:bookmarkEnd w:id="224"/>
    </w:p>
    <w:p w14:paraId="18C84B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mc:AlternateContent>
          <mc:Choice Requires="wps">
            <w:drawing>
              <wp:anchor distT="0" distB="0" distL="114300" distR="114300" simplePos="0" relativeHeight="251661312" behindDoc="1" locked="0" layoutInCell="1" allowOverlap="1">
                <wp:simplePos x="0" y="0"/>
                <wp:positionH relativeFrom="column">
                  <wp:posOffset>820420</wp:posOffset>
                </wp:positionH>
                <wp:positionV relativeFrom="paragraph">
                  <wp:posOffset>1250950</wp:posOffset>
                </wp:positionV>
                <wp:extent cx="3528695" cy="3016250"/>
                <wp:effectExtent l="0" t="0" r="0" b="0"/>
                <wp:wrapNone/>
                <wp:docPr id="3"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TextEdit="1"/>
                      </wps:cNvSpPr>
                      <wps:spPr>
                        <a:xfrm>
                          <a:off x="0" y="0"/>
                          <a:ext cx="3528695" cy="3016250"/>
                        </a:xfrm>
                        <a:prstGeom prst="rect">
                          <a:avLst/>
                        </a:prstGeom>
                        <a:noFill/>
                        <a:ln>
                          <a:noFill/>
                        </a:ln>
                      </wps:spPr>
                      <wps:bodyPr upright="1"/>
                    </wps:wsp>
                  </a:graphicData>
                </a:graphic>
              </wp:anchor>
            </w:drawing>
          </mc:Choice>
          <mc:Fallback>
            <w:pict>
              <v:rect id="矩形 1" o:spid="_x0000_s1026" o:spt="1" style="position:absolute;left:0pt;margin-left:64.6pt;margin-top:98.5pt;height:237.5pt;width:277.85pt;z-index:-251655168;mso-width-relative:page;mso-height-relative:page;" filled="f" stroked="f" coordsize="21600,21600" o:gfxdata="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jXac82gAAAAsBAAAPAAAAAAAAAAEAIAAAACIAAABkcnMvZG93bnJldi54bWxQ&#10;SwECFAAUAAAACACHTuJAERl24bwBAAByAwAADgAAAAAAAAABACAAAAApAQAAZHJzL2Uyb0RvYy54&#10;bWxQSwUGAAAAAAYABgBZAQAAVwUAAAAA&#10;">
                <v:fill on="f" focussize="0,0"/>
                <v:stroke on="f"/>
                <v:imagedata o:title=""/>
                <o:lock v:ext="edit" text="t" aspectratio="t"/>
              </v:rect>
            </w:pict>
          </mc:Fallback>
        </mc:AlternateContent>
      </w:r>
      <w:r>
        <w:rPr>
          <w:rFonts w:hint="eastAsia" w:ascii="宋体" w:hAnsi="宋体" w:eastAsia="宋体" w:cs="宋体"/>
          <w:color w:val="000000" w:themeColor="text1"/>
          <w:sz w:val="28"/>
          <w:szCs w:val="28"/>
          <w:lang w:val="en-US" w:eastAsia="zh-CN"/>
          <w14:textFill>
            <w14:solidFill>
              <w14:schemeClr w14:val="tx1"/>
            </w14:solidFill>
          </w14:textFill>
        </w:rPr>
        <w:t>玉溪市明哲数控科技有限公司设置有安全管理机构，根据相关法律、法规要求并结合自身实际情况成立了安全管理领导小组，任命李永俊为企业专职安全管理人员，负责日常的安全管理工作。公司安全管理网络图见图</w:t>
      </w: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lang w:val="en-US" w:eastAsia="zh-CN"/>
          <w14:textFill>
            <w14:solidFill>
              <w14:schemeClr w14:val="tx1"/>
            </w14:solidFill>
          </w14:textFill>
        </w:rPr>
        <w:t>：</w:t>
      </w:r>
      <w:bookmarkEnd w:id="225"/>
      <w:bookmarkEnd w:id="226"/>
    </w:p>
    <w:p w14:paraId="37B3EDAB">
      <w:pPr>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mc:AlternateContent>
          <mc:Choice Requires="wpg">
            <w:drawing>
              <wp:anchor distT="0" distB="0" distL="114300" distR="114300" simplePos="0" relativeHeight="251663360" behindDoc="0" locked="0" layoutInCell="1" allowOverlap="1">
                <wp:simplePos x="0" y="0"/>
                <wp:positionH relativeFrom="column">
                  <wp:posOffset>1073150</wp:posOffset>
                </wp:positionH>
                <wp:positionV relativeFrom="paragraph">
                  <wp:posOffset>40005</wp:posOffset>
                </wp:positionV>
                <wp:extent cx="2813685" cy="2580640"/>
                <wp:effectExtent l="4445" t="4445" r="16510" b="5715"/>
                <wp:wrapTopAndBottom/>
                <wp:docPr id="77" name="组合 77"/>
                <wp:cNvGraphicFramePr/>
                <a:graphic xmlns:a="http://schemas.openxmlformats.org/drawingml/2006/main">
                  <a:graphicData uri="http://schemas.microsoft.com/office/word/2010/wordprocessingGroup">
                    <wpg:wgp>
                      <wpg:cNvGrpSpPr/>
                      <wpg:grpSpPr>
                        <a:xfrm>
                          <a:off x="0" y="0"/>
                          <a:ext cx="2813685" cy="2580640"/>
                          <a:chOff x="4132" y="434865"/>
                          <a:chExt cx="4431" cy="4064"/>
                        </a:xfrm>
                      </wpg:grpSpPr>
                      <wps:wsp>
                        <wps:cNvPr id="32" name="文本框 32"/>
                        <wps:cNvSpPr txBox="1"/>
                        <wps:spPr>
                          <a:xfrm>
                            <a:off x="5490" y="435839"/>
                            <a:ext cx="1881" cy="51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681C05E">
                              <w:pPr>
                                <w:jc w:val="center"/>
                                <w:rPr>
                                  <w:rFonts w:hint="eastAsia" w:eastAsia="宋体"/>
                                  <w:lang w:eastAsia="zh-CN"/>
                                </w:rPr>
                              </w:pPr>
                              <w:r>
                                <w:rPr>
                                  <w:rFonts w:hint="eastAsia"/>
                                  <w:lang w:eastAsia="zh-CN"/>
                                </w:rPr>
                                <w:t>安全管理人员</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 name="文本框 34"/>
                        <wps:cNvSpPr txBox="1"/>
                        <wps:spPr>
                          <a:xfrm>
                            <a:off x="4132" y="437333"/>
                            <a:ext cx="566" cy="157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4733E97">
                              <w:pPr>
                                <w:rPr>
                                  <w:rFonts w:hint="default" w:eastAsia="宋体"/>
                                  <w:lang w:val="en-US" w:eastAsia="zh-CN"/>
                                </w:rPr>
                              </w:pPr>
                              <w:r>
                                <w:rPr>
                                  <w:rFonts w:hint="eastAsia"/>
                                  <w:lang w:val="en-US" w:eastAsia="zh-CN"/>
                                </w:rPr>
                                <w:t>物料仓库</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5" name="文本框 35"/>
                        <wps:cNvSpPr txBox="1"/>
                        <wps:spPr>
                          <a:xfrm>
                            <a:off x="5101" y="437308"/>
                            <a:ext cx="566" cy="1608"/>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D973349">
                              <w:pPr>
                                <w:rPr>
                                  <w:rFonts w:hint="default" w:eastAsia="宋体"/>
                                  <w:lang w:val="en-US" w:eastAsia="zh-CN"/>
                                </w:rPr>
                              </w:pPr>
                              <w:r>
                                <w:rPr>
                                  <w:rFonts w:hint="eastAsia"/>
                                  <w:lang w:val="en-US" w:eastAsia="zh-CN"/>
                                </w:rPr>
                                <w:t>加工组装区</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8" name="文本框 38"/>
                        <wps:cNvSpPr txBox="1"/>
                        <wps:spPr>
                          <a:xfrm>
                            <a:off x="6061" y="437308"/>
                            <a:ext cx="566" cy="1621"/>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7EA3AFB">
                              <w:pPr>
                                <w:rPr>
                                  <w:rFonts w:hint="eastAsia" w:eastAsia="宋体"/>
                                  <w:lang w:eastAsia="zh-CN"/>
                                </w:rPr>
                              </w:pPr>
                              <w:r>
                                <w:rPr>
                                  <w:rFonts w:hint="eastAsia"/>
                                  <w:lang w:val="en-US" w:eastAsia="zh-CN"/>
                                </w:rPr>
                                <w:t>生产</w:t>
                              </w:r>
                              <w:r>
                                <w:rPr>
                                  <w:rFonts w:hint="eastAsia"/>
                                  <w:lang w:eastAsia="zh-CN"/>
                                </w:rPr>
                                <w:t>车间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0" name="文本框 40"/>
                        <wps:cNvSpPr txBox="1"/>
                        <wps:spPr>
                          <a:xfrm>
                            <a:off x="7037" y="437308"/>
                            <a:ext cx="566" cy="15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43955D3">
                              <w:pPr>
                                <w:rPr>
                                  <w:rFonts w:hint="eastAsia" w:eastAsia="宋体"/>
                                  <w:lang w:eastAsia="zh-CN"/>
                                </w:rPr>
                              </w:pPr>
                              <w:r>
                                <w:rPr>
                                  <w:rFonts w:hint="eastAsia" w:eastAsia="宋体"/>
                                  <w:lang w:eastAsia="zh-CN"/>
                                </w:rPr>
                                <w:t>后勤部门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 name="文本框 42"/>
                        <wps:cNvSpPr txBox="1"/>
                        <wps:spPr>
                          <a:xfrm>
                            <a:off x="7997" y="437340"/>
                            <a:ext cx="566" cy="1501"/>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500792C">
                              <w:pPr>
                                <w:rPr>
                                  <w:rFonts w:hint="eastAsia" w:eastAsia="宋体"/>
                                  <w:lang w:eastAsia="zh-CN"/>
                                </w:rPr>
                              </w:pPr>
                              <w:r>
                                <w:rPr>
                                  <w:rFonts w:hint="eastAsia"/>
                                  <w:lang w:eastAsia="zh-CN"/>
                                </w:rPr>
                                <w:t>办公室</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8" name="直接箭头连接符 48"/>
                        <wps:cNvCnPr/>
                        <wps:spPr>
                          <a:xfrm>
                            <a:off x="6446" y="436363"/>
                            <a:ext cx="0" cy="467"/>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49" name="直接箭头连接符 49"/>
                        <wps:cNvCnPr/>
                        <wps:spPr>
                          <a:xfrm>
                            <a:off x="7322" y="436838"/>
                            <a:ext cx="0" cy="474"/>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2" name="直接连接符 2"/>
                        <wps:cNvCnPr/>
                        <wps:spPr>
                          <a:xfrm>
                            <a:off x="4400" y="436833"/>
                            <a:ext cx="2908" cy="0"/>
                          </a:xfrm>
                          <a:prstGeom prst="line">
                            <a:avLst/>
                          </a:prstGeom>
                          <a:ln w="952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s:wsp>
                        <wps:cNvPr id="43" name="直接箭头连接符 43"/>
                        <wps:cNvCnPr/>
                        <wps:spPr>
                          <a:xfrm>
                            <a:off x="6442" y="436838"/>
                            <a:ext cx="0" cy="474"/>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44" name="直接箭头连接符 44"/>
                        <wps:cNvCnPr/>
                        <wps:spPr>
                          <a:xfrm>
                            <a:off x="5386" y="436838"/>
                            <a:ext cx="0" cy="474"/>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53" name="直接箭头连接符 53"/>
                        <wps:cNvCnPr/>
                        <wps:spPr>
                          <a:xfrm>
                            <a:off x="4410" y="436838"/>
                            <a:ext cx="0" cy="474"/>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g:grpSp>
                        <wpg:cNvPr id="76" name="组合 76"/>
                        <wpg:cNvGrpSpPr/>
                        <wpg:grpSpPr>
                          <a:xfrm>
                            <a:off x="5838" y="434865"/>
                            <a:ext cx="2444" cy="2465"/>
                            <a:chOff x="5838" y="434865"/>
                            <a:chExt cx="2444" cy="2465"/>
                          </a:xfrm>
                        </wpg:grpSpPr>
                        <wps:wsp>
                          <wps:cNvPr id="7" name="文本框 7"/>
                          <wps:cNvSpPr txBox="1"/>
                          <wps:spPr>
                            <a:xfrm>
                              <a:off x="5838" y="434865"/>
                              <a:ext cx="1250" cy="51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60FDA15">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总经理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6" name="直接箭头连接符 46"/>
                          <wps:cNvCnPr/>
                          <wps:spPr>
                            <a:xfrm>
                              <a:off x="6464" y="435388"/>
                              <a:ext cx="0" cy="466"/>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57" name="直接箭头连接符 57"/>
                          <wps:cNvCnPr/>
                          <wps:spPr>
                            <a:xfrm>
                              <a:off x="8278" y="435128"/>
                              <a:ext cx="0" cy="2203"/>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75" name="直接连接符 75"/>
                          <wps:cNvCnPr>
                            <a:stCxn id="7" idx="3"/>
                          </wps:cNvCnPr>
                          <wps:spPr>
                            <a:xfrm>
                              <a:off x="7088" y="435124"/>
                              <a:ext cx="1195" cy="0"/>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g:grpSp>
                    </wpg:wgp>
                  </a:graphicData>
                </a:graphic>
              </wp:anchor>
            </w:drawing>
          </mc:Choice>
          <mc:Fallback>
            <w:pict>
              <v:group id="_x0000_s1026" o:spid="_x0000_s1026" o:spt="203" style="position:absolute;left:0pt;margin-left:84.5pt;margin-top:3.15pt;height:203.2pt;width:221.55pt;mso-wrap-distance-bottom:0pt;mso-wrap-distance-top:0pt;z-index:251663360;mso-width-relative:page;mso-height-relative:page;" coordorigin="4132,434865" coordsize="4431,4064" o:gfxdata="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">
                <o:lock v:ext="edit" aspectratio="f"/>
                <v:shape id="_x0000_s1026" o:spid="_x0000_s1026" o:spt="202" type="#_x0000_t202" style="position:absolute;left:5490;top:435839;height:517;width:1881;" fillcolor="#FFFFFF [3201]" filled="t" stroked="t" coordsize="21600,21600" o:gfxdata="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jf5aq2AAAA2w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14:paraId="7681C05E">
                        <w:pPr>
                          <w:jc w:val="center"/>
                          <w:rPr>
                            <w:rFonts w:hint="eastAsia" w:eastAsia="宋体"/>
                            <w:lang w:eastAsia="zh-CN"/>
                          </w:rPr>
                        </w:pPr>
                        <w:r>
                          <w:rPr>
                            <w:rFonts w:hint="eastAsia"/>
                            <w:lang w:eastAsia="zh-CN"/>
                          </w:rPr>
                          <w:t>安全管理人员</w:t>
                        </w:r>
                      </w:p>
                    </w:txbxContent>
                  </v:textbox>
                </v:shape>
                <v:shape id="_x0000_s1026" o:spid="_x0000_s1026" o:spt="202" type="#_x0000_t202" style="position:absolute;left:4132;top:437333;height:1573;width:566;" fillcolor="#FFFFFF [3201]" filled="t" stroked="t" coordsize="21600,21600" o:gfxdata="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ethF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44733E97">
                        <w:pPr>
                          <w:rPr>
                            <w:rFonts w:hint="default" w:eastAsia="宋体"/>
                            <w:lang w:val="en-US" w:eastAsia="zh-CN"/>
                          </w:rPr>
                        </w:pPr>
                        <w:r>
                          <w:rPr>
                            <w:rFonts w:hint="eastAsia"/>
                            <w:lang w:val="en-US" w:eastAsia="zh-CN"/>
                          </w:rPr>
                          <w:t>物料仓库</w:t>
                        </w:r>
                      </w:p>
                    </w:txbxContent>
                  </v:textbox>
                </v:shape>
                <v:shape id="_x0000_s1026" o:spid="_x0000_s1026" o:spt="202" type="#_x0000_t202" style="position:absolute;left:5101;top:437308;height:1608;width:566;" fillcolor="#FFFFFF [3201]" filled="t" stroked="t" coordsize="21600,21600" o:gfxdata="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nNn3e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1D973349">
                        <w:pPr>
                          <w:rPr>
                            <w:rFonts w:hint="default" w:eastAsia="宋体"/>
                            <w:lang w:val="en-US" w:eastAsia="zh-CN"/>
                          </w:rPr>
                        </w:pPr>
                        <w:r>
                          <w:rPr>
                            <w:rFonts w:hint="eastAsia"/>
                            <w:lang w:val="en-US" w:eastAsia="zh-CN"/>
                          </w:rPr>
                          <w:t>加工组装区</w:t>
                        </w:r>
                      </w:p>
                    </w:txbxContent>
                  </v:textbox>
                </v:shape>
                <v:shape id="_x0000_s1026" o:spid="_x0000_s1026" o:spt="202" type="#_x0000_t202" style="position:absolute;left:6061;top:437308;height:1621;width:566;" fillcolor="#FFFFFF [3201]" filled="t" stroked="t" coordsize="21600,21600" o:gfxdata="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JN9JA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14:paraId="07EA3AFB">
                        <w:pPr>
                          <w:rPr>
                            <w:rFonts w:hint="eastAsia" w:eastAsia="宋体"/>
                            <w:lang w:eastAsia="zh-CN"/>
                          </w:rPr>
                        </w:pPr>
                        <w:r>
                          <w:rPr>
                            <w:rFonts w:hint="eastAsia"/>
                            <w:lang w:val="en-US" w:eastAsia="zh-CN"/>
                          </w:rPr>
                          <w:t>生产</w:t>
                        </w:r>
                        <w:r>
                          <w:rPr>
                            <w:rFonts w:hint="eastAsia"/>
                            <w:lang w:eastAsia="zh-CN"/>
                          </w:rPr>
                          <w:t>车间</w:t>
                        </w:r>
                      </w:p>
                    </w:txbxContent>
                  </v:textbox>
                </v:shape>
                <v:shape id="_x0000_s1026" o:spid="_x0000_s1026" o:spt="202" type="#_x0000_t202" style="position:absolute;left:7037;top:437308;height:1597;width:566;" fillcolor="#FFFFFF [3201]" filled="t" stroked="t" coordsize="21600,21600" o:gfxdata="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vR607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14:paraId="743955D3">
                        <w:pPr>
                          <w:rPr>
                            <w:rFonts w:hint="eastAsia" w:eastAsia="宋体"/>
                            <w:lang w:eastAsia="zh-CN"/>
                          </w:rPr>
                        </w:pPr>
                        <w:r>
                          <w:rPr>
                            <w:rFonts w:hint="eastAsia" w:eastAsia="宋体"/>
                            <w:lang w:eastAsia="zh-CN"/>
                          </w:rPr>
                          <w:t>后勤部门</w:t>
                        </w:r>
                      </w:p>
                    </w:txbxContent>
                  </v:textbox>
                </v:shape>
                <v:shape id="_x0000_s1026" o:spid="_x0000_s1026" o:spt="202" type="#_x0000_t202" style="position:absolute;left:7997;top:437340;height:1501;width:566;" fillcolor="#FFFFFF [3201]" filled="t" stroked="t" coordsize="21600,21600" o:gfxdata="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w2ZbX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2500792C">
                        <w:pPr>
                          <w:rPr>
                            <w:rFonts w:hint="eastAsia" w:eastAsia="宋体"/>
                            <w:lang w:eastAsia="zh-CN"/>
                          </w:rPr>
                        </w:pPr>
                        <w:r>
                          <w:rPr>
                            <w:rFonts w:hint="eastAsia"/>
                            <w:lang w:eastAsia="zh-CN"/>
                          </w:rPr>
                          <w:t>办公室</w:t>
                        </w:r>
                      </w:p>
                    </w:txbxContent>
                  </v:textbox>
                </v:shape>
                <v:shape id="_x0000_s1026" o:spid="_x0000_s1026" o:spt="32" type="#_x0000_t32" style="position:absolute;left:6446;top:436363;height:467;width:0;" filled="f" stroked="t" coordsize="21600,21600" o:gfxdata="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2Qc0RugAAANsA&#10;AAAPAAAAAAAAAAEAIAAAACIAAABkcnMvZG93bnJldi54bWxQSwECFAAUAAAACACHTuJAMy8FnjsA&#10;AAA5AAAAEAAAAAAAAAABACAAAAAJAQAAZHJzL3NoYXBleG1sLnhtbFBLBQYAAAAABgAGAFsBAACz&#10;AwAAAAA=&#10;">
                  <v:fill on="f" focussize="0,0"/>
                  <v:stroke weight="1pt" color="#000000 [3213]" joinstyle="round" endarrow="open"/>
                  <v:imagedata o:title=""/>
                  <o:lock v:ext="edit" aspectratio="f"/>
                </v:shape>
                <v:shape id="_x0000_s1026" o:spid="_x0000_s1026" o:spt="32" type="#_x0000_t32" style="position:absolute;left:7322;top:436838;height:474;width:0;" filled="f" stroked="t" coordsize="21600,21600" o:gfxdata="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kNaIq/&#10;AAAA2wAAAA8AAAAAAAAAAQAgAAAAIgAAAGRycy9kb3ducmV2LnhtbFBLAQIUABQAAAAIAIdO4kAz&#10;LwWeOwAAADkAAAAQAAAAAAAAAAEAIAAAAA4BAABkcnMvc2hhcGV4bWwueG1sUEsFBgAAAAAGAAYA&#10;WwEAALgDAAAAAA==&#10;">
                  <v:fill on="f" focussize="0,0"/>
                  <v:stroke weight="1pt" color="#000000 [3213]" joinstyle="round" endarrow="open"/>
                  <v:imagedata o:title=""/>
                  <o:lock v:ext="edit" aspectratio="f"/>
                </v:shape>
                <v:line id="_x0000_s1026" o:spid="_x0000_s1026" o:spt="20" style="position:absolute;left:4400;top:436833;height:0;width:2908;" filled="f" stroked="t" coordsize="21600,21600" o:gfxdata="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vSEfO8AAAA&#10;2gAAAA8AAAAAAAAAAQAgAAAAIgAAAGRycy9kb3ducmV2LnhtbFBLAQIUABQAAAAIAIdO4kAzLwWe&#10;OwAAADkAAAAQAAAAAAAAAAEAIAAAAAsBAABkcnMvc2hhcGV4bWwueG1sUEsFBgAAAAAGAAYAWwEA&#10;ALUDAAAAAA==&#10;">
                  <v:fill on="f" focussize="0,0"/>
                  <v:stroke color="#000000 [3213]" joinstyle="round"/>
                  <v:imagedata o:title=""/>
                  <o:lock v:ext="edit" aspectratio="f"/>
                </v:line>
                <v:shape id="_x0000_s1026" o:spid="_x0000_s1026" o:spt="32" type="#_x0000_t32" style="position:absolute;left:6442;top:436838;height:474;width:0;" filled="f" stroked="t" coordsize="21600,21600" o:gfxdata="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jlX2C/&#10;AAAA2wAAAA8AAAAAAAAAAQAgAAAAIgAAAGRycy9kb3ducmV2LnhtbFBLAQIUABQAAAAIAIdO4kAz&#10;LwWeOwAAADkAAAAQAAAAAAAAAAEAIAAAAA4BAABkcnMvc2hhcGV4bWwueG1sUEsFBgAAAAAGAAYA&#10;WwEAALgDAAAAAA==&#10;">
                  <v:fill on="f" focussize="0,0"/>
                  <v:stroke weight="1pt" color="#000000 [3213]" joinstyle="round" endarrow="open"/>
                  <v:imagedata o:title=""/>
                  <o:lock v:ext="edit" aspectratio="f"/>
                </v:shape>
                <v:shape id="_x0000_s1026" o:spid="_x0000_s1026" o:spt="32" type="#_x0000_t32" style="position:absolute;left:5386;top:436838;height:474;width:0;" filled="f" stroked="t" coordsize="21600,21600" o:gfxdata="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wzHFL4A&#10;AADbAAAADwAAAAAAAAABACAAAAAiAAAAZHJzL2Rvd25yZXYueG1sUEsBAhQAFAAAAAgAh07iQDMv&#10;BZ47AAAAOQAAABAAAAAAAAAAAQAgAAAADQEAAGRycy9zaGFwZXhtbC54bWxQSwUGAAAAAAYABgBb&#10;AQAAtwMAAAAA&#10;">
                  <v:fill on="f" focussize="0,0"/>
                  <v:stroke weight="1pt" color="#000000 [3213]" joinstyle="round" endarrow="open"/>
                  <v:imagedata o:title=""/>
                  <o:lock v:ext="edit" aspectratio="f"/>
                </v:shape>
                <v:shape id="_x0000_s1026" o:spid="_x0000_s1026" o:spt="32" type="#_x0000_t32" style="position:absolute;left:4410;top:436838;height:474;width:0;" filled="f" stroked="t" coordsize="21600,21600" o:gfxdata="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08yb2/&#10;AAAA2wAAAA8AAAAAAAAAAQAgAAAAIgAAAGRycy9kb3ducmV2LnhtbFBLAQIUABQAAAAIAIdO4kAz&#10;LwWeOwAAADkAAAAQAAAAAAAAAAEAIAAAAA4BAABkcnMvc2hhcGV4bWwueG1sUEsFBgAAAAAGAAYA&#10;WwEAALgDAAAAAA==&#10;">
                  <v:fill on="f" focussize="0,0"/>
                  <v:stroke weight="1pt" color="#000000 [3213]" joinstyle="round" endarrow="open"/>
                  <v:imagedata o:title=""/>
                  <o:lock v:ext="edit" aspectratio="f"/>
                </v:shape>
                <v:group id="_x0000_s1026" o:spid="_x0000_s1026" o:spt="203" style="position:absolute;left:5838;top:434865;height:2465;width:2444;" coordorigin="5838,434865" coordsize="2444,2465" o:gfxdata="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PdElavwAAANs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5838;top:434865;height:517;width:1250;" fillcolor="#FFFFFF [3201]" filled="t" stroked="t" coordsize="21600,21600" o:gfxdata="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aHlYe2AAAA2g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14:paraId="560FDA15">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总经理</w:t>
                          </w:r>
                        </w:p>
                      </w:txbxContent>
                    </v:textbox>
                  </v:shape>
                  <v:shape id="_x0000_s1026" o:spid="_x0000_s1026" o:spt="32" type="#_x0000_t32" style="position:absolute;left:6464;top:435388;height:466;width:0;" filled="f" stroked="t" coordsize="21600,21600" o:gfxdata="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JL8+L4A&#10;AADbAAAADwAAAAAAAAABACAAAAAiAAAAZHJzL2Rvd25yZXYueG1sUEsBAhQAFAAAAAgAh07iQDMv&#10;BZ47AAAAOQAAABAAAAAAAAAAAQAgAAAADQEAAGRycy9zaGFwZXhtbC54bWxQSwUGAAAAAAYABgBb&#10;AQAAtwMAAAAA&#10;">
                    <v:fill on="f" focussize="0,0"/>
                    <v:stroke weight="1pt" color="#000000 [3213]" joinstyle="round" endarrow="open"/>
                    <v:imagedata o:title=""/>
                    <o:lock v:ext="edit" aspectratio="f"/>
                  </v:shape>
                  <v:shape id="_x0000_s1026" o:spid="_x0000_s1026" o:spt="32" type="#_x0000_t32" style="position:absolute;left:8278;top:435128;height:2203;width:0;" filled="f" stroked="t" coordsize="21600,21600" o:gfxdata="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B8++vQAA&#10;ANsAAAAPAAAAAAAAAAEAIAAAACIAAABkcnMvZG93bnJldi54bWxQSwECFAAUAAAACACHTuJAMy8F&#10;njsAAAA5AAAAEAAAAAAAAAABACAAAAAMAQAAZHJzL3NoYXBleG1sLnhtbFBLBQYAAAAABgAGAFsB&#10;AAC2AwAAAAA=&#10;">
                    <v:fill on="f" focussize="0,0"/>
                    <v:stroke weight="1pt" color="#000000 [3213]" joinstyle="round" endarrow="open"/>
                    <v:imagedata o:title=""/>
                    <o:lock v:ext="edit" aspectratio="f"/>
                  </v:shape>
                  <v:line id="_x0000_s1026" o:spid="_x0000_s1026" o:spt="20" style="position:absolute;left:7088;top:435124;height:0;width:1195;" filled="f" stroked="t" coordsize="21600,21600" o:gfxdata="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tm9kL4A&#10;AADb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line>
                </v:group>
                <w10:wrap type="topAndBottom"/>
              </v:group>
            </w:pict>
          </mc:Fallback>
        </mc:AlternateContent>
      </w:r>
    </w:p>
    <w:p w14:paraId="072F1B81">
      <w:pPr>
        <w:pStyle w:val="9"/>
        <w:bidi w:val="0"/>
        <w:jc w:val="center"/>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图2-</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 xml:space="preserve"> 安全管理组织机构图</w:t>
      </w:r>
    </w:p>
    <w:p w14:paraId="02570920">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227" w:name="_Toc31046"/>
      <w:bookmarkStart w:id="228" w:name="_Toc314143763"/>
      <w:bookmarkStart w:id="229" w:name="_Toc341693591"/>
      <w:bookmarkStart w:id="230" w:name="_Toc313524417"/>
      <w:bookmarkStart w:id="231" w:name="_Toc31868"/>
      <w:bookmarkStart w:id="232" w:name="_Toc314238223"/>
      <w:bookmarkStart w:id="233" w:name="_Toc8790"/>
      <w:r>
        <w:rPr>
          <w:rFonts w:hint="eastAsia" w:ascii="宋体" w:hAnsi="宋体" w:eastAsia="宋体" w:cs="宋体"/>
          <w:color w:val="000000" w:themeColor="text1"/>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 xml:space="preserve">3 </w:t>
      </w:r>
      <w:r>
        <w:rPr>
          <w:rFonts w:hint="eastAsia" w:ascii="宋体" w:hAnsi="宋体" w:eastAsia="宋体" w:cs="宋体"/>
          <w:color w:val="000000" w:themeColor="text1"/>
          <w14:textFill>
            <w14:solidFill>
              <w14:schemeClr w14:val="tx1"/>
            </w14:solidFill>
          </w14:textFill>
        </w:rPr>
        <w:t>安全管理制度、安全生产责任制及安全操作规程</w:t>
      </w:r>
      <w:bookmarkEnd w:id="227"/>
      <w:bookmarkEnd w:id="228"/>
      <w:bookmarkEnd w:id="229"/>
      <w:bookmarkEnd w:id="230"/>
      <w:bookmarkEnd w:id="231"/>
      <w:bookmarkEnd w:id="232"/>
      <w:bookmarkEnd w:id="233"/>
    </w:p>
    <w:p w14:paraId="545208A5">
      <w:pPr>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企业根据实际的安全管理需要，制定了安全生产责任制、安全管理制度、安全生产操作规程。</w:t>
      </w:r>
    </w:p>
    <w:p w14:paraId="092436AB">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宋体" w:hAnsi="宋体" w:eastAsia="宋体" w:cs="宋体"/>
          <w:b/>
          <w:bCs/>
          <w:color w:val="000000" w:themeColor="text1"/>
          <w:spacing w:val="-8"/>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表2-5 公司制定的主要安全管理制度一览表</w:t>
      </w:r>
    </w:p>
    <w:tbl>
      <w:tblPr>
        <w:tblStyle w:val="52"/>
        <w:tblW w:w="493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0"/>
        <w:gridCol w:w="3569"/>
        <w:gridCol w:w="519"/>
        <w:gridCol w:w="3797"/>
      </w:tblGrid>
      <w:tr w14:paraId="3BF7D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321EE72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序号</w:t>
            </w:r>
          </w:p>
        </w:tc>
        <w:tc>
          <w:tcPr>
            <w:tcW w:w="3569" w:type="dxa"/>
            <w:noWrap/>
            <w:vAlign w:val="center"/>
          </w:tcPr>
          <w:p w14:paraId="457F6C44">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名</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eastAsia="zh-CN"/>
                <w14:textFill>
                  <w14:solidFill>
                    <w14:schemeClr w14:val="tx1"/>
                  </w14:solidFill>
                </w14:textFill>
              </w:rPr>
              <w:t>称</w:t>
            </w:r>
          </w:p>
        </w:tc>
        <w:tc>
          <w:tcPr>
            <w:tcW w:w="519" w:type="dxa"/>
            <w:noWrap/>
            <w:vAlign w:val="center"/>
          </w:tcPr>
          <w:p w14:paraId="4EF77371">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序号</w:t>
            </w:r>
          </w:p>
        </w:tc>
        <w:tc>
          <w:tcPr>
            <w:tcW w:w="3797" w:type="dxa"/>
            <w:noWrap/>
            <w:vAlign w:val="center"/>
          </w:tcPr>
          <w:p w14:paraId="1750A6F8">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名</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eastAsia="zh-CN"/>
                <w14:textFill>
                  <w14:solidFill>
                    <w14:schemeClr w14:val="tx1"/>
                  </w14:solidFill>
                </w14:textFill>
              </w:rPr>
              <w:t>称</w:t>
            </w:r>
          </w:p>
        </w:tc>
      </w:tr>
      <w:tr w14:paraId="0F591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520" w:type="dxa"/>
            <w:noWrap/>
            <w:vAlign w:val="center"/>
          </w:tcPr>
          <w:p w14:paraId="02D9402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p>
        </w:tc>
        <w:tc>
          <w:tcPr>
            <w:tcW w:w="3569" w:type="dxa"/>
            <w:noWrap/>
            <w:vAlign w:val="center"/>
          </w:tcPr>
          <w:p w14:paraId="63EEB6A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安全会议管理制度</w:t>
            </w:r>
          </w:p>
        </w:tc>
        <w:tc>
          <w:tcPr>
            <w:tcW w:w="519" w:type="dxa"/>
            <w:noWrap/>
            <w:vAlign w:val="center"/>
          </w:tcPr>
          <w:p w14:paraId="398EC9A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p>
        </w:tc>
        <w:tc>
          <w:tcPr>
            <w:tcW w:w="3797" w:type="dxa"/>
            <w:noWrap/>
            <w:vAlign w:val="center"/>
          </w:tcPr>
          <w:p w14:paraId="3D1043D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安全生产投入保障制度</w:t>
            </w:r>
          </w:p>
        </w:tc>
      </w:tr>
      <w:tr w14:paraId="3FD5C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1765C62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3569" w:type="dxa"/>
            <w:noWrap/>
            <w:vAlign w:val="center"/>
          </w:tcPr>
          <w:p w14:paraId="2DC9596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安全生产培训教育制度</w:t>
            </w:r>
          </w:p>
        </w:tc>
        <w:tc>
          <w:tcPr>
            <w:tcW w:w="519" w:type="dxa"/>
            <w:noWrap/>
            <w:vAlign w:val="center"/>
          </w:tcPr>
          <w:p w14:paraId="76E9233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p>
        </w:tc>
        <w:tc>
          <w:tcPr>
            <w:tcW w:w="3797" w:type="dxa"/>
            <w:noWrap/>
            <w:vAlign w:val="center"/>
          </w:tcPr>
          <w:p w14:paraId="397C183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安全风险分级管理制度</w:t>
            </w:r>
          </w:p>
        </w:tc>
      </w:tr>
      <w:tr w14:paraId="44613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6B0902D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p>
        </w:tc>
        <w:tc>
          <w:tcPr>
            <w:tcW w:w="3569" w:type="dxa"/>
            <w:noWrap/>
            <w:vAlign w:val="center"/>
          </w:tcPr>
          <w:p w14:paraId="24C66D5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设备设施安全管理制度</w:t>
            </w:r>
          </w:p>
        </w:tc>
        <w:tc>
          <w:tcPr>
            <w:tcW w:w="519" w:type="dxa"/>
            <w:noWrap/>
            <w:vAlign w:val="center"/>
          </w:tcPr>
          <w:p w14:paraId="6843964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w:t>
            </w:r>
          </w:p>
        </w:tc>
        <w:tc>
          <w:tcPr>
            <w:tcW w:w="3797" w:type="dxa"/>
            <w:noWrap/>
            <w:vAlign w:val="center"/>
          </w:tcPr>
          <w:p w14:paraId="2DF01AF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安全隐患排查和整改管理制度</w:t>
            </w:r>
          </w:p>
        </w:tc>
      </w:tr>
      <w:tr w14:paraId="67045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07EC6F6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7</w:t>
            </w:r>
          </w:p>
        </w:tc>
        <w:tc>
          <w:tcPr>
            <w:tcW w:w="3569" w:type="dxa"/>
            <w:noWrap/>
            <w:vAlign w:val="center"/>
          </w:tcPr>
          <w:p w14:paraId="760BBCB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职业危害防治责任制度</w:t>
            </w:r>
          </w:p>
        </w:tc>
        <w:tc>
          <w:tcPr>
            <w:tcW w:w="519" w:type="dxa"/>
            <w:noWrap/>
            <w:vAlign w:val="center"/>
          </w:tcPr>
          <w:p w14:paraId="5BB5991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8</w:t>
            </w:r>
          </w:p>
        </w:tc>
        <w:tc>
          <w:tcPr>
            <w:tcW w:w="3797" w:type="dxa"/>
            <w:noWrap/>
            <w:vAlign w:val="center"/>
          </w:tcPr>
          <w:p w14:paraId="0C0996F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职业病危害应急救援与管理制度</w:t>
            </w:r>
          </w:p>
        </w:tc>
      </w:tr>
      <w:tr w14:paraId="1B873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276F669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9</w:t>
            </w:r>
          </w:p>
        </w:tc>
        <w:tc>
          <w:tcPr>
            <w:tcW w:w="3569" w:type="dxa"/>
            <w:noWrap/>
            <w:vAlign w:val="center"/>
          </w:tcPr>
          <w:p w14:paraId="48AAF41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职业卫生“三同时”管理制度</w:t>
            </w:r>
          </w:p>
        </w:tc>
        <w:tc>
          <w:tcPr>
            <w:tcW w:w="519" w:type="dxa"/>
            <w:noWrap/>
            <w:vAlign w:val="center"/>
          </w:tcPr>
          <w:p w14:paraId="2F42E3D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10</w:t>
            </w:r>
          </w:p>
        </w:tc>
        <w:tc>
          <w:tcPr>
            <w:tcW w:w="3797" w:type="dxa"/>
            <w:noWrap/>
            <w:vAlign w:val="center"/>
          </w:tcPr>
          <w:p w14:paraId="66A14B1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职业危害告知制度</w:t>
            </w:r>
          </w:p>
        </w:tc>
      </w:tr>
      <w:tr w14:paraId="4E3C7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65E0E74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11</w:t>
            </w:r>
          </w:p>
        </w:tc>
        <w:tc>
          <w:tcPr>
            <w:tcW w:w="3569" w:type="dxa"/>
            <w:noWrap/>
            <w:vAlign w:val="center"/>
          </w:tcPr>
          <w:p w14:paraId="3455FA3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安全生产奖惩管理制度</w:t>
            </w:r>
          </w:p>
        </w:tc>
        <w:tc>
          <w:tcPr>
            <w:tcW w:w="519" w:type="dxa"/>
            <w:noWrap/>
            <w:vAlign w:val="center"/>
          </w:tcPr>
          <w:p w14:paraId="1ACDA62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12</w:t>
            </w:r>
          </w:p>
        </w:tc>
        <w:tc>
          <w:tcPr>
            <w:tcW w:w="3797" w:type="dxa"/>
            <w:noWrap/>
            <w:vAlign w:val="center"/>
          </w:tcPr>
          <w:p w14:paraId="64A99AD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职业健康教育宣传培训制度</w:t>
            </w:r>
          </w:p>
        </w:tc>
      </w:tr>
      <w:tr w14:paraId="7A116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12E0379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13</w:t>
            </w:r>
          </w:p>
        </w:tc>
        <w:tc>
          <w:tcPr>
            <w:tcW w:w="3569" w:type="dxa"/>
            <w:noWrap/>
            <w:vAlign w:val="center"/>
          </w:tcPr>
          <w:p w14:paraId="3BDC9E3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消防安全管理制度</w:t>
            </w:r>
          </w:p>
        </w:tc>
        <w:tc>
          <w:tcPr>
            <w:tcW w:w="519" w:type="dxa"/>
            <w:noWrap/>
            <w:vAlign w:val="center"/>
          </w:tcPr>
          <w:p w14:paraId="6BCA05F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14</w:t>
            </w:r>
          </w:p>
        </w:tc>
        <w:tc>
          <w:tcPr>
            <w:tcW w:w="3797" w:type="dxa"/>
            <w:noWrap/>
            <w:vAlign w:val="center"/>
          </w:tcPr>
          <w:p w14:paraId="5051BA6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从业人员防护用品管理制度</w:t>
            </w:r>
          </w:p>
        </w:tc>
      </w:tr>
      <w:tr w14:paraId="019F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061EDD4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15</w:t>
            </w:r>
          </w:p>
        </w:tc>
        <w:tc>
          <w:tcPr>
            <w:tcW w:w="3569" w:type="dxa"/>
            <w:noWrap/>
            <w:vAlign w:val="center"/>
          </w:tcPr>
          <w:p w14:paraId="7C94C3C3">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设备检维修作业安全管理制度</w:t>
            </w:r>
          </w:p>
        </w:tc>
        <w:tc>
          <w:tcPr>
            <w:tcW w:w="519" w:type="dxa"/>
            <w:noWrap/>
            <w:vAlign w:val="center"/>
          </w:tcPr>
          <w:p w14:paraId="32DE05B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16</w:t>
            </w:r>
          </w:p>
        </w:tc>
        <w:tc>
          <w:tcPr>
            <w:tcW w:w="3797" w:type="dxa"/>
            <w:noWrap/>
            <w:vAlign w:val="center"/>
          </w:tcPr>
          <w:p w14:paraId="32DECBB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生产设施安全管理制度</w:t>
            </w:r>
          </w:p>
        </w:tc>
      </w:tr>
      <w:tr w14:paraId="61EDF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39D3360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17</w:t>
            </w:r>
          </w:p>
        </w:tc>
        <w:tc>
          <w:tcPr>
            <w:tcW w:w="3569" w:type="dxa"/>
            <w:noWrap/>
            <w:vAlign w:val="center"/>
          </w:tcPr>
          <w:p w14:paraId="5F0DF881">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变更管理制度</w:t>
            </w:r>
          </w:p>
        </w:tc>
        <w:tc>
          <w:tcPr>
            <w:tcW w:w="519" w:type="dxa"/>
            <w:noWrap/>
            <w:vAlign w:val="center"/>
          </w:tcPr>
          <w:p w14:paraId="38A580B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18</w:t>
            </w:r>
          </w:p>
        </w:tc>
        <w:tc>
          <w:tcPr>
            <w:tcW w:w="3797" w:type="dxa"/>
            <w:noWrap/>
            <w:vAlign w:val="center"/>
          </w:tcPr>
          <w:p w14:paraId="090B54E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临时用电作业管理制度</w:t>
            </w:r>
          </w:p>
        </w:tc>
      </w:tr>
      <w:tr w14:paraId="7B826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38A9C92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19</w:t>
            </w:r>
          </w:p>
        </w:tc>
        <w:tc>
          <w:tcPr>
            <w:tcW w:w="3569" w:type="dxa"/>
            <w:noWrap/>
            <w:vAlign w:val="center"/>
          </w:tcPr>
          <w:p w14:paraId="2A51F333">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安全责任考核制度</w:t>
            </w:r>
          </w:p>
        </w:tc>
        <w:tc>
          <w:tcPr>
            <w:tcW w:w="519" w:type="dxa"/>
            <w:noWrap/>
            <w:vAlign w:val="center"/>
          </w:tcPr>
          <w:p w14:paraId="323071C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20</w:t>
            </w:r>
          </w:p>
        </w:tc>
        <w:tc>
          <w:tcPr>
            <w:tcW w:w="3797" w:type="dxa"/>
            <w:noWrap/>
            <w:vAlign w:val="center"/>
          </w:tcPr>
          <w:p w14:paraId="7D87F98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安全生产责任考核和奖惩制度</w:t>
            </w:r>
          </w:p>
        </w:tc>
      </w:tr>
      <w:tr w14:paraId="2C4C9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20" w:type="dxa"/>
            <w:noWrap/>
            <w:vAlign w:val="center"/>
          </w:tcPr>
          <w:p w14:paraId="31E4E5F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21</w:t>
            </w:r>
          </w:p>
        </w:tc>
        <w:tc>
          <w:tcPr>
            <w:tcW w:w="3569" w:type="dxa"/>
            <w:noWrap/>
            <w:vAlign w:val="center"/>
          </w:tcPr>
          <w:p w14:paraId="4D320D6B">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特种作业人员管理制度</w:t>
            </w:r>
          </w:p>
        </w:tc>
        <w:tc>
          <w:tcPr>
            <w:tcW w:w="519" w:type="dxa"/>
            <w:noWrap/>
            <w:vAlign w:val="center"/>
          </w:tcPr>
          <w:p w14:paraId="74B2FF9E">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22</w:t>
            </w:r>
          </w:p>
        </w:tc>
        <w:tc>
          <w:tcPr>
            <w:tcW w:w="3797" w:type="dxa"/>
            <w:noWrap/>
            <w:vAlign w:val="center"/>
          </w:tcPr>
          <w:p w14:paraId="369685C1">
            <w:pPr>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工伤保险管理制度</w:t>
            </w:r>
          </w:p>
        </w:tc>
      </w:tr>
    </w:tbl>
    <w:p w14:paraId="2CE78F5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14:textFill>
            <w14:solidFill>
              <w14:schemeClr w14:val="tx1"/>
            </w14:solidFill>
          </w14:textFill>
        </w:rPr>
      </w:pPr>
    </w:p>
    <w:p w14:paraId="32101EA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公司</w:t>
      </w:r>
      <w:r>
        <w:rPr>
          <w:rFonts w:hint="eastAsia" w:ascii="宋体" w:hAnsi="宋体" w:eastAsia="宋体" w:cs="宋体"/>
          <w:color w:val="000000" w:themeColor="text1"/>
          <w:sz w:val="28"/>
          <w:szCs w:val="28"/>
          <w:lang w:eastAsia="zh-CN"/>
          <w14:textFill>
            <w14:solidFill>
              <w14:schemeClr w14:val="tx1"/>
            </w14:solidFill>
          </w14:textFill>
        </w:rPr>
        <w:t>结合本厂的实际情况，</w:t>
      </w:r>
      <w:r>
        <w:rPr>
          <w:rFonts w:hint="eastAsia" w:ascii="宋体" w:hAnsi="宋体" w:eastAsia="宋体" w:cs="宋体"/>
          <w:color w:val="000000" w:themeColor="text1"/>
          <w:sz w:val="28"/>
          <w:szCs w:val="28"/>
          <w14:textFill>
            <w14:solidFill>
              <w14:schemeClr w14:val="tx1"/>
            </w14:solidFill>
          </w14:textFill>
        </w:rPr>
        <w:t>制定了各级、各岗位人员安全生产责任制，</w:t>
      </w:r>
      <w:r>
        <w:rPr>
          <w:rFonts w:hint="eastAsia" w:ascii="宋体" w:hAnsi="宋体" w:eastAsia="宋体" w:cs="宋体"/>
          <w:color w:val="000000" w:themeColor="text1"/>
          <w:sz w:val="28"/>
          <w:szCs w:val="28"/>
          <w:lang w:eastAsia="zh-CN"/>
          <w14:textFill>
            <w14:solidFill>
              <w14:schemeClr w14:val="tx1"/>
            </w14:solidFill>
          </w14:textFill>
        </w:rPr>
        <w:t>具体详见表</w:t>
      </w:r>
      <w:r>
        <w:rPr>
          <w:rFonts w:hint="eastAsia" w:ascii="宋体" w:hAnsi="宋体" w:eastAsia="宋体" w:cs="宋体"/>
          <w:color w:val="000000" w:themeColor="text1"/>
          <w:sz w:val="28"/>
          <w:szCs w:val="28"/>
          <w:lang w:val="en-US" w:eastAsia="zh-CN"/>
          <w14:textFill>
            <w14:solidFill>
              <w14:schemeClr w14:val="tx1"/>
            </w14:solidFill>
          </w14:textFill>
        </w:rPr>
        <w:t>2-6。</w:t>
      </w:r>
    </w:p>
    <w:p w14:paraId="41FACBAA">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宋体" w:hAnsi="宋体" w:eastAsia="宋体" w:cs="宋体"/>
          <w:b/>
          <w:bCs/>
          <w:color w:val="000000" w:themeColor="text1"/>
          <w:spacing w:val="-8"/>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表2-6 公司制定的主要安全生产责任制度一览表</w:t>
      </w:r>
    </w:p>
    <w:tbl>
      <w:tblPr>
        <w:tblStyle w:val="52"/>
        <w:tblW w:w="495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3302"/>
        <w:gridCol w:w="790"/>
        <w:gridCol w:w="3515"/>
      </w:tblGrid>
      <w:tr w14:paraId="0C2F8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40" w:type="dxa"/>
            <w:noWrap/>
            <w:vAlign w:val="center"/>
          </w:tcPr>
          <w:p w14:paraId="2D13636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序号</w:t>
            </w:r>
          </w:p>
        </w:tc>
        <w:tc>
          <w:tcPr>
            <w:tcW w:w="3302" w:type="dxa"/>
            <w:noWrap/>
            <w:vAlign w:val="center"/>
          </w:tcPr>
          <w:p w14:paraId="040013B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名</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eastAsia="zh-CN"/>
                <w14:textFill>
                  <w14:solidFill>
                    <w14:schemeClr w14:val="tx1"/>
                  </w14:solidFill>
                </w14:textFill>
              </w:rPr>
              <w:t>称</w:t>
            </w:r>
          </w:p>
        </w:tc>
        <w:tc>
          <w:tcPr>
            <w:tcW w:w="790" w:type="dxa"/>
            <w:noWrap/>
            <w:vAlign w:val="center"/>
          </w:tcPr>
          <w:p w14:paraId="1A44367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序号</w:t>
            </w:r>
          </w:p>
        </w:tc>
        <w:tc>
          <w:tcPr>
            <w:tcW w:w="3515" w:type="dxa"/>
            <w:noWrap/>
            <w:vAlign w:val="center"/>
          </w:tcPr>
          <w:p w14:paraId="2E5F3A9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名</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eastAsia="zh-CN"/>
                <w14:textFill>
                  <w14:solidFill>
                    <w14:schemeClr w14:val="tx1"/>
                  </w14:solidFill>
                </w14:textFill>
              </w:rPr>
              <w:t>称</w:t>
            </w:r>
          </w:p>
        </w:tc>
      </w:tr>
      <w:tr w14:paraId="51EEA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40" w:type="dxa"/>
            <w:noWrap/>
            <w:vAlign w:val="center"/>
          </w:tcPr>
          <w:p w14:paraId="4D3D1D8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1</w:t>
            </w:r>
          </w:p>
        </w:tc>
        <w:tc>
          <w:tcPr>
            <w:tcW w:w="3302" w:type="dxa"/>
            <w:noWrap/>
            <w:vAlign w:val="center"/>
          </w:tcPr>
          <w:p w14:paraId="6360207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主要负责人安全生产职责</w:t>
            </w:r>
          </w:p>
        </w:tc>
        <w:tc>
          <w:tcPr>
            <w:tcW w:w="790" w:type="dxa"/>
            <w:noWrap/>
            <w:vAlign w:val="center"/>
          </w:tcPr>
          <w:p w14:paraId="500388E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2</w:t>
            </w:r>
          </w:p>
        </w:tc>
        <w:tc>
          <w:tcPr>
            <w:tcW w:w="3515" w:type="dxa"/>
            <w:noWrap/>
            <w:vAlign w:val="center"/>
          </w:tcPr>
          <w:p w14:paraId="6DD8F66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安全员岗位安全生产职责</w:t>
            </w:r>
          </w:p>
        </w:tc>
      </w:tr>
      <w:tr w14:paraId="53B03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840" w:type="dxa"/>
            <w:noWrap/>
            <w:vAlign w:val="center"/>
          </w:tcPr>
          <w:p w14:paraId="2FE5CD3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3</w:t>
            </w:r>
          </w:p>
        </w:tc>
        <w:tc>
          <w:tcPr>
            <w:tcW w:w="3302" w:type="dxa"/>
            <w:noWrap/>
            <w:vAlign w:val="center"/>
          </w:tcPr>
          <w:p w14:paraId="3694AE7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 xml:space="preserve"> </w:t>
            </w:r>
            <w:r>
              <w:rPr>
                <w:rFonts w:hint="eastAsia" w:ascii="宋体" w:hAnsi="宋体" w:eastAsia="宋体" w:cs="宋体"/>
                <w:color w:val="000000" w:themeColor="text1"/>
                <w:sz w:val="24"/>
                <w:szCs w:val="24"/>
                <w:lang w:val="en-US" w:eastAsia="zh-CN" w:bidi="ar-SA"/>
                <w14:textFill>
                  <w14:solidFill>
                    <w14:schemeClr w14:val="tx1"/>
                  </w14:solidFill>
                </w14:textFill>
              </w:rPr>
              <w:fldChar w:fldCharType="begin"/>
            </w:r>
            <w:r>
              <w:rPr>
                <w:rFonts w:hint="eastAsia" w:ascii="宋体" w:hAnsi="宋体" w:eastAsia="宋体" w:cs="宋体"/>
                <w:color w:val="000000" w:themeColor="text1"/>
                <w:sz w:val="24"/>
                <w:szCs w:val="24"/>
                <w:lang w:val="en-US" w:eastAsia="zh-CN" w:bidi="ar-SA"/>
                <w14:textFill>
                  <w14:solidFill>
                    <w14:schemeClr w14:val="tx1"/>
                  </w14:solidFill>
                </w14:textFill>
              </w:rPr>
              <w:instrText xml:space="preserve"> HYPERLINK \l "_Toc529303447" </w:instrText>
            </w:r>
            <w:r>
              <w:rPr>
                <w:rFonts w:hint="eastAsia" w:ascii="宋体" w:hAnsi="宋体" w:eastAsia="宋体" w:cs="宋体"/>
                <w:color w:val="000000" w:themeColor="text1"/>
                <w:sz w:val="24"/>
                <w:szCs w:val="24"/>
                <w:lang w:val="en-US" w:eastAsia="zh-CN" w:bidi="ar-SA"/>
                <w14:textFill>
                  <w14:solidFill>
                    <w14:schemeClr w14:val="tx1"/>
                  </w14:solidFill>
                </w14:textFill>
              </w:rPr>
              <w:fldChar w:fldCharType="separate"/>
            </w:r>
            <w:r>
              <w:rPr>
                <w:rFonts w:hint="eastAsia" w:ascii="宋体" w:hAnsi="宋体" w:eastAsia="宋体" w:cs="宋体"/>
                <w:color w:val="000000" w:themeColor="text1"/>
                <w:sz w:val="24"/>
                <w:szCs w:val="24"/>
                <w:lang w:val="en-US" w:eastAsia="zh-CN" w:bidi="ar-SA"/>
                <w14:textFill>
                  <w14:solidFill>
                    <w14:schemeClr w14:val="tx1"/>
                  </w14:solidFill>
                </w14:textFill>
              </w:rPr>
              <w:t>班组长安全生产安全职责</w:t>
            </w:r>
            <w:r>
              <w:rPr>
                <w:rFonts w:hint="eastAsia" w:ascii="宋体" w:hAnsi="宋体" w:eastAsia="宋体" w:cs="宋体"/>
                <w:color w:val="000000" w:themeColor="text1"/>
                <w:sz w:val="24"/>
                <w:szCs w:val="24"/>
                <w:lang w:val="en-US" w:eastAsia="zh-CN" w:bidi="ar-SA"/>
                <w14:textFill>
                  <w14:solidFill>
                    <w14:schemeClr w14:val="tx1"/>
                  </w14:solidFill>
                </w14:textFill>
              </w:rPr>
              <w:tab/>
            </w:r>
            <w:r>
              <w:rPr>
                <w:rFonts w:hint="eastAsia" w:ascii="宋体" w:hAnsi="宋体" w:eastAsia="宋体" w:cs="宋体"/>
                <w:color w:val="000000" w:themeColor="text1"/>
                <w:sz w:val="24"/>
                <w:szCs w:val="24"/>
                <w:lang w:val="en-US" w:eastAsia="zh-CN" w:bidi="ar-SA"/>
                <w14:textFill>
                  <w14:solidFill>
                    <w14:schemeClr w14:val="tx1"/>
                  </w14:solidFill>
                </w14:textFill>
              </w:rPr>
              <w:fldChar w:fldCharType="end"/>
            </w:r>
          </w:p>
        </w:tc>
        <w:tc>
          <w:tcPr>
            <w:tcW w:w="790" w:type="dxa"/>
            <w:noWrap/>
            <w:vAlign w:val="center"/>
          </w:tcPr>
          <w:p w14:paraId="7B3FDEB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4</w:t>
            </w:r>
          </w:p>
        </w:tc>
        <w:tc>
          <w:tcPr>
            <w:tcW w:w="3515" w:type="dxa"/>
            <w:noWrap/>
            <w:vAlign w:val="center"/>
          </w:tcPr>
          <w:p w14:paraId="4A0A14DC">
            <w:pPr>
              <w:keepNext w:val="0"/>
              <w:keepLines w:val="0"/>
              <w:pageBreakBefore w:val="0"/>
              <w:widowControl w:val="0"/>
              <w:kinsoku/>
              <w:wordWrap/>
              <w:overflowPunct/>
              <w:topLinePunct w:val="0"/>
              <w:autoSpaceDE/>
              <w:autoSpaceDN/>
              <w:bidi w:val="0"/>
              <w:adjustRightInd/>
              <w:snapToGrid/>
              <w:spacing w:line="240" w:lineRule="auto"/>
              <w:ind w:left="0" w:leftChars="0" w:firstLine="240" w:firstLineChars="100"/>
              <w:jc w:val="both"/>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员工安全生产安全职责</w:t>
            </w:r>
          </w:p>
        </w:tc>
      </w:tr>
    </w:tbl>
    <w:p w14:paraId="44A544A2">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公司根据工艺技术要求和工作特点，</w:t>
      </w:r>
      <w:r>
        <w:rPr>
          <w:rFonts w:hint="eastAsia" w:ascii="宋体" w:hAnsi="宋体" w:eastAsia="宋体" w:cs="宋体"/>
          <w:color w:val="000000" w:themeColor="text1"/>
          <w:sz w:val="28"/>
          <w:szCs w:val="28"/>
          <w:lang w:eastAsia="zh-CN"/>
          <w14:textFill>
            <w14:solidFill>
              <w14:schemeClr w14:val="tx1"/>
            </w14:solidFill>
          </w14:textFill>
        </w:rPr>
        <w:t>结合本厂的实际情况，</w:t>
      </w:r>
      <w:r>
        <w:rPr>
          <w:rFonts w:hint="eastAsia" w:ascii="宋体" w:hAnsi="宋体" w:eastAsia="宋体" w:cs="宋体"/>
          <w:color w:val="000000" w:themeColor="text1"/>
          <w:sz w:val="28"/>
          <w:szCs w:val="28"/>
          <w14:textFill>
            <w14:solidFill>
              <w14:schemeClr w14:val="tx1"/>
            </w14:solidFill>
          </w14:textFill>
        </w:rPr>
        <w:t>制定</w:t>
      </w:r>
      <w:r>
        <w:rPr>
          <w:rFonts w:hint="eastAsia" w:ascii="宋体" w:hAnsi="宋体" w:eastAsia="宋体" w:cs="宋体"/>
          <w:color w:val="000000" w:themeColor="text1"/>
          <w:sz w:val="28"/>
          <w:szCs w:val="28"/>
          <w:lang w:eastAsia="zh-CN"/>
          <w14:textFill>
            <w14:solidFill>
              <w14:schemeClr w14:val="tx1"/>
            </w14:solidFill>
          </w14:textFill>
        </w:rPr>
        <w:t>了</w:t>
      </w:r>
      <w:r>
        <w:rPr>
          <w:rFonts w:hint="eastAsia" w:ascii="宋体" w:hAnsi="宋体" w:eastAsia="宋体" w:cs="宋体"/>
          <w:color w:val="000000" w:themeColor="text1"/>
          <w:sz w:val="28"/>
          <w:szCs w:val="28"/>
          <w14:textFill>
            <w14:solidFill>
              <w14:schemeClr w14:val="tx1"/>
            </w14:solidFill>
          </w14:textFill>
        </w:rPr>
        <w:t>各岗位、各工种的安全操作规程，对员工在生产作业时正确安全操作做了详细规定</w:t>
      </w:r>
      <w:r>
        <w:rPr>
          <w:rFonts w:hint="eastAsia" w:ascii="宋体" w:hAnsi="宋体" w:eastAsia="宋体" w:cs="宋体"/>
          <w:color w:val="000000" w:themeColor="text1"/>
          <w:sz w:val="28"/>
          <w:szCs w:val="28"/>
          <w:lang w:eastAsia="zh-CN"/>
          <w14:textFill>
            <w14:solidFill>
              <w14:schemeClr w14:val="tx1"/>
            </w14:solidFill>
          </w14:textFill>
        </w:rPr>
        <w:t>，具体详见表</w:t>
      </w:r>
      <w:r>
        <w:rPr>
          <w:rFonts w:hint="eastAsia" w:ascii="宋体" w:hAnsi="宋体" w:eastAsia="宋体" w:cs="宋体"/>
          <w:color w:val="000000" w:themeColor="text1"/>
          <w:sz w:val="28"/>
          <w:szCs w:val="28"/>
          <w:lang w:val="en-US" w:eastAsia="zh-CN"/>
          <w14:textFill>
            <w14:solidFill>
              <w14:schemeClr w14:val="tx1"/>
            </w14:solidFill>
          </w14:textFill>
        </w:rPr>
        <w:t>2-7。</w:t>
      </w:r>
    </w:p>
    <w:p w14:paraId="1D3622AD">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宋体" w:hAnsi="宋体" w:eastAsia="宋体" w:cs="宋体"/>
          <w:b/>
          <w:bCs/>
          <w:color w:val="000000" w:themeColor="text1"/>
          <w:spacing w:val="-8"/>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表2-7 公司制定的主要岗位安全操作规程一览表</w:t>
      </w:r>
    </w:p>
    <w:tbl>
      <w:tblPr>
        <w:tblStyle w:val="52"/>
        <w:tblW w:w="511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3588"/>
        <w:gridCol w:w="852"/>
        <w:gridCol w:w="3508"/>
      </w:tblGrid>
      <w:tr w14:paraId="7A259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72" w:type="dxa"/>
            <w:noWrap/>
            <w:vAlign w:val="center"/>
          </w:tcPr>
          <w:p w14:paraId="11C8F02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bCs/>
                <w:color w:val="000000" w:themeColor="text1"/>
                <w:sz w:val="21"/>
                <w:szCs w:val="21"/>
                <w:lang w:val="en-US" w:eastAsia="zh-CN" w:bidi="ar-SA"/>
                <w14:textFill>
                  <w14:solidFill>
                    <w14:schemeClr w14:val="tx1"/>
                  </w14:solidFill>
                </w14:textFill>
              </w:rPr>
            </w:pPr>
            <w:r>
              <w:rPr>
                <w:rFonts w:hint="eastAsia" w:ascii="宋体" w:hAnsi="宋体" w:eastAsia="宋体" w:cs="宋体"/>
                <w:b/>
                <w:bCs/>
                <w:color w:val="000000" w:themeColor="text1"/>
                <w:sz w:val="21"/>
                <w:szCs w:val="21"/>
                <w:lang w:val="en-US" w:eastAsia="zh-CN" w:bidi="ar-SA"/>
                <w14:textFill>
                  <w14:solidFill>
                    <w14:schemeClr w14:val="tx1"/>
                  </w14:solidFill>
                </w14:textFill>
              </w:rPr>
              <w:t>序号</w:t>
            </w:r>
          </w:p>
        </w:tc>
        <w:tc>
          <w:tcPr>
            <w:tcW w:w="3588" w:type="dxa"/>
            <w:noWrap/>
            <w:vAlign w:val="center"/>
          </w:tcPr>
          <w:p w14:paraId="038926F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bCs/>
                <w:color w:val="000000" w:themeColor="text1"/>
                <w:sz w:val="21"/>
                <w:szCs w:val="21"/>
                <w:lang w:val="en-US" w:eastAsia="zh-CN" w:bidi="ar-SA"/>
                <w14:textFill>
                  <w14:solidFill>
                    <w14:schemeClr w14:val="tx1"/>
                  </w14:solidFill>
                </w14:textFill>
              </w:rPr>
            </w:pPr>
            <w:r>
              <w:rPr>
                <w:rFonts w:hint="eastAsia" w:ascii="宋体" w:hAnsi="宋体" w:eastAsia="宋体" w:cs="宋体"/>
                <w:b/>
                <w:bCs/>
                <w:color w:val="000000" w:themeColor="text1"/>
                <w:sz w:val="21"/>
                <w:szCs w:val="21"/>
                <w:lang w:val="en-US" w:eastAsia="zh-CN" w:bidi="ar-SA"/>
                <w14:textFill>
                  <w14:solidFill>
                    <w14:schemeClr w14:val="tx1"/>
                  </w14:solidFill>
                </w14:textFill>
              </w:rPr>
              <w:t>名   称</w:t>
            </w:r>
          </w:p>
        </w:tc>
        <w:tc>
          <w:tcPr>
            <w:tcW w:w="852" w:type="dxa"/>
            <w:noWrap/>
            <w:vAlign w:val="center"/>
          </w:tcPr>
          <w:p w14:paraId="1F22607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bCs/>
                <w:color w:val="000000" w:themeColor="text1"/>
                <w:sz w:val="21"/>
                <w:szCs w:val="21"/>
                <w:lang w:val="en-US" w:eastAsia="zh-CN" w:bidi="ar-SA"/>
                <w14:textFill>
                  <w14:solidFill>
                    <w14:schemeClr w14:val="tx1"/>
                  </w14:solidFill>
                </w14:textFill>
              </w:rPr>
            </w:pPr>
            <w:r>
              <w:rPr>
                <w:rFonts w:hint="eastAsia" w:ascii="宋体" w:hAnsi="宋体" w:eastAsia="宋体" w:cs="宋体"/>
                <w:b/>
                <w:bCs/>
                <w:color w:val="000000" w:themeColor="text1"/>
                <w:sz w:val="21"/>
                <w:szCs w:val="21"/>
                <w:lang w:val="en-US" w:eastAsia="zh-CN" w:bidi="ar-SA"/>
                <w14:textFill>
                  <w14:solidFill>
                    <w14:schemeClr w14:val="tx1"/>
                  </w14:solidFill>
                </w14:textFill>
              </w:rPr>
              <w:t>序号</w:t>
            </w:r>
          </w:p>
        </w:tc>
        <w:tc>
          <w:tcPr>
            <w:tcW w:w="3508" w:type="dxa"/>
            <w:noWrap/>
            <w:vAlign w:val="center"/>
          </w:tcPr>
          <w:p w14:paraId="020559D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bCs/>
                <w:color w:val="000000" w:themeColor="text1"/>
                <w:sz w:val="21"/>
                <w:szCs w:val="21"/>
                <w:lang w:val="en-US" w:eastAsia="zh-CN" w:bidi="ar-SA"/>
                <w14:textFill>
                  <w14:solidFill>
                    <w14:schemeClr w14:val="tx1"/>
                  </w14:solidFill>
                </w14:textFill>
              </w:rPr>
            </w:pPr>
            <w:r>
              <w:rPr>
                <w:rFonts w:hint="eastAsia" w:ascii="宋体" w:hAnsi="宋体" w:eastAsia="宋体" w:cs="宋体"/>
                <w:b/>
                <w:bCs/>
                <w:color w:val="000000" w:themeColor="text1"/>
                <w:sz w:val="21"/>
                <w:szCs w:val="21"/>
                <w:lang w:val="en-US" w:eastAsia="zh-CN" w:bidi="ar-SA"/>
                <w14:textFill>
                  <w14:solidFill>
                    <w14:schemeClr w14:val="tx1"/>
                  </w14:solidFill>
                </w14:textFill>
              </w:rPr>
              <w:t>名   称</w:t>
            </w:r>
          </w:p>
        </w:tc>
      </w:tr>
      <w:tr w14:paraId="5F81C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72" w:type="dxa"/>
            <w:noWrap/>
            <w:vAlign w:val="center"/>
          </w:tcPr>
          <w:p w14:paraId="5FF5E18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1</w:t>
            </w:r>
          </w:p>
        </w:tc>
        <w:tc>
          <w:tcPr>
            <w:tcW w:w="3588" w:type="dxa"/>
            <w:noWrap/>
            <w:vAlign w:val="center"/>
          </w:tcPr>
          <w:p w14:paraId="79ED032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安全操作规程十条规定</w:t>
            </w:r>
          </w:p>
        </w:tc>
        <w:tc>
          <w:tcPr>
            <w:tcW w:w="852" w:type="dxa"/>
            <w:noWrap/>
            <w:vAlign w:val="center"/>
          </w:tcPr>
          <w:p w14:paraId="115EC26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2</w:t>
            </w:r>
          </w:p>
        </w:tc>
        <w:tc>
          <w:tcPr>
            <w:tcW w:w="3508" w:type="dxa"/>
            <w:noWrap/>
            <w:vAlign w:val="center"/>
          </w:tcPr>
          <w:p w14:paraId="5DF90CD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一般安全技术规程</w:t>
            </w:r>
          </w:p>
        </w:tc>
      </w:tr>
      <w:tr w14:paraId="607F2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72" w:type="dxa"/>
            <w:noWrap/>
            <w:vAlign w:val="center"/>
          </w:tcPr>
          <w:p w14:paraId="4572129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3</w:t>
            </w:r>
          </w:p>
        </w:tc>
        <w:tc>
          <w:tcPr>
            <w:tcW w:w="3588" w:type="dxa"/>
            <w:noWrap/>
            <w:vAlign w:val="center"/>
          </w:tcPr>
          <w:p w14:paraId="3CEF764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主要工具使用安全规程</w:t>
            </w:r>
          </w:p>
        </w:tc>
        <w:tc>
          <w:tcPr>
            <w:tcW w:w="852" w:type="dxa"/>
            <w:noWrap/>
            <w:vAlign w:val="center"/>
          </w:tcPr>
          <w:p w14:paraId="184E5F5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4</w:t>
            </w:r>
          </w:p>
        </w:tc>
        <w:tc>
          <w:tcPr>
            <w:tcW w:w="3508" w:type="dxa"/>
            <w:noWrap/>
            <w:vAlign w:val="center"/>
          </w:tcPr>
          <w:p w14:paraId="0CB0179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车辆安全规程</w:t>
            </w:r>
          </w:p>
        </w:tc>
      </w:tr>
      <w:tr w14:paraId="041DE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72" w:type="dxa"/>
            <w:noWrap/>
            <w:vAlign w:val="center"/>
          </w:tcPr>
          <w:p w14:paraId="285EC6F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bookmarkStart w:id="234" w:name="_Toc17375"/>
            <w:bookmarkStart w:id="235" w:name="_Toc6048"/>
            <w:r>
              <w:rPr>
                <w:rFonts w:hint="eastAsia" w:ascii="宋体" w:hAnsi="宋体" w:eastAsia="宋体" w:cs="宋体"/>
                <w:color w:val="000000" w:themeColor="text1"/>
                <w:sz w:val="21"/>
                <w:szCs w:val="21"/>
                <w:lang w:val="en-US" w:eastAsia="zh-CN" w:bidi="ar-SA"/>
                <w14:textFill>
                  <w14:solidFill>
                    <w14:schemeClr w14:val="tx1"/>
                  </w14:solidFill>
                </w14:textFill>
              </w:rPr>
              <w:t>5</w:t>
            </w:r>
          </w:p>
        </w:tc>
        <w:tc>
          <w:tcPr>
            <w:tcW w:w="3588" w:type="dxa"/>
            <w:shd w:val="clear" w:color="auto" w:fill="auto"/>
            <w:noWrap/>
            <w:vAlign w:val="center"/>
          </w:tcPr>
          <w:p w14:paraId="73A8B98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行车安全操作规程</w:t>
            </w:r>
          </w:p>
        </w:tc>
        <w:tc>
          <w:tcPr>
            <w:tcW w:w="852" w:type="dxa"/>
            <w:shd w:val="clear" w:color="auto" w:fill="auto"/>
            <w:noWrap/>
            <w:vAlign w:val="center"/>
          </w:tcPr>
          <w:p w14:paraId="5CE52AB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6</w:t>
            </w:r>
          </w:p>
        </w:tc>
        <w:tc>
          <w:tcPr>
            <w:tcW w:w="3508" w:type="dxa"/>
            <w:shd w:val="clear" w:color="auto" w:fill="auto"/>
            <w:noWrap/>
            <w:vAlign w:val="center"/>
          </w:tcPr>
          <w:p w14:paraId="3305003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themeColor="text1"/>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电工岗位安全操作规程</w:t>
            </w:r>
          </w:p>
        </w:tc>
      </w:tr>
    </w:tbl>
    <w:p w14:paraId="4CAD6ED8">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236" w:name="_Toc3460"/>
      <w:r>
        <w:rPr>
          <w:rFonts w:hint="eastAsia" w:ascii="宋体" w:hAnsi="宋体" w:eastAsia="宋体" w:cs="宋体"/>
          <w:color w:val="000000" w:themeColor="text1"/>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 xml:space="preserve">4 </w:t>
      </w:r>
      <w:r>
        <w:rPr>
          <w:rFonts w:hint="eastAsia" w:ascii="宋体" w:hAnsi="宋体" w:eastAsia="宋体" w:cs="宋体"/>
          <w:color w:val="000000" w:themeColor="text1"/>
          <w14:textFill>
            <w14:solidFill>
              <w14:schemeClr w14:val="tx1"/>
            </w14:solidFill>
          </w14:textFill>
        </w:rPr>
        <w:t>安全管理人员及特种作业人员持证上岗情况</w:t>
      </w:r>
      <w:bookmarkEnd w:id="234"/>
      <w:bookmarkEnd w:id="235"/>
      <w:bookmarkEnd w:id="236"/>
    </w:p>
    <w:p w14:paraId="2F691EF2">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000000" w:themeColor="text1"/>
          <w:sz w:val="28"/>
          <w:szCs w:val="28"/>
          <w14:textFill>
            <w14:solidFill>
              <w14:schemeClr w14:val="tx1"/>
            </w14:solidFill>
          </w14:textFill>
        </w:rPr>
      </w:pPr>
      <w:bookmarkStart w:id="237" w:name="_Toc13628"/>
      <w:bookmarkStart w:id="238" w:name="_Toc313453487"/>
      <w:r>
        <w:rPr>
          <w:rFonts w:hint="eastAsia" w:ascii="宋体" w:hAnsi="宋体" w:eastAsia="宋体" w:cs="宋体"/>
          <w:color w:val="000000" w:themeColor="text1"/>
          <w:sz w:val="28"/>
          <w:szCs w:val="28"/>
          <w:lang w:val="en-US" w:eastAsia="zh-CN"/>
          <w14:textFill>
            <w14:solidFill>
              <w14:schemeClr w14:val="tx1"/>
            </w14:solidFill>
          </w14:textFill>
        </w:rPr>
        <w:t>企业</w:t>
      </w:r>
      <w:r>
        <w:rPr>
          <w:rFonts w:hint="eastAsia" w:ascii="宋体" w:hAnsi="宋体" w:eastAsia="宋体" w:cs="宋体"/>
          <w:color w:val="000000" w:themeColor="text1"/>
          <w:sz w:val="28"/>
          <w:szCs w:val="28"/>
          <w14:textFill>
            <w14:solidFill>
              <w14:schemeClr w14:val="tx1"/>
            </w14:solidFill>
          </w14:textFill>
        </w:rPr>
        <w:t>主要负责人及安全管理人员具备多年安全管理经验，主要负责人及安全管理人员参加了安全管理培训，经统一考核合格，取得了安全生产知识和管理能力考核合格证。</w:t>
      </w:r>
    </w:p>
    <w:p w14:paraId="408B79A4">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该公司</w:t>
      </w:r>
      <w:r>
        <w:rPr>
          <w:rFonts w:hint="eastAsia" w:ascii="宋体" w:hAnsi="宋体" w:eastAsia="宋体" w:cs="宋体"/>
          <w:color w:val="000000" w:themeColor="text1"/>
          <w:sz w:val="28"/>
          <w:szCs w:val="28"/>
          <w14:textFill>
            <w14:solidFill>
              <w14:schemeClr w14:val="tx1"/>
            </w14:solidFill>
          </w14:textFill>
        </w:rPr>
        <w:t>主要负责人、安全管理人员持证台账如下表所示。</w:t>
      </w:r>
    </w:p>
    <w:p w14:paraId="6935FACD">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电工特种作业人员持证上岗</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人员证书见附件</w:t>
      </w:r>
      <w:r>
        <w:rPr>
          <w:rFonts w:hint="eastAsia" w:ascii="宋体" w:hAnsi="宋体" w:eastAsia="宋体" w:cs="宋体"/>
          <w:lang w:val="en-US" w:eastAsia="zh-CN"/>
        </w:rPr>
        <w:t>8</w:t>
      </w:r>
      <w:r>
        <w:rPr>
          <w:rFonts w:hint="eastAsia" w:ascii="宋体" w:hAnsi="宋体" w:eastAsia="宋体" w:cs="宋体"/>
          <w:color w:val="000000" w:themeColor="text1"/>
          <w:sz w:val="28"/>
          <w:szCs w:val="28"/>
          <w14:textFill>
            <w14:solidFill>
              <w14:schemeClr w14:val="tx1"/>
            </w14:solidFill>
          </w14:textFill>
        </w:rPr>
        <w:t>。</w:t>
      </w:r>
    </w:p>
    <w:p w14:paraId="4ACDEA22">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p>
    <w:p w14:paraId="2FFD38E0">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p>
    <w:p w14:paraId="40083D0C">
      <w:pPr>
        <w:pStyle w:val="31"/>
        <w:jc w:val="center"/>
        <w:rPr>
          <w:rFonts w:hint="eastAsia" w:ascii="宋体" w:hAnsi="宋体" w:eastAsia="宋体" w:cs="宋体"/>
          <w:lang w:val="en-US" w:eastAsia="zh-CN"/>
        </w:rPr>
      </w:pPr>
      <w:r>
        <w:rPr>
          <w:rFonts w:hint="eastAsia" w:ascii="宋体" w:hAnsi="宋体" w:eastAsia="宋体" w:cs="宋体"/>
          <w:bCs/>
          <w:color w:val="000000" w:themeColor="text1"/>
          <w:sz w:val="24"/>
          <w14:textFill>
            <w14:solidFill>
              <w14:schemeClr w14:val="tx1"/>
            </w14:solidFill>
          </w14:textFill>
        </w:rPr>
        <w:t>表2-</w:t>
      </w:r>
      <w:r>
        <w:rPr>
          <w:rFonts w:hint="eastAsia" w:ascii="宋体" w:hAnsi="宋体" w:eastAsia="宋体" w:cs="宋体"/>
          <w:bCs/>
          <w:color w:val="000000" w:themeColor="text1"/>
          <w:sz w:val="24"/>
          <w:lang w:val="en-US" w:eastAsia="zh-CN"/>
          <w14:textFill>
            <w14:solidFill>
              <w14:schemeClr w14:val="tx1"/>
            </w14:solidFill>
          </w14:textFill>
        </w:rPr>
        <w:t>8</w:t>
      </w:r>
      <w:r>
        <w:rPr>
          <w:rFonts w:hint="eastAsia" w:ascii="宋体" w:hAnsi="宋体" w:eastAsia="宋体" w:cs="宋体"/>
          <w:bCs/>
          <w:color w:val="000000" w:themeColor="text1"/>
          <w:sz w:val="24"/>
          <w14:textFill>
            <w14:solidFill>
              <w14:schemeClr w14:val="tx1"/>
            </w14:solidFill>
          </w14:textFill>
        </w:rPr>
        <w:t xml:space="preserve"> 安全管理人员持证一览表</w:t>
      </w:r>
    </w:p>
    <w:tbl>
      <w:tblPr>
        <w:tblStyle w:val="52"/>
        <w:tblpPr w:leftFromText="180" w:rightFromText="180" w:vertAnchor="text" w:horzAnchor="page" w:tblpX="2065" w:tblpY="65"/>
        <w:tblOverlap w:val="never"/>
        <w:tblW w:w="80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3"/>
        <w:gridCol w:w="1028"/>
        <w:gridCol w:w="1416"/>
        <w:gridCol w:w="1926"/>
        <w:gridCol w:w="1438"/>
        <w:gridCol w:w="1841"/>
      </w:tblGrid>
      <w:tr w14:paraId="25783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exact"/>
          <w:tblHeader/>
        </w:trPr>
        <w:tc>
          <w:tcPr>
            <w:tcW w:w="393" w:type="dxa"/>
            <w:tcBorders>
              <w:left w:val="single" w:color="auto" w:sz="4" w:space="0"/>
            </w:tcBorders>
            <w:vAlign w:val="center"/>
          </w:tcPr>
          <w:p w14:paraId="14B2CA7F">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1028" w:type="dxa"/>
            <w:tcBorders>
              <w:left w:val="single" w:color="auto" w:sz="4" w:space="0"/>
            </w:tcBorders>
            <w:vAlign w:val="center"/>
          </w:tcPr>
          <w:p w14:paraId="4043C295">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姓名</w:t>
            </w:r>
          </w:p>
        </w:tc>
        <w:tc>
          <w:tcPr>
            <w:tcW w:w="1416" w:type="dxa"/>
            <w:vAlign w:val="center"/>
          </w:tcPr>
          <w:p w14:paraId="302C6C8D">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人员类型</w:t>
            </w:r>
          </w:p>
        </w:tc>
        <w:tc>
          <w:tcPr>
            <w:tcW w:w="1926" w:type="dxa"/>
            <w:vAlign w:val="center"/>
          </w:tcPr>
          <w:p w14:paraId="239DB112">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证书编号</w:t>
            </w:r>
          </w:p>
        </w:tc>
        <w:tc>
          <w:tcPr>
            <w:tcW w:w="1438" w:type="dxa"/>
            <w:vAlign w:val="center"/>
          </w:tcPr>
          <w:p w14:paraId="13CD4FE0">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有效期限</w:t>
            </w:r>
          </w:p>
        </w:tc>
        <w:tc>
          <w:tcPr>
            <w:tcW w:w="1841" w:type="dxa"/>
            <w:vAlign w:val="center"/>
          </w:tcPr>
          <w:p w14:paraId="5B06DE47">
            <w:pPr>
              <w:adjustRightInd w:val="0"/>
              <w:snapToGrid w:val="0"/>
              <w:spacing w:line="300" w:lineRule="exact"/>
              <w:jc w:val="center"/>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培训机构</w:t>
            </w:r>
          </w:p>
        </w:tc>
      </w:tr>
      <w:tr w14:paraId="5A57C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exact"/>
        </w:trPr>
        <w:tc>
          <w:tcPr>
            <w:tcW w:w="393" w:type="dxa"/>
            <w:tcBorders>
              <w:left w:val="single" w:color="auto" w:sz="4" w:space="0"/>
            </w:tcBorders>
            <w:vAlign w:val="center"/>
          </w:tcPr>
          <w:p w14:paraId="2442A799">
            <w:pPr>
              <w:numPr>
                <w:ilvl w:val="0"/>
                <w:numId w:val="8"/>
              </w:numPr>
              <w:tabs>
                <w:tab w:val="left" w:pos="180"/>
              </w:tabs>
              <w:adjustRightInd w:val="0"/>
              <w:snapToGrid w:val="0"/>
              <w:spacing w:line="300" w:lineRule="exact"/>
              <w:ind w:left="0"/>
              <w:jc w:val="center"/>
              <w:rPr>
                <w:rFonts w:hint="eastAsia" w:ascii="宋体" w:hAnsi="宋体" w:eastAsia="宋体" w:cs="宋体"/>
                <w:color w:val="000000" w:themeColor="text1"/>
                <w:kern w:val="0"/>
                <w:sz w:val="21"/>
                <w:szCs w:val="21"/>
                <w14:textFill>
                  <w14:solidFill>
                    <w14:schemeClr w14:val="tx1"/>
                  </w14:solidFill>
                </w14:textFill>
              </w:rPr>
            </w:pPr>
          </w:p>
        </w:tc>
        <w:tc>
          <w:tcPr>
            <w:tcW w:w="1028" w:type="dxa"/>
            <w:tcBorders>
              <w:left w:val="single" w:color="auto" w:sz="4" w:space="0"/>
            </w:tcBorders>
            <w:shd w:val="clear" w:color="auto" w:fill="auto"/>
            <w:vAlign w:val="center"/>
          </w:tcPr>
          <w:p w14:paraId="0107C3BA">
            <w:pPr>
              <w:adjustRightInd w:val="0"/>
              <w:snapToGrid w:val="0"/>
              <w:spacing w:line="300" w:lineRule="exact"/>
              <w:jc w:val="center"/>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柴中镱</w:t>
            </w:r>
          </w:p>
        </w:tc>
        <w:tc>
          <w:tcPr>
            <w:tcW w:w="1416" w:type="dxa"/>
            <w:shd w:val="clear" w:color="auto" w:fill="auto"/>
            <w:vAlign w:val="center"/>
          </w:tcPr>
          <w:p w14:paraId="46C27653">
            <w:pPr>
              <w:adjustRightInd w:val="0"/>
              <w:snapToGrid w:val="0"/>
              <w:spacing w:line="300" w:lineRule="exact"/>
              <w:jc w:val="center"/>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主要负责人</w:t>
            </w:r>
          </w:p>
        </w:tc>
        <w:tc>
          <w:tcPr>
            <w:tcW w:w="1926" w:type="dxa"/>
            <w:shd w:val="clear" w:color="auto" w:fill="auto"/>
            <w:vAlign w:val="center"/>
          </w:tcPr>
          <w:p w14:paraId="6218009A">
            <w:pPr>
              <w:adjustRightInd w:val="0"/>
              <w:snapToGrid w:val="0"/>
              <w:spacing w:line="300" w:lineRule="exact"/>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FJ</w:t>
            </w:r>
            <w:r>
              <w:rPr>
                <w:rFonts w:hint="eastAsia" w:ascii="宋体" w:hAnsi="宋体" w:eastAsia="宋体" w:cs="宋体"/>
                <w:sz w:val="21"/>
                <w:szCs w:val="21"/>
                <w:lang w:val="en-US" w:eastAsia="zh-CN"/>
              </w:rPr>
              <w:t>7902022F</w:t>
            </w:r>
            <w:r>
              <w:rPr>
                <w:rFonts w:hint="eastAsia" w:ascii="宋体" w:hAnsi="宋体" w:eastAsia="宋体" w:cs="宋体"/>
                <w:sz w:val="21"/>
                <w:szCs w:val="21"/>
                <w:lang w:val="en-US" w:eastAsia="zh-CN"/>
              </w:rPr>
              <w:t>Z1336</w:t>
            </w:r>
          </w:p>
        </w:tc>
        <w:tc>
          <w:tcPr>
            <w:tcW w:w="1438" w:type="dxa"/>
            <w:shd w:val="clear" w:color="auto" w:fill="auto"/>
            <w:vAlign w:val="center"/>
          </w:tcPr>
          <w:p w14:paraId="70701039">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2022.07.21-</w:t>
            </w:r>
          </w:p>
          <w:p w14:paraId="53BAD5C5">
            <w:pPr>
              <w:adjustRightInd w:val="0"/>
              <w:snapToGrid w:val="0"/>
              <w:spacing w:line="300" w:lineRule="exact"/>
              <w:jc w:val="center"/>
              <w:rPr>
                <w:rFonts w:hint="eastAsia" w:ascii="宋体" w:hAnsi="宋体" w:eastAsia="宋体" w:cs="宋体"/>
                <w:sz w:val="21"/>
                <w:szCs w:val="21"/>
                <w:lang w:val="en-US" w:eastAsia="zh-CN" w:bidi="ar-SA"/>
              </w:rPr>
            </w:pPr>
            <w:r>
              <w:rPr>
                <w:rFonts w:hint="eastAsia" w:ascii="宋体" w:hAnsi="宋体" w:eastAsia="宋体" w:cs="宋体"/>
                <w:color w:val="000000" w:themeColor="text1"/>
                <w:sz w:val="21"/>
                <w:szCs w:val="21"/>
                <w:lang w:val="en-US" w:eastAsia="zh-CN"/>
                <w14:textFill>
                  <w14:solidFill>
                    <w14:schemeClr w14:val="tx1"/>
                  </w14:solidFill>
                </w14:textFill>
              </w:rPr>
              <w:t>2025.07.20</w:t>
            </w:r>
          </w:p>
        </w:tc>
        <w:tc>
          <w:tcPr>
            <w:tcW w:w="1841" w:type="dxa"/>
            <w:shd w:val="clear" w:color="auto" w:fill="auto"/>
            <w:vAlign w:val="center"/>
          </w:tcPr>
          <w:p w14:paraId="7ACE1549">
            <w:pPr>
              <w:adjustRightInd w:val="0"/>
              <w:snapToGrid w:val="0"/>
              <w:spacing w:line="300" w:lineRule="exact"/>
              <w:jc w:val="center"/>
              <w:rPr>
                <w:rFonts w:hint="eastAsia" w:ascii="宋体" w:hAnsi="宋体" w:eastAsia="宋体" w:cs="宋体"/>
                <w:sz w:val="21"/>
                <w:szCs w:val="21"/>
                <w:u w:val="none"/>
                <w:lang w:val="en-US" w:eastAsia="zh-CN" w:bidi="ar-SA"/>
              </w:rPr>
            </w:pPr>
            <w:r>
              <w:rPr>
                <w:rFonts w:hint="eastAsia" w:ascii="宋体" w:hAnsi="宋体" w:eastAsia="宋体" w:cs="宋体"/>
                <w:sz w:val="21"/>
                <w:szCs w:val="21"/>
                <w:u w:val="none"/>
                <w:lang w:val="en-US" w:eastAsia="zh-CN"/>
              </w:rPr>
              <w:t>玉溪惠人安全技术服务有限公司</w:t>
            </w:r>
          </w:p>
        </w:tc>
      </w:tr>
      <w:tr w14:paraId="1571E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exact"/>
        </w:trPr>
        <w:tc>
          <w:tcPr>
            <w:tcW w:w="393" w:type="dxa"/>
            <w:tcBorders>
              <w:left w:val="single" w:color="auto" w:sz="4" w:space="0"/>
            </w:tcBorders>
            <w:vAlign w:val="center"/>
          </w:tcPr>
          <w:p w14:paraId="7BD047F4">
            <w:pPr>
              <w:numPr>
                <w:ilvl w:val="0"/>
                <w:numId w:val="8"/>
              </w:numPr>
              <w:tabs>
                <w:tab w:val="left" w:pos="180"/>
              </w:tabs>
              <w:adjustRightInd w:val="0"/>
              <w:snapToGrid w:val="0"/>
              <w:spacing w:line="300" w:lineRule="exact"/>
              <w:ind w:left="0"/>
              <w:jc w:val="center"/>
              <w:rPr>
                <w:rFonts w:hint="eastAsia" w:ascii="宋体" w:hAnsi="宋体" w:eastAsia="宋体" w:cs="宋体"/>
                <w:color w:val="000000" w:themeColor="text1"/>
                <w:kern w:val="0"/>
                <w:sz w:val="21"/>
                <w:szCs w:val="21"/>
                <w14:textFill>
                  <w14:solidFill>
                    <w14:schemeClr w14:val="tx1"/>
                  </w14:solidFill>
                </w14:textFill>
              </w:rPr>
            </w:pPr>
          </w:p>
        </w:tc>
        <w:tc>
          <w:tcPr>
            <w:tcW w:w="1028" w:type="dxa"/>
            <w:tcBorders>
              <w:left w:val="single" w:color="auto" w:sz="4" w:space="0"/>
            </w:tcBorders>
            <w:vAlign w:val="center"/>
          </w:tcPr>
          <w:p w14:paraId="323B86FE">
            <w:pPr>
              <w:adjustRightInd w:val="0"/>
              <w:snapToGrid w:val="0"/>
              <w:spacing w:line="300" w:lineRule="exact"/>
              <w:jc w:val="center"/>
              <w:rPr>
                <w:rFonts w:hint="eastAsia" w:ascii="宋体" w:hAnsi="宋体" w:eastAsia="宋体" w:cs="宋体"/>
                <w:color w:val="000000" w:themeColor="text1"/>
                <w:sz w:val="21"/>
                <w:szCs w:val="21"/>
                <w:highlight w:val="yellow"/>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李永俊</w:t>
            </w:r>
          </w:p>
        </w:tc>
        <w:tc>
          <w:tcPr>
            <w:tcW w:w="1416" w:type="dxa"/>
            <w:vAlign w:val="center"/>
          </w:tcPr>
          <w:p w14:paraId="60F49ADC">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lang w:val="en-US" w:eastAsia="zh-CN"/>
              </w:rPr>
              <w:t>安全生产管理人员</w:t>
            </w:r>
          </w:p>
        </w:tc>
        <w:tc>
          <w:tcPr>
            <w:tcW w:w="1926" w:type="dxa"/>
            <w:vAlign w:val="center"/>
          </w:tcPr>
          <w:p w14:paraId="03755E85">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sz w:val="21"/>
                <w:szCs w:val="21"/>
                <w:lang w:val="en-US" w:eastAsia="zh-CN"/>
              </w:rPr>
              <w:t>FJ</w:t>
            </w:r>
            <w:r>
              <w:rPr>
                <w:rFonts w:hint="eastAsia" w:ascii="宋体" w:hAnsi="宋体" w:eastAsia="宋体" w:cs="宋体"/>
                <w:sz w:val="21"/>
                <w:szCs w:val="21"/>
                <w:lang w:val="en-US" w:eastAsia="zh-CN"/>
              </w:rPr>
              <w:t>7902022FG1384</w:t>
            </w:r>
          </w:p>
        </w:tc>
        <w:tc>
          <w:tcPr>
            <w:tcW w:w="1438" w:type="dxa"/>
            <w:shd w:val="clear" w:color="auto" w:fill="auto"/>
            <w:vAlign w:val="center"/>
          </w:tcPr>
          <w:p w14:paraId="0D394069">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2022.07.21-</w:t>
            </w:r>
          </w:p>
          <w:p w14:paraId="27FCBB57">
            <w:pPr>
              <w:adjustRightInd w:val="0"/>
              <w:snapToGrid w:val="0"/>
              <w:spacing w:line="300" w:lineRule="exact"/>
              <w:jc w:val="center"/>
              <w:rPr>
                <w:rFonts w:hint="eastAsia" w:ascii="宋体" w:hAnsi="宋体" w:eastAsia="宋体" w:cs="宋体"/>
                <w:sz w:val="21"/>
                <w:szCs w:val="21"/>
                <w:lang w:val="en-US" w:eastAsia="zh-CN" w:bidi="ar-SA"/>
              </w:rPr>
            </w:pPr>
            <w:r>
              <w:rPr>
                <w:rFonts w:hint="eastAsia" w:ascii="宋体" w:hAnsi="宋体" w:eastAsia="宋体" w:cs="宋体"/>
                <w:color w:val="000000" w:themeColor="text1"/>
                <w:sz w:val="21"/>
                <w:szCs w:val="21"/>
                <w:lang w:val="en-US" w:eastAsia="zh-CN"/>
                <w14:textFill>
                  <w14:solidFill>
                    <w14:schemeClr w14:val="tx1"/>
                  </w14:solidFill>
                </w14:textFill>
              </w:rPr>
              <w:t>2025.07.20</w:t>
            </w:r>
          </w:p>
        </w:tc>
        <w:tc>
          <w:tcPr>
            <w:tcW w:w="1841" w:type="dxa"/>
            <w:shd w:val="clear" w:color="auto" w:fill="auto"/>
            <w:vAlign w:val="center"/>
          </w:tcPr>
          <w:p w14:paraId="6D497409">
            <w:pPr>
              <w:adjustRightInd w:val="0"/>
              <w:snapToGrid w:val="0"/>
              <w:spacing w:line="300" w:lineRule="exact"/>
              <w:jc w:val="center"/>
              <w:rPr>
                <w:rFonts w:hint="eastAsia" w:ascii="宋体" w:hAnsi="宋体" w:eastAsia="宋体" w:cs="宋体"/>
                <w:sz w:val="21"/>
                <w:szCs w:val="21"/>
                <w:u w:val="none"/>
                <w:lang w:val="en-US" w:eastAsia="zh-CN" w:bidi="ar-SA"/>
              </w:rPr>
            </w:pPr>
            <w:r>
              <w:rPr>
                <w:rFonts w:hint="eastAsia" w:ascii="宋体" w:hAnsi="宋体" w:eastAsia="宋体" w:cs="宋体"/>
                <w:sz w:val="21"/>
                <w:szCs w:val="21"/>
                <w:u w:val="none"/>
                <w:lang w:val="en-US" w:eastAsia="zh-CN"/>
              </w:rPr>
              <w:t>玉溪惠人安全技术服务有限公司</w:t>
            </w:r>
          </w:p>
        </w:tc>
      </w:tr>
    </w:tbl>
    <w:p w14:paraId="3A2452C3">
      <w:pPr>
        <w:adjustRightInd w:val="0"/>
        <w:snapToGrid w:val="0"/>
        <w:spacing w:line="500" w:lineRule="exact"/>
        <w:jc w:val="center"/>
        <w:rPr>
          <w:rFonts w:hint="eastAsia" w:ascii="宋体" w:hAnsi="宋体" w:eastAsia="宋体" w:cs="宋体"/>
          <w:bCs/>
          <w:color w:val="000000" w:themeColor="text1"/>
          <w:sz w:val="24"/>
          <w14:textFill>
            <w14:solidFill>
              <w14:schemeClr w14:val="tx1"/>
            </w14:solidFill>
          </w14:textFill>
        </w:rPr>
      </w:pPr>
    </w:p>
    <w:p w14:paraId="330A320A">
      <w:pPr>
        <w:adjustRightInd w:val="0"/>
        <w:snapToGrid w:val="0"/>
        <w:spacing w:line="360" w:lineRule="auto"/>
        <w:jc w:val="center"/>
        <w:rPr>
          <w:rFonts w:hint="eastAsia" w:ascii="宋体" w:hAnsi="宋体" w:eastAsia="宋体" w:cs="宋体"/>
          <w:bCs/>
          <w:color w:val="000000" w:themeColor="text1"/>
          <w:sz w:val="24"/>
          <w14:textFill>
            <w14:solidFill>
              <w14:schemeClr w14:val="tx1"/>
            </w14:solidFill>
          </w14:textFill>
        </w:rPr>
      </w:pPr>
      <w:r>
        <w:rPr>
          <w:rFonts w:hint="eastAsia" w:ascii="宋体" w:hAnsi="宋体" w:eastAsia="宋体" w:cs="宋体"/>
          <w:bCs/>
          <w:color w:val="000000" w:themeColor="text1"/>
          <w:sz w:val="24"/>
          <w14:textFill>
            <w14:solidFill>
              <w14:schemeClr w14:val="tx1"/>
            </w14:solidFill>
          </w14:textFill>
        </w:rPr>
        <w:t>表2-</w:t>
      </w:r>
      <w:r>
        <w:rPr>
          <w:rFonts w:hint="eastAsia" w:ascii="宋体" w:hAnsi="宋体" w:eastAsia="宋体" w:cs="宋体"/>
          <w:bCs/>
          <w:color w:val="000000" w:themeColor="text1"/>
          <w:sz w:val="24"/>
          <w:lang w:val="en-US" w:eastAsia="zh-CN"/>
          <w14:textFill>
            <w14:solidFill>
              <w14:schemeClr w14:val="tx1"/>
            </w14:solidFill>
          </w14:textFill>
        </w:rPr>
        <w:t>9</w:t>
      </w:r>
      <w:r>
        <w:rPr>
          <w:rFonts w:hint="eastAsia" w:ascii="宋体" w:hAnsi="宋体" w:eastAsia="宋体" w:cs="宋体"/>
          <w:bCs/>
          <w:color w:val="000000" w:themeColor="text1"/>
          <w:sz w:val="24"/>
          <w14:textFill>
            <w14:solidFill>
              <w14:schemeClr w14:val="tx1"/>
            </w14:solidFill>
          </w14:textFill>
        </w:rPr>
        <w:t>特种作业人员持证一览表</w:t>
      </w:r>
    </w:p>
    <w:tbl>
      <w:tblPr>
        <w:tblStyle w:val="52"/>
        <w:tblW w:w="98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
        <w:gridCol w:w="999"/>
        <w:gridCol w:w="1266"/>
        <w:gridCol w:w="1732"/>
        <w:gridCol w:w="2332"/>
        <w:gridCol w:w="1374"/>
        <w:gridCol w:w="1792"/>
      </w:tblGrid>
      <w:tr w14:paraId="4A022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exact"/>
          <w:tblHeader/>
          <w:jc w:val="center"/>
        </w:trPr>
        <w:tc>
          <w:tcPr>
            <w:tcW w:w="351" w:type="dxa"/>
            <w:tcBorders>
              <w:left w:val="single" w:color="auto" w:sz="4" w:space="0"/>
            </w:tcBorders>
            <w:vAlign w:val="center"/>
          </w:tcPr>
          <w:p w14:paraId="0492E76B">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999" w:type="dxa"/>
            <w:tcBorders>
              <w:left w:val="single" w:color="auto" w:sz="4" w:space="0"/>
            </w:tcBorders>
            <w:vAlign w:val="center"/>
          </w:tcPr>
          <w:p w14:paraId="3012B0FF">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姓名</w:t>
            </w:r>
          </w:p>
        </w:tc>
        <w:tc>
          <w:tcPr>
            <w:tcW w:w="1266" w:type="dxa"/>
            <w:vAlign w:val="center"/>
          </w:tcPr>
          <w:p w14:paraId="29703264">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作业类别</w:t>
            </w:r>
          </w:p>
        </w:tc>
        <w:tc>
          <w:tcPr>
            <w:tcW w:w="1732" w:type="dxa"/>
            <w:vAlign w:val="center"/>
          </w:tcPr>
          <w:p w14:paraId="352CA223">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操作项目</w:t>
            </w:r>
          </w:p>
        </w:tc>
        <w:tc>
          <w:tcPr>
            <w:tcW w:w="2332" w:type="dxa"/>
            <w:vAlign w:val="center"/>
          </w:tcPr>
          <w:p w14:paraId="3521BB2D">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证书编号</w:t>
            </w:r>
          </w:p>
        </w:tc>
        <w:tc>
          <w:tcPr>
            <w:tcW w:w="1374" w:type="dxa"/>
            <w:vAlign w:val="center"/>
          </w:tcPr>
          <w:p w14:paraId="1E4C8BC8">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有效期限</w:t>
            </w:r>
          </w:p>
        </w:tc>
        <w:tc>
          <w:tcPr>
            <w:tcW w:w="1792" w:type="dxa"/>
            <w:vAlign w:val="center"/>
          </w:tcPr>
          <w:p w14:paraId="3368D92F">
            <w:pPr>
              <w:adjustRightInd w:val="0"/>
              <w:snapToGrid w:val="0"/>
              <w:spacing w:line="300" w:lineRule="exact"/>
              <w:jc w:val="center"/>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签发机关</w:t>
            </w:r>
          </w:p>
        </w:tc>
      </w:tr>
      <w:tr w14:paraId="362C2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exact"/>
          <w:jc w:val="center"/>
        </w:trPr>
        <w:tc>
          <w:tcPr>
            <w:tcW w:w="351" w:type="dxa"/>
            <w:tcBorders>
              <w:left w:val="single" w:color="auto" w:sz="4" w:space="0"/>
            </w:tcBorders>
            <w:vAlign w:val="center"/>
          </w:tcPr>
          <w:p w14:paraId="5E7BF88C">
            <w:pPr>
              <w:numPr>
                <w:ilvl w:val="0"/>
                <w:numId w:val="9"/>
              </w:numPr>
              <w:tabs>
                <w:tab w:val="left" w:pos="180"/>
              </w:tabs>
              <w:adjustRightInd w:val="0"/>
              <w:snapToGrid w:val="0"/>
              <w:spacing w:line="300" w:lineRule="exact"/>
              <w:ind w:left="0"/>
              <w:jc w:val="center"/>
              <w:rPr>
                <w:rFonts w:hint="eastAsia" w:ascii="宋体" w:hAnsi="宋体" w:eastAsia="宋体" w:cs="宋体"/>
                <w:color w:val="000000" w:themeColor="text1"/>
                <w:kern w:val="0"/>
                <w:sz w:val="21"/>
                <w:szCs w:val="21"/>
                <w14:textFill>
                  <w14:solidFill>
                    <w14:schemeClr w14:val="tx1"/>
                  </w14:solidFill>
                </w14:textFill>
              </w:rPr>
            </w:pPr>
          </w:p>
        </w:tc>
        <w:tc>
          <w:tcPr>
            <w:tcW w:w="999" w:type="dxa"/>
            <w:tcBorders>
              <w:left w:val="single" w:color="auto" w:sz="4" w:space="0"/>
            </w:tcBorders>
            <w:vAlign w:val="center"/>
          </w:tcPr>
          <w:p w14:paraId="1DA91B5E">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柴中镱</w:t>
            </w:r>
          </w:p>
        </w:tc>
        <w:tc>
          <w:tcPr>
            <w:tcW w:w="1266" w:type="dxa"/>
            <w:vAlign w:val="center"/>
          </w:tcPr>
          <w:p w14:paraId="44BEC276">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电工作业</w:t>
            </w:r>
          </w:p>
        </w:tc>
        <w:tc>
          <w:tcPr>
            <w:tcW w:w="1732" w:type="dxa"/>
            <w:vAlign w:val="center"/>
          </w:tcPr>
          <w:p w14:paraId="1B99B70F">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低</w:t>
            </w:r>
            <w:r>
              <w:rPr>
                <w:rFonts w:hint="eastAsia" w:ascii="宋体" w:hAnsi="宋体" w:eastAsia="宋体" w:cs="宋体"/>
                <w:color w:val="000000" w:themeColor="text1"/>
                <w:sz w:val="21"/>
                <w:szCs w:val="21"/>
                <w14:textFill>
                  <w14:solidFill>
                    <w14:schemeClr w14:val="tx1"/>
                  </w14:solidFill>
                </w14:textFill>
              </w:rPr>
              <w:t>压电工作业</w:t>
            </w:r>
          </w:p>
        </w:tc>
        <w:tc>
          <w:tcPr>
            <w:tcW w:w="2332" w:type="dxa"/>
            <w:vAlign w:val="center"/>
          </w:tcPr>
          <w:p w14:paraId="3C1878E9">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T530402198810271211</w:t>
            </w:r>
          </w:p>
        </w:tc>
        <w:tc>
          <w:tcPr>
            <w:tcW w:w="1374" w:type="dxa"/>
            <w:vAlign w:val="center"/>
          </w:tcPr>
          <w:p w14:paraId="630369E9">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2024.10.14-</w:t>
            </w:r>
          </w:p>
          <w:p w14:paraId="78C96958">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2030.10.13</w:t>
            </w:r>
          </w:p>
        </w:tc>
        <w:tc>
          <w:tcPr>
            <w:tcW w:w="1792" w:type="dxa"/>
            <w:vAlign w:val="center"/>
          </w:tcPr>
          <w:p w14:paraId="365F0740">
            <w:pPr>
              <w:adjustRightInd w:val="0"/>
              <w:snapToGrid w:val="0"/>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昆明市应急管局</w:t>
            </w:r>
          </w:p>
        </w:tc>
      </w:tr>
    </w:tbl>
    <w:p w14:paraId="228D448C">
      <w:pPr>
        <w:adjustRightInd w:val="0"/>
        <w:snapToGrid w:val="0"/>
        <w:spacing w:line="500" w:lineRule="exact"/>
        <w:jc w:val="center"/>
        <w:rPr>
          <w:rFonts w:hint="eastAsia" w:ascii="宋体" w:hAnsi="宋体" w:eastAsia="宋体" w:cs="宋体"/>
          <w:bCs/>
          <w:color w:val="000000" w:themeColor="text1"/>
          <w:sz w:val="24"/>
          <w14:textFill>
            <w14:solidFill>
              <w14:schemeClr w14:val="tx1"/>
            </w14:solidFill>
          </w14:textFill>
        </w:rPr>
      </w:pPr>
    </w:p>
    <w:bookmarkEnd w:id="237"/>
    <w:p w14:paraId="640786A0">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239" w:name="_Toc6281"/>
      <w:bookmarkStart w:id="240" w:name="_Toc1418"/>
      <w:bookmarkStart w:id="241" w:name="_Toc31805"/>
      <w:r>
        <w:rPr>
          <w:rFonts w:hint="eastAsia" w:ascii="宋体" w:hAnsi="宋体" w:eastAsia="宋体" w:cs="宋体"/>
          <w:color w:val="000000" w:themeColor="text1"/>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 xml:space="preserve">5 </w:t>
      </w:r>
      <w:r>
        <w:rPr>
          <w:rFonts w:hint="eastAsia" w:ascii="宋体" w:hAnsi="宋体" w:eastAsia="宋体" w:cs="宋体"/>
          <w:color w:val="000000" w:themeColor="text1"/>
          <w14:textFill>
            <w14:solidFill>
              <w14:schemeClr w14:val="tx1"/>
            </w14:solidFill>
          </w14:textFill>
        </w:rPr>
        <w:t>安全生产资金投入</w:t>
      </w:r>
      <w:bookmarkEnd w:id="239"/>
      <w:bookmarkEnd w:id="240"/>
      <w:bookmarkEnd w:id="241"/>
    </w:p>
    <w:p w14:paraId="5A0F2D49">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bookmarkStart w:id="242" w:name="_Toc17317"/>
      <w:r>
        <w:rPr>
          <w:rFonts w:hint="eastAsia" w:ascii="宋体" w:hAnsi="宋体" w:eastAsia="宋体" w:cs="宋体"/>
          <w:color w:val="000000" w:themeColor="text1"/>
          <w:sz w:val="28"/>
          <w:szCs w:val="28"/>
          <w14:textFill>
            <w14:solidFill>
              <w14:schemeClr w14:val="tx1"/>
            </w14:solidFill>
          </w14:textFill>
        </w:rPr>
        <w:t>企业建立了安全费用提取及使用台账，安全费用按照《企业安全生产费用提取和使用管理办法》（</w:t>
      </w:r>
      <w:r>
        <w:rPr>
          <w:rFonts w:hint="eastAsia" w:ascii="宋体" w:hAnsi="宋体" w:eastAsia="宋体" w:cs="宋体"/>
          <w:color w:val="000000" w:themeColor="text1"/>
          <w:sz w:val="28"/>
          <w:szCs w:val="28"/>
          <w:lang w:val="en-US" w:eastAsia="zh-CN"/>
          <w14:textFill>
            <w14:solidFill>
              <w14:schemeClr w14:val="tx1"/>
            </w14:solidFill>
          </w14:textFill>
        </w:rPr>
        <w:t>财资</w:t>
      </w:r>
      <w:r>
        <w:rPr>
          <w:rFonts w:hint="eastAsia" w:ascii="宋体" w:hAnsi="宋体" w:eastAsia="宋体" w:cs="宋体"/>
          <w:color w:val="000000" w:themeColor="text1"/>
          <w:sz w:val="28"/>
          <w:szCs w:val="28"/>
          <w14:textFill>
            <w14:solidFill>
              <w14:schemeClr w14:val="tx1"/>
            </w14:solidFill>
          </w14:textFill>
        </w:rPr>
        <w:t>〔2022〕136号）规定，提取的安全费用在成本中列支，并严格按照安全生产费用管理制度进行审核和提取。企业安全生产费用主要用于安全生产检查、评价、安全咨询服务、安全生产宣传、教育、培训等支出；完善、改造和维护安全防护设施设备支出，包括作业场所的监控、监测、防火、防机械伤害、防坠落、防尘、防毒、防噪声与振动等设施设备支出；配备、维护、保养应急救援器材、设备；配备和更新现场安全标识及作业人员安全防护用品支出；安全设施及特种设备检测检验支出等。企业职业安全卫生投入费用主要用于防护设施建设与维护、个人劳动防护用品购买、工作场所职业卫生检测评价、职业卫生宣传培训、员工健康监护等。</w:t>
      </w:r>
    </w:p>
    <w:p w14:paraId="37D35D93">
      <w:pPr>
        <w:pStyle w:val="71"/>
        <w:keepNext w:val="0"/>
        <w:keepLines w:val="0"/>
        <w:pageBreakBefore w:val="0"/>
        <w:widowControl w:val="0"/>
        <w:kinsoku/>
        <w:wordWrap/>
        <w:overflowPunct/>
        <w:topLinePunct w:val="0"/>
        <w:autoSpaceDE/>
        <w:autoSpaceDN/>
        <w:bidi w:val="0"/>
        <w:adjustRightInd w:val="0"/>
        <w:snapToGrid w:val="0"/>
        <w:spacing w:line="500" w:lineRule="exact"/>
        <w:ind w:firstLine="560"/>
        <w:jc w:val="both"/>
        <w:textAlignment w:val="auto"/>
        <w:outlineLvl w:val="9"/>
        <w:rPr>
          <w:rFonts w:hint="eastAsia" w:ascii="宋体" w:hAnsi="宋体" w:eastAsia="宋体" w:cs="宋体"/>
          <w:b w:val="0"/>
          <w:bCs/>
          <w:color w:val="000000" w:themeColor="text1"/>
          <w:kern w:val="2"/>
          <w:sz w:val="28"/>
          <w:szCs w:val="28"/>
          <w14:textFill>
            <w14:solidFill>
              <w14:schemeClr w14:val="tx1"/>
            </w14:solidFill>
          </w14:textFill>
        </w:rPr>
      </w:pPr>
      <w:r>
        <w:rPr>
          <w:rFonts w:hint="eastAsia" w:ascii="宋体" w:hAnsi="宋体" w:eastAsia="宋体" w:cs="宋体"/>
          <w:b w:val="0"/>
          <w:bCs/>
          <w:color w:val="000000" w:themeColor="text1"/>
          <w:kern w:val="2"/>
          <w:sz w:val="28"/>
          <w:szCs w:val="28"/>
          <w:highlight w:val="none"/>
          <w14:textFill>
            <w14:solidFill>
              <w14:schemeClr w14:val="tx1"/>
            </w14:solidFill>
          </w14:textFill>
        </w:rPr>
        <w:t>企业202</w:t>
      </w:r>
      <w:r>
        <w:rPr>
          <w:rFonts w:hint="eastAsia" w:ascii="宋体" w:hAnsi="宋体" w:eastAsia="宋体" w:cs="宋体"/>
          <w:b w:val="0"/>
          <w:bCs/>
          <w:color w:val="000000" w:themeColor="text1"/>
          <w:kern w:val="2"/>
          <w:sz w:val="28"/>
          <w:szCs w:val="28"/>
          <w:highlight w:val="none"/>
          <w:lang w:val="en-US" w:eastAsia="zh-CN"/>
          <w14:textFill>
            <w14:solidFill>
              <w14:schemeClr w14:val="tx1"/>
            </w14:solidFill>
          </w14:textFill>
        </w:rPr>
        <w:t>4</w:t>
      </w:r>
      <w:r>
        <w:rPr>
          <w:rFonts w:hint="eastAsia" w:ascii="宋体" w:hAnsi="宋体" w:eastAsia="宋体" w:cs="宋体"/>
          <w:b w:val="0"/>
          <w:bCs/>
          <w:color w:val="000000" w:themeColor="text1"/>
          <w:kern w:val="2"/>
          <w:sz w:val="28"/>
          <w:szCs w:val="28"/>
          <w:highlight w:val="none"/>
          <w14:textFill>
            <w14:solidFill>
              <w14:schemeClr w14:val="tx1"/>
            </w14:solidFill>
          </w14:textFill>
        </w:rPr>
        <w:t>年</w:t>
      </w:r>
      <w:r>
        <w:rPr>
          <w:rFonts w:hint="eastAsia" w:ascii="宋体" w:hAnsi="宋体" w:eastAsia="宋体" w:cs="宋体"/>
          <w:b w:val="0"/>
          <w:bCs/>
          <w:color w:val="000000" w:themeColor="text1"/>
          <w:kern w:val="2"/>
          <w:sz w:val="28"/>
          <w:szCs w:val="28"/>
          <w:highlight w:val="none"/>
          <w:lang w:val="en-US" w:eastAsia="zh-CN"/>
          <w14:textFill>
            <w14:solidFill>
              <w14:schemeClr w14:val="tx1"/>
            </w14:solidFill>
          </w14:textFill>
        </w:rPr>
        <w:t>1-12月</w:t>
      </w:r>
      <w:r>
        <w:rPr>
          <w:rFonts w:hint="eastAsia" w:ascii="宋体" w:hAnsi="宋体" w:eastAsia="宋体" w:cs="宋体"/>
          <w:b w:val="0"/>
          <w:bCs/>
          <w:color w:val="000000" w:themeColor="text1"/>
          <w:kern w:val="2"/>
          <w:sz w:val="28"/>
          <w:szCs w:val="28"/>
          <w:highlight w:val="none"/>
          <w14:textFill>
            <w14:solidFill>
              <w14:schemeClr w14:val="tx1"/>
            </w14:solidFill>
          </w14:textFill>
        </w:rPr>
        <w:t>安全专项资金投入明细见表</w:t>
      </w:r>
      <w:r>
        <w:rPr>
          <w:rFonts w:hint="eastAsia" w:ascii="宋体" w:hAnsi="宋体" w:eastAsia="宋体" w:cs="宋体"/>
          <w:b w:val="0"/>
          <w:bCs/>
          <w:color w:val="000000" w:themeColor="text1"/>
          <w:kern w:val="2"/>
          <w:sz w:val="28"/>
          <w:szCs w:val="28"/>
          <w:highlight w:val="none"/>
          <w:lang w:val="en-US" w:eastAsia="zh-CN"/>
          <w14:textFill>
            <w14:solidFill>
              <w14:schemeClr w14:val="tx1"/>
            </w14:solidFill>
          </w14:textFill>
        </w:rPr>
        <w:t>2-12</w:t>
      </w:r>
      <w:r>
        <w:rPr>
          <w:rFonts w:hint="eastAsia" w:ascii="宋体" w:hAnsi="宋体" w:eastAsia="宋体" w:cs="宋体"/>
          <w:b w:val="0"/>
          <w:bCs/>
          <w:color w:val="000000" w:themeColor="text1"/>
          <w:kern w:val="2"/>
          <w:sz w:val="28"/>
          <w:szCs w:val="28"/>
          <w:highlight w:val="none"/>
          <w14:textFill>
            <w14:solidFill>
              <w14:schemeClr w14:val="tx1"/>
            </w14:solidFill>
          </w14:textFill>
        </w:rPr>
        <w:t>。</w:t>
      </w:r>
    </w:p>
    <w:p w14:paraId="598FEF48">
      <w:pPr>
        <w:pStyle w:val="71"/>
        <w:keepNext w:val="0"/>
        <w:keepLines w:val="0"/>
        <w:pageBreakBefore w:val="0"/>
        <w:widowControl w:val="0"/>
        <w:kinsoku/>
        <w:wordWrap/>
        <w:overflowPunct/>
        <w:topLinePunct w:val="0"/>
        <w:autoSpaceDE/>
        <w:autoSpaceDN/>
        <w:bidi w:val="0"/>
        <w:adjustRightInd w:val="0"/>
        <w:snapToGrid w:val="0"/>
        <w:spacing w:line="500" w:lineRule="exact"/>
        <w:ind w:firstLine="560"/>
        <w:jc w:val="center"/>
        <w:textAlignment w:val="auto"/>
        <w:outlineLvl w:val="9"/>
        <w:rPr>
          <w:rFonts w:hint="eastAsia" w:ascii="宋体" w:hAnsi="宋体" w:eastAsia="宋体" w:cs="宋体"/>
          <w:color w:val="000000" w:themeColor="text1"/>
          <w:szCs w:val="21"/>
          <w14:textFill>
            <w14:solidFill>
              <w14:schemeClr w14:val="tx1"/>
            </w14:solidFill>
          </w14:textFill>
        </w:rPr>
      </w:pPr>
    </w:p>
    <w:p w14:paraId="17BC5C01">
      <w:pPr>
        <w:pStyle w:val="71"/>
        <w:keepNext w:val="0"/>
        <w:keepLines w:val="0"/>
        <w:pageBreakBefore w:val="0"/>
        <w:widowControl w:val="0"/>
        <w:kinsoku/>
        <w:wordWrap/>
        <w:overflowPunct/>
        <w:topLinePunct w:val="0"/>
        <w:autoSpaceDE/>
        <w:autoSpaceDN/>
        <w:bidi w:val="0"/>
        <w:adjustRightInd w:val="0"/>
        <w:snapToGrid w:val="0"/>
        <w:spacing w:line="500" w:lineRule="exact"/>
        <w:ind w:firstLine="560"/>
        <w:jc w:val="center"/>
        <w:textAlignment w:val="auto"/>
        <w:outlineLvl w:val="9"/>
        <w:rPr>
          <w:rFonts w:hint="eastAsia" w:ascii="宋体" w:hAnsi="宋体" w:eastAsia="宋体" w:cs="宋体"/>
          <w:color w:val="000000" w:themeColor="text1"/>
          <w:szCs w:val="21"/>
          <w14:textFill>
            <w14:solidFill>
              <w14:schemeClr w14:val="tx1"/>
            </w14:solidFill>
          </w14:textFill>
        </w:rPr>
      </w:pPr>
    </w:p>
    <w:p w14:paraId="6CCCC4A3">
      <w:pPr>
        <w:pStyle w:val="71"/>
        <w:keepNext w:val="0"/>
        <w:keepLines w:val="0"/>
        <w:pageBreakBefore w:val="0"/>
        <w:widowControl w:val="0"/>
        <w:kinsoku/>
        <w:wordWrap/>
        <w:overflowPunct/>
        <w:topLinePunct w:val="0"/>
        <w:autoSpaceDE/>
        <w:autoSpaceDN/>
        <w:bidi w:val="0"/>
        <w:adjustRightInd w:val="0"/>
        <w:snapToGrid w:val="0"/>
        <w:spacing w:line="500" w:lineRule="exact"/>
        <w:ind w:firstLine="560"/>
        <w:jc w:val="center"/>
        <w:textAlignment w:val="auto"/>
        <w:outlineLvl w:val="9"/>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表2-1</w:t>
      </w:r>
      <w:r>
        <w:rPr>
          <w:rFonts w:hint="eastAsia" w:ascii="宋体" w:hAnsi="宋体" w:eastAsia="宋体" w:cs="宋体"/>
          <w:color w:val="000000" w:themeColor="text1"/>
          <w:szCs w:val="21"/>
          <w:lang w:val="en-US" w:eastAsia="zh-CN"/>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 xml:space="preserve"> 202</w:t>
      </w:r>
      <w:r>
        <w:rPr>
          <w:rFonts w:hint="eastAsia" w:ascii="宋体" w:hAnsi="宋体" w:eastAsia="宋体" w:cs="宋体"/>
          <w:color w:val="000000" w:themeColor="text1"/>
          <w:szCs w:val="21"/>
          <w:lang w:val="en-US" w:eastAsia="zh-CN"/>
          <w14:textFill>
            <w14:solidFill>
              <w14:schemeClr w14:val="tx1"/>
            </w14:solidFill>
          </w14:textFill>
        </w:rPr>
        <w:t>4</w:t>
      </w:r>
      <w:r>
        <w:rPr>
          <w:rFonts w:hint="eastAsia" w:ascii="宋体" w:hAnsi="宋体" w:eastAsia="宋体" w:cs="宋体"/>
          <w:color w:val="000000" w:themeColor="text1"/>
          <w:szCs w:val="21"/>
          <w14:textFill>
            <w14:solidFill>
              <w14:schemeClr w14:val="tx1"/>
            </w14:solidFill>
          </w14:textFill>
        </w:rPr>
        <w:t>年</w:t>
      </w:r>
      <w:r>
        <w:rPr>
          <w:rFonts w:hint="eastAsia" w:ascii="宋体" w:hAnsi="宋体" w:eastAsia="宋体" w:cs="宋体"/>
          <w:color w:val="000000" w:themeColor="text1"/>
          <w:szCs w:val="21"/>
          <w:lang w:eastAsia="zh-CN"/>
          <w14:textFill>
            <w14:solidFill>
              <w14:schemeClr w14:val="tx1"/>
            </w14:solidFill>
          </w14:textFill>
        </w:rPr>
        <w:t>（</w:t>
      </w:r>
      <w:r>
        <w:rPr>
          <w:rFonts w:hint="eastAsia" w:ascii="宋体" w:hAnsi="宋体" w:eastAsia="宋体" w:cs="宋体"/>
          <w:color w:val="000000" w:themeColor="text1"/>
          <w:szCs w:val="21"/>
          <w:lang w:val="en-US" w:eastAsia="zh-CN"/>
          <w14:textFill>
            <w14:solidFill>
              <w14:schemeClr w14:val="tx1"/>
            </w14:solidFill>
          </w14:textFill>
        </w:rPr>
        <w:t>1-12月</w:t>
      </w:r>
      <w:r>
        <w:rPr>
          <w:rFonts w:hint="eastAsia" w:ascii="宋体" w:hAnsi="宋体" w:eastAsia="宋体" w:cs="宋体"/>
          <w:color w:val="000000" w:themeColor="text1"/>
          <w:szCs w:val="21"/>
          <w:lang w:eastAsia="zh-CN"/>
          <w14:textFill>
            <w14:solidFill>
              <w14:schemeClr w14:val="tx1"/>
            </w14:solidFill>
          </w14:textFill>
        </w:rPr>
        <w:t>）</w:t>
      </w:r>
      <w:r>
        <w:rPr>
          <w:rFonts w:hint="eastAsia" w:ascii="宋体" w:hAnsi="宋体" w:eastAsia="宋体" w:cs="宋体"/>
          <w:color w:val="000000" w:themeColor="text1"/>
          <w:szCs w:val="21"/>
          <w14:textFill>
            <w14:solidFill>
              <w14:schemeClr w14:val="tx1"/>
            </w14:solidFill>
          </w14:textFill>
        </w:rPr>
        <w:t>安全费用投入明细</w:t>
      </w:r>
    </w:p>
    <w:tbl>
      <w:tblPr>
        <w:tblStyle w:val="53"/>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459"/>
        <w:gridCol w:w="2385"/>
        <w:gridCol w:w="2088"/>
      </w:tblGrid>
      <w:tr w14:paraId="79FF7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1008" w:type="dxa"/>
            <w:vAlign w:val="center"/>
          </w:tcPr>
          <w:p w14:paraId="20FFCD1E">
            <w:pPr>
              <w:tabs>
                <w:tab w:val="left" w:pos="2700"/>
              </w:tabs>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序号</w:t>
            </w:r>
          </w:p>
        </w:tc>
        <w:tc>
          <w:tcPr>
            <w:tcW w:w="3459" w:type="dxa"/>
            <w:vAlign w:val="center"/>
          </w:tcPr>
          <w:p w14:paraId="0E579296">
            <w:pPr>
              <w:tabs>
                <w:tab w:val="left" w:pos="2700"/>
              </w:tabs>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项目</w:t>
            </w:r>
          </w:p>
        </w:tc>
        <w:tc>
          <w:tcPr>
            <w:tcW w:w="2385" w:type="dxa"/>
            <w:vAlign w:val="center"/>
          </w:tcPr>
          <w:p w14:paraId="35CE9636">
            <w:pPr>
              <w:tabs>
                <w:tab w:val="left" w:pos="2700"/>
              </w:tabs>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支出费用（元）</w:t>
            </w:r>
          </w:p>
        </w:tc>
        <w:tc>
          <w:tcPr>
            <w:tcW w:w="2088" w:type="dxa"/>
            <w:vAlign w:val="center"/>
          </w:tcPr>
          <w:p w14:paraId="06ABF607">
            <w:pPr>
              <w:tabs>
                <w:tab w:val="left" w:pos="2700"/>
              </w:tabs>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备注</w:t>
            </w:r>
          </w:p>
        </w:tc>
      </w:tr>
      <w:tr w14:paraId="05A5A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7D3C5535">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p>
        </w:tc>
        <w:tc>
          <w:tcPr>
            <w:tcW w:w="3459" w:type="dxa"/>
            <w:vAlign w:val="center"/>
          </w:tcPr>
          <w:p w14:paraId="472094DE">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应急照明配置</w:t>
            </w:r>
          </w:p>
        </w:tc>
        <w:tc>
          <w:tcPr>
            <w:tcW w:w="2385" w:type="dxa"/>
            <w:vAlign w:val="center"/>
          </w:tcPr>
          <w:p w14:paraId="1038F4FF">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11</w:t>
            </w:r>
            <w:r>
              <w:rPr>
                <w:rFonts w:hint="eastAsia" w:ascii="宋体" w:hAnsi="宋体" w:eastAsia="宋体" w:cs="宋体"/>
                <w:color w:val="000000" w:themeColor="text1"/>
                <w:szCs w:val="21"/>
                <w:lang w:val="en-US" w:eastAsia="zh-CN"/>
                <w14:textFill>
                  <w14:solidFill>
                    <w14:schemeClr w14:val="tx1"/>
                  </w14:solidFill>
                </w14:textFill>
              </w:rPr>
              <w:t>80</w:t>
            </w:r>
          </w:p>
        </w:tc>
        <w:tc>
          <w:tcPr>
            <w:tcW w:w="2088" w:type="dxa"/>
            <w:vAlign w:val="center"/>
          </w:tcPr>
          <w:p w14:paraId="3C7776D6">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2BE55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07E97AD4">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p>
        </w:tc>
        <w:tc>
          <w:tcPr>
            <w:tcW w:w="3459" w:type="dxa"/>
            <w:vAlign w:val="center"/>
          </w:tcPr>
          <w:p w14:paraId="000E3D7C">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警示标志更新设置</w:t>
            </w:r>
          </w:p>
        </w:tc>
        <w:tc>
          <w:tcPr>
            <w:tcW w:w="2385" w:type="dxa"/>
            <w:vAlign w:val="center"/>
          </w:tcPr>
          <w:p w14:paraId="08200E07">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98</w:t>
            </w:r>
            <w:r>
              <w:rPr>
                <w:rFonts w:hint="eastAsia" w:ascii="宋体" w:hAnsi="宋体" w:eastAsia="宋体" w:cs="宋体"/>
                <w:color w:val="000000" w:themeColor="text1"/>
                <w:szCs w:val="21"/>
                <w:lang w:val="en-US" w:eastAsia="zh-CN"/>
                <w14:textFill>
                  <w14:solidFill>
                    <w14:schemeClr w14:val="tx1"/>
                  </w14:solidFill>
                </w14:textFill>
              </w:rPr>
              <w:t>0</w:t>
            </w:r>
          </w:p>
        </w:tc>
        <w:tc>
          <w:tcPr>
            <w:tcW w:w="2088" w:type="dxa"/>
            <w:vAlign w:val="center"/>
          </w:tcPr>
          <w:p w14:paraId="24E46338">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17010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46B55F70">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w:t>
            </w:r>
          </w:p>
        </w:tc>
        <w:tc>
          <w:tcPr>
            <w:tcW w:w="3459" w:type="dxa"/>
            <w:vAlign w:val="center"/>
          </w:tcPr>
          <w:p w14:paraId="168EFA3E">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劳动防护用品配备</w:t>
            </w:r>
          </w:p>
        </w:tc>
        <w:tc>
          <w:tcPr>
            <w:tcW w:w="2385" w:type="dxa"/>
            <w:vAlign w:val="center"/>
          </w:tcPr>
          <w:p w14:paraId="20902ACA">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3</w:t>
            </w:r>
            <w:r>
              <w:rPr>
                <w:rFonts w:hint="eastAsia" w:ascii="宋体" w:hAnsi="宋体" w:eastAsia="宋体" w:cs="宋体"/>
                <w:color w:val="000000" w:themeColor="text1"/>
                <w:szCs w:val="21"/>
                <w:lang w:val="en-US" w:eastAsia="zh-CN"/>
                <w14:textFill>
                  <w14:solidFill>
                    <w14:schemeClr w14:val="tx1"/>
                  </w14:solidFill>
                </w14:textFill>
              </w:rPr>
              <w:t>260</w:t>
            </w:r>
          </w:p>
        </w:tc>
        <w:tc>
          <w:tcPr>
            <w:tcW w:w="2088" w:type="dxa"/>
            <w:vAlign w:val="center"/>
          </w:tcPr>
          <w:p w14:paraId="247C6051">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5D389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51B5B57F">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4</w:t>
            </w:r>
          </w:p>
        </w:tc>
        <w:tc>
          <w:tcPr>
            <w:tcW w:w="3459" w:type="dxa"/>
            <w:vAlign w:val="center"/>
          </w:tcPr>
          <w:p w14:paraId="2B418EE9">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安全培训、应急演练</w:t>
            </w:r>
          </w:p>
        </w:tc>
        <w:tc>
          <w:tcPr>
            <w:tcW w:w="2385" w:type="dxa"/>
            <w:vAlign w:val="center"/>
          </w:tcPr>
          <w:p w14:paraId="728EFF26">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1</w:t>
            </w:r>
            <w:r>
              <w:rPr>
                <w:rFonts w:hint="eastAsia" w:ascii="宋体" w:hAnsi="宋体" w:eastAsia="宋体" w:cs="宋体"/>
                <w:color w:val="000000" w:themeColor="text1"/>
                <w:szCs w:val="21"/>
                <w:lang w:val="en-US" w:eastAsia="zh-CN"/>
                <w14:textFill>
                  <w14:solidFill>
                    <w14:schemeClr w14:val="tx1"/>
                  </w14:solidFill>
                </w14:textFill>
              </w:rPr>
              <w:t>9</w:t>
            </w:r>
            <w:r>
              <w:rPr>
                <w:rFonts w:hint="eastAsia" w:ascii="宋体" w:hAnsi="宋体" w:eastAsia="宋体" w:cs="宋体"/>
                <w:color w:val="000000" w:themeColor="text1"/>
                <w:szCs w:val="21"/>
                <w:lang w:val="en-US" w:eastAsia="zh-CN"/>
                <w14:textFill>
                  <w14:solidFill>
                    <w14:schemeClr w14:val="tx1"/>
                  </w14:solidFill>
                </w14:textFill>
              </w:rPr>
              <w:t>80</w:t>
            </w:r>
          </w:p>
        </w:tc>
        <w:tc>
          <w:tcPr>
            <w:tcW w:w="2088" w:type="dxa"/>
            <w:vAlign w:val="center"/>
          </w:tcPr>
          <w:p w14:paraId="22E00748">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57E8A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78C08639">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5</w:t>
            </w:r>
          </w:p>
        </w:tc>
        <w:tc>
          <w:tcPr>
            <w:tcW w:w="3459" w:type="dxa"/>
            <w:vAlign w:val="center"/>
          </w:tcPr>
          <w:p w14:paraId="4A130D26">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应急救援物资、消防器材配备</w:t>
            </w:r>
          </w:p>
        </w:tc>
        <w:tc>
          <w:tcPr>
            <w:tcW w:w="2385" w:type="dxa"/>
            <w:vAlign w:val="center"/>
          </w:tcPr>
          <w:p w14:paraId="7E10979A">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4</w:t>
            </w:r>
            <w:r>
              <w:rPr>
                <w:rFonts w:hint="eastAsia" w:ascii="宋体" w:hAnsi="宋体" w:eastAsia="宋体" w:cs="宋体"/>
                <w:color w:val="000000" w:themeColor="text1"/>
                <w:szCs w:val="21"/>
                <w:lang w:val="en-US" w:eastAsia="zh-CN"/>
                <w14:textFill>
                  <w14:solidFill>
                    <w14:schemeClr w14:val="tx1"/>
                  </w14:solidFill>
                </w14:textFill>
              </w:rPr>
              <w:t>88</w:t>
            </w:r>
            <w:r>
              <w:rPr>
                <w:rFonts w:hint="eastAsia" w:ascii="宋体" w:hAnsi="宋体" w:eastAsia="宋体" w:cs="宋体"/>
                <w:color w:val="000000" w:themeColor="text1"/>
                <w:szCs w:val="21"/>
                <w:lang w:val="en-US" w:eastAsia="zh-CN"/>
                <w14:textFill>
                  <w14:solidFill>
                    <w14:schemeClr w14:val="tx1"/>
                  </w14:solidFill>
                </w14:textFill>
              </w:rPr>
              <w:t>0</w:t>
            </w:r>
          </w:p>
        </w:tc>
        <w:tc>
          <w:tcPr>
            <w:tcW w:w="2088" w:type="dxa"/>
            <w:vAlign w:val="center"/>
          </w:tcPr>
          <w:p w14:paraId="2980F1DD">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7FD28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0F2B0E38">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6</w:t>
            </w:r>
          </w:p>
        </w:tc>
        <w:tc>
          <w:tcPr>
            <w:tcW w:w="3459" w:type="dxa"/>
            <w:vAlign w:val="center"/>
          </w:tcPr>
          <w:p w14:paraId="302F49F7">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安全隐患整改投入</w:t>
            </w:r>
          </w:p>
        </w:tc>
        <w:tc>
          <w:tcPr>
            <w:tcW w:w="2385" w:type="dxa"/>
            <w:vAlign w:val="center"/>
          </w:tcPr>
          <w:p w14:paraId="064A3D4E">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3</w:t>
            </w:r>
            <w:r>
              <w:rPr>
                <w:rFonts w:hint="eastAsia" w:ascii="宋体" w:hAnsi="宋体" w:eastAsia="宋体" w:cs="宋体"/>
                <w:color w:val="000000" w:themeColor="text1"/>
                <w:szCs w:val="21"/>
                <w:lang w:val="en-US" w:eastAsia="zh-CN"/>
                <w14:textFill>
                  <w14:solidFill>
                    <w14:schemeClr w14:val="tx1"/>
                  </w14:solidFill>
                </w14:textFill>
              </w:rPr>
              <w:t>60</w:t>
            </w:r>
            <w:r>
              <w:rPr>
                <w:rFonts w:hint="eastAsia" w:ascii="宋体" w:hAnsi="宋体" w:eastAsia="宋体" w:cs="宋体"/>
                <w:color w:val="000000" w:themeColor="text1"/>
                <w:szCs w:val="21"/>
                <w:lang w:val="en-US" w:eastAsia="zh-CN"/>
                <w14:textFill>
                  <w14:solidFill>
                    <w14:schemeClr w14:val="tx1"/>
                  </w14:solidFill>
                </w14:textFill>
              </w:rPr>
              <w:t>0</w:t>
            </w:r>
          </w:p>
        </w:tc>
        <w:tc>
          <w:tcPr>
            <w:tcW w:w="2088" w:type="dxa"/>
            <w:vAlign w:val="center"/>
          </w:tcPr>
          <w:p w14:paraId="723DF172">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0EF83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1434FF5E">
            <w:pPr>
              <w:tabs>
                <w:tab w:val="left" w:pos="2700"/>
              </w:tabs>
              <w:adjustRightInd w:val="0"/>
              <w:snapToGrid w:val="0"/>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7</w:t>
            </w:r>
          </w:p>
        </w:tc>
        <w:tc>
          <w:tcPr>
            <w:tcW w:w="3459" w:type="dxa"/>
            <w:vAlign w:val="center"/>
          </w:tcPr>
          <w:p w14:paraId="4468CF27">
            <w:pPr>
              <w:tabs>
                <w:tab w:val="left" w:pos="2700"/>
              </w:tabs>
              <w:adjustRightInd w:val="0"/>
              <w:snapToGrid w:val="0"/>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应急预案编制</w:t>
            </w:r>
          </w:p>
        </w:tc>
        <w:tc>
          <w:tcPr>
            <w:tcW w:w="2385" w:type="dxa"/>
            <w:vAlign w:val="center"/>
          </w:tcPr>
          <w:p w14:paraId="7303E80E">
            <w:pPr>
              <w:tabs>
                <w:tab w:val="left" w:pos="2700"/>
              </w:tabs>
              <w:adjustRightInd w:val="0"/>
              <w:snapToGrid w:val="0"/>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8</w:t>
            </w:r>
            <w:r>
              <w:rPr>
                <w:rFonts w:hint="eastAsia" w:ascii="宋体" w:hAnsi="宋体" w:eastAsia="宋体" w:cs="宋体"/>
                <w:color w:val="000000" w:themeColor="text1"/>
                <w:szCs w:val="21"/>
                <w:lang w:val="en-US" w:eastAsia="zh-CN"/>
                <w14:textFill>
                  <w14:solidFill>
                    <w14:schemeClr w14:val="tx1"/>
                  </w14:solidFill>
                </w14:textFill>
              </w:rPr>
              <w:t>0</w:t>
            </w:r>
            <w:r>
              <w:rPr>
                <w:rFonts w:hint="eastAsia" w:ascii="宋体" w:hAnsi="宋体" w:eastAsia="宋体" w:cs="宋体"/>
                <w:color w:val="000000" w:themeColor="text1"/>
                <w:szCs w:val="21"/>
                <w:lang w:val="en-US" w:eastAsia="zh-CN"/>
                <w14:textFill>
                  <w14:solidFill>
                    <w14:schemeClr w14:val="tx1"/>
                  </w14:solidFill>
                </w14:textFill>
              </w:rPr>
              <w:t>00</w:t>
            </w:r>
          </w:p>
        </w:tc>
        <w:tc>
          <w:tcPr>
            <w:tcW w:w="2088" w:type="dxa"/>
            <w:vAlign w:val="center"/>
          </w:tcPr>
          <w:p w14:paraId="2B64C0AA">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5FD6B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1E5677F9">
            <w:pPr>
              <w:tabs>
                <w:tab w:val="left" w:pos="2700"/>
              </w:tabs>
              <w:adjustRightInd w:val="0"/>
              <w:snapToGrid w:val="0"/>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8</w:t>
            </w:r>
          </w:p>
        </w:tc>
        <w:tc>
          <w:tcPr>
            <w:tcW w:w="3459" w:type="dxa"/>
            <w:vAlign w:val="center"/>
          </w:tcPr>
          <w:p w14:paraId="39BE5FC3">
            <w:pPr>
              <w:tabs>
                <w:tab w:val="left" w:pos="2700"/>
              </w:tabs>
              <w:adjustRightInd w:val="0"/>
              <w:snapToGrid w:val="0"/>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安全评价</w:t>
            </w:r>
          </w:p>
        </w:tc>
        <w:tc>
          <w:tcPr>
            <w:tcW w:w="2385" w:type="dxa"/>
            <w:vAlign w:val="center"/>
          </w:tcPr>
          <w:p w14:paraId="56C820D0">
            <w:pPr>
              <w:tabs>
                <w:tab w:val="left" w:pos="2700"/>
              </w:tabs>
              <w:adjustRightInd w:val="0"/>
              <w:snapToGrid w:val="0"/>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20</w:t>
            </w:r>
            <w:r>
              <w:rPr>
                <w:rFonts w:hint="eastAsia" w:ascii="宋体" w:hAnsi="宋体" w:eastAsia="宋体" w:cs="宋体"/>
                <w:color w:val="000000" w:themeColor="text1"/>
                <w:szCs w:val="21"/>
                <w:lang w:val="en-US" w:eastAsia="zh-CN"/>
                <w14:textFill>
                  <w14:solidFill>
                    <w14:schemeClr w14:val="tx1"/>
                  </w14:solidFill>
                </w14:textFill>
              </w:rPr>
              <w:t>000</w:t>
            </w:r>
          </w:p>
        </w:tc>
        <w:tc>
          <w:tcPr>
            <w:tcW w:w="2088" w:type="dxa"/>
            <w:vAlign w:val="center"/>
          </w:tcPr>
          <w:p w14:paraId="03D3D6D7">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7B5B4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0CB4214C">
            <w:pPr>
              <w:tabs>
                <w:tab w:val="left" w:pos="2700"/>
              </w:tabs>
              <w:adjustRightInd w:val="0"/>
              <w:snapToGrid w:val="0"/>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9</w:t>
            </w:r>
          </w:p>
        </w:tc>
        <w:tc>
          <w:tcPr>
            <w:tcW w:w="3459" w:type="dxa"/>
            <w:vAlign w:val="center"/>
          </w:tcPr>
          <w:p w14:paraId="08CFA1F8">
            <w:pPr>
              <w:tabs>
                <w:tab w:val="left" w:pos="2700"/>
              </w:tabs>
              <w:adjustRightInd w:val="0"/>
              <w:snapToGrid w:val="0"/>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保险费</w:t>
            </w:r>
          </w:p>
        </w:tc>
        <w:tc>
          <w:tcPr>
            <w:tcW w:w="2385" w:type="dxa"/>
            <w:vAlign w:val="center"/>
          </w:tcPr>
          <w:p w14:paraId="6458E40D">
            <w:pPr>
              <w:tabs>
                <w:tab w:val="left" w:pos="2700"/>
              </w:tabs>
              <w:adjustRightInd w:val="0"/>
              <w:snapToGrid w:val="0"/>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8712</w:t>
            </w:r>
          </w:p>
        </w:tc>
        <w:tc>
          <w:tcPr>
            <w:tcW w:w="2088" w:type="dxa"/>
            <w:vAlign w:val="center"/>
          </w:tcPr>
          <w:p w14:paraId="52BBD1CF">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50D1B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5F9EEA06">
            <w:pPr>
              <w:tabs>
                <w:tab w:val="left" w:pos="2700"/>
              </w:tabs>
              <w:adjustRightInd w:val="0"/>
              <w:snapToGrid w:val="0"/>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10</w:t>
            </w:r>
          </w:p>
        </w:tc>
        <w:tc>
          <w:tcPr>
            <w:tcW w:w="3459" w:type="dxa"/>
            <w:vAlign w:val="center"/>
          </w:tcPr>
          <w:p w14:paraId="468A496D">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合计</w:t>
            </w:r>
          </w:p>
        </w:tc>
        <w:tc>
          <w:tcPr>
            <w:tcW w:w="2385" w:type="dxa"/>
            <w:vAlign w:val="center"/>
          </w:tcPr>
          <w:p w14:paraId="7740615A">
            <w:pPr>
              <w:tabs>
                <w:tab w:val="left" w:pos="2700"/>
              </w:tabs>
              <w:adjustRightInd w:val="0"/>
              <w:snapToGrid w:val="0"/>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52592</w:t>
            </w:r>
          </w:p>
        </w:tc>
        <w:tc>
          <w:tcPr>
            <w:tcW w:w="2088" w:type="dxa"/>
            <w:vAlign w:val="center"/>
          </w:tcPr>
          <w:p w14:paraId="6D6BDCEF">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bookmarkEnd w:id="242"/>
    </w:tbl>
    <w:p w14:paraId="2F520509">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zh-CN" w:eastAsia="zh-CN"/>
          <w14:textFill>
            <w14:solidFill>
              <w14:schemeClr w14:val="tx1"/>
            </w14:solidFill>
          </w14:textFill>
        </w:rPr>
      </w:pPr>
      <w:bookmarkStart w:id="243" w:name="_Toc12615"/>
      <w:bookmarkStart w:id="244" w:name="_Toc78190030"/>
      <w:bookmarkStart w:id="245" w:name="_Toc15418"/>
      <w:bookmarkStart w:id="246" w:name="bookmark3"/>
      <w:bookmarkStart w:id="247" w:name="_Toc4541"/>
      <w:r>
        <w:rPr>
          <w:rFonts w:hint="eastAsia" w:ascii="宋体" w:hAnsi="宋体" w:eastAsia="宋体" w:cs="宋体"/>
          <w:color w:val="000000" w:themeColor="text1"/>
          <w:lang w:val="zh-CN" w:eastAsia="zh-CN"/>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lang w:val="zh-CN"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 xml:space="preserve">6 </w:t>
      </w:r>
      <w:r>
        <w:rPr>
          <w:rFonts w:hint="eastAsia" w:ascii="宋体" w:hAnsi="宋体" w:eastAsia="宋体" w:cs="宋体"/>
          <w:color w:val="000000" w:themeColor="text1"/>
          <w:lang w:val="zh-CN" w:eastAsia="zh-CN"/>
          <w14:textFill>
            <w14:solidFill>
              <w14:schemeClr w14:val="tx1"/>
            </w14:solidFill>
          </w14:textFill>
        </w:rPr>
        <w:t>劳动防护用品的配备</w:t>
      </w:r>
      <w:bookmarkEnd w:id="243"/>
      <w:bookmarkEnd w:id="244"/>
      <w:bookmarkEnd w:id="245"/>
    </w:p>
    <w:p w14:paraId="37A9EED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公司为员工配发了劳动防护用品，能满足安全生产的需要。主要配发了</w:t>
      </w:r>
      <w:r>
        <w:rPr>
          <w:rFonts w:hint="eastAsia" w:ascii="宋体" w:hAnsi="宋体" w:eastAsia="宋体" w:cs="宋体"/>
          <w:color w:val="000000" w:themeColor="text1"/>
          <w:sz w:val="28"/>
          <w:szCs w:val="28"/>
          <w:lang w:val="en-US" w:eastAsia="zh-CN"/>
          <w14:textFill>
            <w14:solidFill>
              <w14:schemeClr w14:val="tx1"/>
            </w14:solidFill>
          </w14:textFill>
        </w:rPr>
        <w:t>防尘口罩、</w:t>
      </w:r>
      <w:r>
        <w:rPr>
          <w:rFonts w:hint="eastAsia" w:ascii="宋体" w:hAnsi="宋体" w:eastAsia="宋体" w:cs="宋体"/>
          <w:color w:val="000000" w:themeColor="text1"/>
          <w:sz w:val="28"/>
          <w:szCs w:val="28"/>
          <w:lang w:val="zh-CN" w:eastAsia="zh-CN"/>
          <w14:textFill>
            <w14:solidFill>
              <w14:schemeClr w14:val="tx1"/>
            </w14:solidFill>
          </w14:textFill>
        </w:rPr>
        <w:t>手套</w:t>
      </w:r>
      <w:r>
        <w:rPr>
          <w:rFonts w:hint="eastAsia" w:ascii="宋体" w:hAnsi="宋体" w:eastAsia="宋体" w:cs="宋体"/>
          <w:color w:val="000000" w:themeColor="text1"/>
          <w:sz w:val="28"/>
          <w:szCs w:val="28"/>
          <w:lang w:val="zh-CN" w:eastAsia="zh-CN"/>
          <w14:textFill>
            <w14:solidFill>
              <w14:schemeClr w14:val="tx1"/>
            </w14:solidFill>
          </w14:textFill>
        </w:rPr>
        <w:t>等</w:t>
      </w:r>
      <w:r>
        <w:rPr>
          <w:rFonts w:hint="eastAsia" w:ascii="宋体" w:hAnsi="宋体" w:eastAsia="宋体" w:cs="宋体"/>
          <w:color w:val="000000" w:themeColor="text1"/>
          <w:sz w:val="28"/>
          <w:szCs w:val="28"/>
          <w:lang w:val="zh-CN" w:eastAsia="zh-CN"/>
          <w14:textFill>
            <w14:solidFill>
              <w14:schemeClr w14:val="tx1"/>
            </w14:solidFill>
          </w14:textFill>
        </w:rPr>
        <w:t>，</w:t>
      </w:r>
      <w:r>
        <w:rPr>
          <w:rFonts w:hint="eastAsia" w:ascii="宋体" w:hAnsi="宋体" w:eastAsia="宋体" w:cs="宋体"/>
          <w:color w:val="000000" w:themeColor="text1"/>
          <w:sz w:val="28"/>
          <w:szCs w:val="28"/>
          <w:lang w:val="zh-CN" w:eastAsia="zh-CN"/>
          <w14:textFill>
            <w14:solidFill>
              <w14:schemeClr w14:val="tx1"/>
            </w14:solidFill>
          </w14:textFill>
        </w:rPr>
        <w:t>并已建立</w:t>
      </w:r>
      <w:r>
        <w:rPr>
          <w:rFonts w:hint="eastAsia" w:ascii="宋体" w:hAnsi="宋体" w:eastAsia="宋体" w:cs="宋体"/>
          <w:color w:val="000000" w:themeColor="text1"/>
          <w:sz w:val="28"/>
          <w:szCs w:val="28"/>
          <w:lang w:val="zh-CN" w:eastAsia="zh-CN"/>
          <w14:textFill>
            <w14:solidFill>
              <w14:schemeClr w14:val="tx1"/>
            </w14:solidFill>
          </w14:textFill>
        </w:rPr>
        <w:t>了</w:t>
      </w:r>
      <w:r>
        <w:rPr>
          <w:rFonts w:hint="eastAsia" w:ascii="宋体" w:hAnsi="宋体" w:eastAsia="宋体" w:cs="宋体"/>
          <w:color w:val="000000" w:themeColor="text1"/>
          <w:sz w:val="28"/>
          <w:szCs w:val="28"/>
          <w:lang w:val="zh-CN" w:eastAsia="zh-CN"/>
          <w14:textFill>
            <w14:solidFill>
              <w14:schemeClr w14:val="tx1"/>
            </w14:solidFill>
          </w14:textFill>
        </w:rPr>
        <w:t>劳</w:t>
      </w:r>
      <w:r>
        <w:rPr>
          <w:rFonts w:hint="eastAsia" w:ascii="宋体" w:hAnsi="宋体" w:eastAsia="宋体" w:cs="宋体"/>
          <w:color w:val="000000" w:themeColor="text1"/>
          <w:sz w:val="28"/>
          <w:szCs w:val="28"/>
          <w:lang w:val="zh-CN" w:eastAsia="zh-CN"/>
          <w14:textFill>
            <w14:solidFill>
              <w14:schemeClr w14:val="tx1"/>
            </w14:solidFill>
          </w14:textFill>
        </w:rPr>
        <w:t>动防护</w:t>
      </w:r>
      <w:r>
        <w:rPr>
          <w:rFonts w:hint="eastAsia" w:ascii="宋体" w:hAnsi="宋体" w:eastAsia="宋体" w:cs="宋体"/>
          <w:color w:val="000000" w:themeColor="text1"/>
          <w:sz w:val="28"/>
          <w:szCs w:val="28"/>
          <w:lang w:val="zh-CN" w:eastAsia="zh-CN"/>
          <w14:textFill>
            <w14:solidFill>
              <w14:schemeClr w14:val="tx1"/>
            </w14:solidFill>
          </w14:textFill>
        </w:rPr>
        <w:t>用品发放台账记录</w:t>
      </w:r>
      <w:r>
        <w:rPr>
          <w:rFonts w:hint="eastAsia" w:ascii="宋体" w:hAnsi="宋体" w:eastAsia="宋体" w:cs="宋体"/>
          <w:color w:val="000000" w:themeColor="text1"/>
          <w:sz w:val="28"/>
          <w:szCs w:val="28"/>
          <w:lang w:val="zh-CN"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发放记录详见附件1</w:t>
      </w:r>
      <w:r>
        <w:rPr>
          <w:rFonts w:hint="eastAsia" w:ascii="宋体" w:hAnsi="宋体" w:eastAsia="宋体"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lang w:val="zh-CN" w:eastAsia="zh-CN"/>
          <w14:textFill>
            <w14:solidFill>
              <w14:schemeClr w14:val="tx1"/>
            </w14:solidFill>
          </w14:textFill>
        </w:rPr>
        <w:t>。</w:t>
      </w:r>
    </w:p>
    <w:p w14:paraId="11572F56">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zh-CN" w:eastAsia="zh-CN"/>
          <w14:textFill>
            <w14:solidFill>
              <w14:schemeClr w14:val="tx1"/>
            </w14:solidFill>
          </w14:textFill>
        </w:rPr>
      </w:pPr>
      <w:bookmarkStart w:id="248" w:name="_Toc16632"/>
      <w:r>
        <w:rPr>
          <w:rFonts w:hint="eastAsia" w:ascii="宋体" w:hAnsi="宋体" w:eastAsia="宋体" w:cs="宋体"/>
          <w:color w:val="000000" w:themeColor="text1"/>
          <w:lang w:val="zh-CN" w:eastAsia="zh-CN"/>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lang w:val="zh-CN"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 xml:space="preserve">7 </w:t>
      </w:r>
      <w:r>
        <w:rPr>
          <w:rFonts w:hint="eastAsia" w:ascii="宋体" w:hAnsi="宋体" w:eastAsia="宋体" w:cs="宋体"/>
          <w:color w:val="000000" w:themeColor="text1"/>
          <w:lang w:val="zh-CN" w:eastAsia="zh-CN"/>
          <w14:textFill>
            <w14:solidFill>
              <w14:schemeClr w14:val="tx1"/>
            </w14:solidFill>
          </w14:textFill>
        </w:rPr>
        <w:t>安全警示、标志</w:t>
      </w:r>
      <w:bookmarkEnd w:id="248"/>
    </w:p>
    <w:p w14:paraId="07BFD63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该企业在</w:t>
      </w:r>
      <w:r>
        <w:rPr>
          <w:rFonts w:hint="eastAsia" w:ascii="宋体" w:hAnsi="宋体" w:eastAsia="宋体" w:cs="宋体"/>
          <w:color w:val="000000" w:themeColor="text1"/>
          <w:sz w:val="28"/>
          <w:szCs w:val="28"/>
          <w:lang w:val="en-US" w:eastAsia="zh-CN"/>
          <w14:textFill>
            <w14:solidFill>
              <w14:schemeClr w14:val="tx1"/>
            </w14:solidFill>
          </w14:textFill>
        </w:rPr>
        <w:t>生产区、加工区、组装区</w:t>
      </w:r>
      <w:r>
        <w:rPr>
          <w:rFonts w:hint="eastAsia" w:ascii="宋体" w:hAnsi="宋体" w:eastAsia="宋体" w:cs="宋体"/>
          <w:color w:val="000000" w:themeColor="text1"/>
          <w:sz w:val="28"/>
          <w:szCs w:val="28"/>
          <w:lang w:val="zh-CN" w:eastAsia="zh-CN"/>
          <w14:textFill>
            <w14:solidFill>
              <w14:schemeClr w14:val="tx1"/>
            </w14:solidFill>
          </w14:textFill>
        </w:rPr>
        <w:t>设置了</w:t>
      </w:r>
      <w:r>
        <w:rPr>
          <w:rFonts w:hint="eastAsia" w:ascii="宋体" w:hAnsi="宋体" w:eastAsia="宋体" w:cs="宋体"/>
          <w:color w:val="000000" w:themeColor="text1"/>
          <w:sz w:val="28"/>
          <w:szCs w:val="28"/>
          <w:lang w:val="zh-CN"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有电危险</w:t>
      </w:r>
      <w:r>
        <w:rPr>
          <w:rFonts w:hint="eastAsia" w:ascii="宋体" w:hAnsi="宋体" w:eastAsia="宋体" w:cs="宋体"/>
          <w:color w:val="000000" w:themeColor="text1"/>
          <w:sz w:val="28"/>
          <w:szCs w:val="28"/>
          <w:lang w:val="zh-CN" w:eastAsia="zh-CN"/>
          <w14:textFill>
            <w14:solidFill>
              <w14:schemeClr w14:val="tx1"/>
            </w14:solidFill>
          </w14:textFill>
        </w:rPr>
        <w:t>”“必须戴安全帽”“当心</w:t>
      </w:r>
      <w:r>
        <w:rPr>
          <w:rFonts w:hint="eastAsia" w:ascii="宋体" w:hAnsi="宋体" w:eastAsia="宋体" w:cs="宋体"/>
          <w:color w:val="000000" w:themeColor="text1"/>
          <w:sz w:val="28"/>
          <w:szCs w:val="28"/>
          <w:lang w:val="en-US" w:eastAsia="zh-CN"/>
          <w14:textFill>
            <w14:solidFill>
              <w14:schemeClr w14:val="tx1"/>
            </w14:solidFill>
          </w14:textFill>
        </w:rPr>
        <w:t>触电</w:t>
      </w:r>
      <w:r>
        <w:rPr>
          <w:rFonts w:hint="eastAsia" w:ascii="宋体" w:hAnsi="宋体" w:eastAsia="宋体" w:cs="宋体"/>
          <w:color w:val="000000" w:themeColor="text1"/>
          <w:sz w:val="28"/>
          <w:szCs w:val="28"/>
          <w:lang w:val="zh-CN" w:eastAsia="zh-CN"/>
          <w14:textFill>
            <w14:solidFill>
              <w14:schemeClr w14:val="tx1"/>
            </w14:solidFill>
          </w14:textFill>
        </w:rPr>
        <w:t>”“当心车辆”</w:t>
      </w:r>
      <w:r>
        <w:rPr>
          <w:rFonts w:hint="eastAsia" w:ascii="宋体" w:hAnsi="宋体" w:eastAsia="宋体" w:cs="宋体"/>
          <w:color w:val="000000" w:themeColor="text1"/>
          <w:sz w:val="28"/>
          <w:szCs w:val="28"/>
          <w:lang w:val="zh-CN" w:eastAsia="zh-CN"/>
          <w14:textFill>
            <w14:solidFill>
              <w14:schemeClr w14:val="tx1"/>
            </w14:solidFill>
          </w14:textFill>
        </w:rPr>
        <w:t>“注意安全”“当心机械伤</w:t>
      </w:r>
      <w:r>
        <w:rPr>
          <w:rFonts w:hint="eastAsia" w:ascii="宋体" w:hAnsi="宋体" w:eastAsia="宋体" w:cs="宋体"/>
          <w:color w:val="000000" w:themeColor="text1"/>
          <w:sz w:val="28"/>
          <w:szCs w:val="28"/>
          <w:lang w:val="en-US" w:eastAsia="zh-CN"/>
          <w14:textFill>
            <w14:solidFill>
              <w14:schemeClr w14:val="tx1"/>
            </w14:solidFill>
          </w14:textFill>
        </w:rPr>
        <w:t>人</w:t>
      </w:r>
      <w:r>
        <w:rPr>
          <w:rFonts w:hint="eastAsia" w:ascii="宋体" w:hAnsi="宋体" w:eastAsia="宋体" w:cs="宋体"/>
          <w:color w:val="000000" w:themeColor="text1"/>
          <w:sz w:val="28"/>
          <w:szCs w:val="28"/>
          <w:lang w:val="zh-CN" w:eastAsia="zh-CN"/>
          <w14:textFill>
            <w14:solidFill>
              <w14:schemeClr w14:val="tx1"/>
            </w14:solidFill>
          </w14:textFill>
        </w:rPr>
        <w:t>”“当心</w:t>
      </w:r>
      <w:r>
        <w:rPr>
          <w:rFonts w:hint="eastAsia" w:ascii="宋体" w:hAnsi="宋体" w:eastAsia="宋体" w:cs="宋体"/>
          <w:color w:val="000000" w:themeColor="text1"/>
          <w:sz w:val="28"/>
          <w:szCs w:val="28"/>
          <w:lang w:val="zh-CN" w:eastAsia="zh-CN"/>
          <w14:textFill>
            <w14:solidFill>
              <w14:schemeClr w14:val="tx1"/>
            </w14:solidFill>
          </w14:textFill>
        </w:rPr>
        <w:t>落</w:t>
      </w:r>
      <w:r>
        <w:rPr>
          <w:rFonts w:hint="eastAsia" w:ascii="宋体" w:hAnsi="宋体" w:eastAsia="宋体" w:cs="宋体"/>
          <w:color w:val="000000" w:themeColor="text1"/>
          <w:sz w:val="28"/>
          <w:szCs w:val="28"/>
          <w:lang w:val="zh-CN" w:eastAsia="zh-CN"/>
          <w14:textFill>
            <w14:solidFill>
              <w14:schemeClr w14:val="tx1"/>
            </w14:solidFill>
          </w14:textFill>
        </w:rPr>
        <w:t>物”</w:t>
      </w:r>
      <w:r>
        <w:rPr>
          <w:rFonts w:hint="eastAsia" w:ascii="宋体" w:hAnsi="宋体" w:eastAsia="宋体" w:cs="宋体"/>
          <w:color w:val="000000" w:themeColor="text1"/>
          <w:sz w:val="28"/>
          <w:szCs w:val="28"/>
          <w:lang w:val="zh-CN" w:eastAsia="zh-CN"/>
          <w14:textFill>
            <w14:solidFill>
              <w14:schemeClr w14:val="tx1"/>
            </w14:solidFill>
          </w14:textFill>
        </w:rPr>
        <w:t>等</w:t>
      </w:r>
      <w:r>
        <w:rPr>
          <w:rFonts w:hint="eastAsia" w:ascii="宋体" w:hAnsi="宋体" w:eastAsia="宋体" w:cs="宋体"/>
          <w:color w:val="000000" w:themeColor="text1"/>
          <w:sz w:val="28"/>
          <w:szCs w:val="28"/>
          <w:lang w:val="zh-CN" w:eastAsia="zh-CN"/>
          <w14:textFill>
            <w14:solidFill>
              <w14:schemeClr w14:val="tx1"/>
            </w14:solidFill>
          </w14:textFill>
        </w:rPr>
        <w:t>安全警示标志。</w:t>
      </w:r>
    </w:p>
    <w:p w14:paraId="21616141">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sz w:val="28"/>
          <w:szCs w:val="28"/>
          <w14:textFill>
            <w14:solidFill>
              <w14:schemeClr w14:val="tx1"/>
            </w14:solidFill>
          </w14:textFill>
        </w:rPr>
      </w:pPr>
      <w:bookmarkStart w:id="249" w:name="_Toc20469"/>
      <w:bookmarkStart w:id="250" w:name="_Toc26892"/>
      <w:r>
        <w:rPr>
          <w:rFonts w:hint="eastAsia" w:ascii="宋体" w:hAnsi="宋体" w:eastAsia="宋体" w:cs="宋体"/>
          <w:color w:val="000000" w:themeColor="text1"/>
          <w:lang w:val="zh-CN" w:eastAsia="zh-CN"/>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lang w:val="zh-CN"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 xml:space="preserve">8 </w:t>
      </w:r>
      <w:r>
        <w:rPr>
          <w:rFonts w:hint="eastAsia" w:ascii="宋体" w:hAnsi="宋体" w:eastAsia="宋体" w:cs="宋体"/>
          <w:color w:val="000000" w:themeColor="text1"/>
          <w:lang w:val="zh-CN" w:eastAsia="zh-CN"/>
          <w14:textFill>
            <w14:solidFill>
              <w14:schemeClr w14:val="tx1"/>
            </w14:solidFill>
          </w14:textFill>
        </w:rPr>
        <w:t>应急救援预案</w:t>
      </w:r>
      <w:bookmarkEnd w:id="246"/>
      <w:bookmarkEnd w:id="247"/>
      <w:bookmarkEnd w:id="249"/>
      <w:bookmarkEnd w:id="250"/>
    </w:p>
    <w:p w14:paraId="6A22442C">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该企业已编制了《</w:t>
      </w:r>
      <w:r>
        <w:rPr>
          <w:rFonts w:hint="eastAsia" w:ascii="宋体" w:hAnsi="宋体" w:eastAsia="宋体" w:cs="宋体"/>
          <w:color w:val="000000" w:themeColor="text1"/>
          <w:sz w:val="28"/>
          <w:szCs w:val="28"/>
          <w:lang w:val="en-US" w:eastAsia="zh-CN"/>
          <w14:textFill>
            <w14:solidFill>
              <w14:schemeClr w14:val="tx1"/>
            </w14:solidFill>
          </w14:textFill>
        </w:rPr>
        <w:t>玉溪市明哲数控科技有限公司</w:t>
      </w:r>
      <w:r>
        <w:rPr>
          <w:rFonts w:hint="eastAsia" w:ascii="宋体" w:hAnsi="宋体" w:eastAsia="宋体" w:cs="宋体"/>
          <w:color w:val="000000" w:themeColor="text1"/>
          <w:sz w:val="28"/>
          <w:szCs w:val="28"/>
          <w14:textFill>
            <w14:solidFill>
              <w14:schemeClr w14:val="tx1"/>
            </w14:solidFill>
          </w14:textFill>
        </w:rPr>
        <w:t>生产安全事故应急预案》，预案中明确了应急救援领导小组及职责和分工、事故的应急措施等内容</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企业根据需要，配备了应急物资。</w:t>
      </w:r>
      <w:r>
        <w:rPr>
          <w:rFonts w:hint="eastAsia" w:ascii="宋体" w:hAnsi="宋体" w:eastAsia="宋体" w:cs="宋体"/>
          <w:color w:val="000000" w:themeColor="text1"/>
          <w:sz w:val="28"/>
          <w:szCs w:val="28"/>
          <w:lang w:val="en-US" w:eastAsia="zh-CN"/>
          <w14:textFill>
            <w14:solidFill>
              <w14:schemeClr w14:val="tx1"/>
            </w14:solidFill>
          </w14:textFill>
        </w:rPr>
        <w:t>并开展了应急预案的学习培训和演练，演练记录详见附件1</w:t>
      </w:r>
      <w:r>
        <w:rPr>
          <w:rFonts w:hint="eastAsia" w:ascii="宋体" w:hAnsi="宋体" w:eastAsia="宋体" w:cs="宋体"/>
          <w:color w:val="000000" w:themeColor="text1"/>
          <w:sz w:val="28"/>
          <w:szCs w:val="28"/>
          <w:lang w:val="en-US" w:eastAsia="zh-CN"/>
          <w14:textFill>
            <w14:solidFill>
              <w14:schemeClr w14:val="tx1"/>
            </w14:solidFill>
          </w14:textFill>
        </w:rPr>
        <w:t>6</w:t>
      </w:r>
      <w:r>
        <w:rPr>
          <w:rFonts w:hint="eastAsia" w:ascii="宋体" w:hAnsi="宋体" w:eastAsia="宋体" w:cs="宋体"/>
          <w:color w:val="000000" w:themeColor="text1"/>
          <w:sz w:val="28"/>
          <w:szCs w:val="28"/>
          <w14:textFill>
            <w14:solidFill>
              <w14:schemeClr w14:val="tx1"/>
            </w14:solidFill>
          </w14:textFill>
        </w:rPr>
        <w:t>。</w:t>
      </w:r>
    </w:p>
    <w:p w14:paraId="288B753C">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该企业的应急预案已经过专家评审</w:t>
      </w:r>
      <w:r>
        <w:rPr>
          <w:rFonts w:hint="eastAsia" w:ascii="宋体" w:hAnsi="宋体" w:eastAsia="宋体" w:cs="宋体"/>
          <w:color w:val="000000" w:themeColor="text1"/>
          <w:sz w:val="28"/>
          <w:szCs w:val="28"/>
          <w:lang w:val="en-US" w:eastAsia="zh-CN"/>
          <w14:textFill>
            <w14:solidFill>
              <w14:schemeClr w14:val="tx1"/>
            </w14:solidFill>
          </w14:textFill>
        </w:rPr>
        <w:t>后</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于202</w:t>
      </w:r>
      <w:r>
        <w:rPr>
          <w:rFonts w:hint="eastAsia" w:ascii="宋体" w:hAnsi="宋体" w:eastAsia="宋体" w:cs="宋体"/>
          <w:color w:val="000000" w:themeColor="text1"/>
          <w:sz w:val="28"/>
          <w:szCs w:val="28"/>
          <w:highlight w:val="none"/>
          <w:lang w:val="en-US" w:eastAsia="zh-CN"/>
          <w14:textFill>
            <w14:solidFill>
              <w14:schemeClr w14:val="tx1"/>
            </w14:solidFill>
          </w14:textFill>
        </w:rPr>
        <w:t>5</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lang w:val="en-US" w:eastAsia="zh-CN"/>
        </w:rPr>
        <w:t>28</w:t>
      </w:r>
      <w:r>
        <w:rPr>
          <w:rFonts w:hint="eastAsia" w:ascii="宋体" w:hAnsi="宋体" w:eastAsia="宋体" w:cs="宋体"/>
          <w:color w:val="auto"/>
          <w:sz w:val="28"/>
          <w:szCs w:val="28"/>
          <w:highlight w:val="none"/>
        </w:rPr>
        <w:t>日</w:t>
      </w:r>
      <w:r>
        <w:rPr>
          <w:rFonts w:hint="eastAsia" w:ascii="宋体" w:hAnsi="宋体" w:eastAsia="宋体" w:cs="宋体"/>
          <w:color w:val="000000" w:themeColor="text1"/>
          <w:sz w:val="28"/>
          <w:szCs w:val="28"/>
          <w:highlight w:val="none"/>
          <w14:textFill>
            <w14:solidFill>
              <w14:schemeClr w14:val="tx1"/>
            </w14:solidFill>
          </w14:textFill>
        </w:rPr>
        <w:t>到</w:t>
      </w:r>
      <w:r>
        <w:rPr>
          <w:rFonts w:hint="eastAsia" w:ascii="宋体" w:hAnsi="宋体" w:eastAsia="宋体" w:cs="宋体"/>
          <w:color w:val="000000" w:themeColor="text1"/>
          <w:sz w:val="28"/>
          <w:szCs w:val="28"/>
          <w:highlight w:val="none"/>
          <w:lang w:val="en-US" w:eastAsia="zh-CN"/>
          <w14:textFill>
            <w14:solidFill>
              <w14:schemeClr w14:val="tx1"/>
            </w14:solidFill>
          </w14:textFill>
        </w:rPr>
        <w:t>红塔区</w:t>
      </w:r>
      <w:r>
        <w:rPr>
          <w:rFonts w:hint="eastAsia" w:ascii="宋体" w:hAnsi="宋体" w:eastAsia="宋体" w:cs="宋体"/>
          <w:color w:val="000000" w:themeColor="text1"/>
          <w:sz w:val="28"/>
          <w:szCs w:val="28"/>
          <w:highlight w:val="none"/>
          <w14:textFill>
            <w14:solidFill>
              <w14:schemeClr w14:val="tx1"/>
            </w14:solidFill>
          </w14:textFill>
        </w:rPr>
        <w:t>应急管理局进行备案，备案编号</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530402-2025-0035</w:t>
      </w:r>
      <w:r>
        <w:rPr>
          <w:rFonts w:hint="eastAsia" w:ascii="宋体" w:hAnsi="宋体" w:eastAsia="宋体" w:cs="宋体"/>
          <w:color w:val="000000" w:themeColor="text1"/>
          <w:sz w:val="28"/>
          <w:szCs w:val="28"/>
          <w:highlight w:val="none"/>
          <w:lang w:val="en-US" w:eastAsia="zh-CN"/>
          <w14:textFill>
            <w14:solidFill>
              <w14:schemeClr w14:val="tx1"/>
            </w14:solidFill>
          </w14:textFill>
        </w:rPr>
        <w:t>，详见附件1</w:t>
      </w:r>
      <w:r>
        <w:rPr>
          <w:rFonts w:hint="eastAsia" w:ascii="宋体" w:hAnsi="宋体" w:eastAsia="宋体" w:cs="宋体"/>
          <w:color w:val="000000" w:themeColor="text1"/>
          <w:sz w:val="28"/>
          <w:szCs w:val="28"/>
          <w:highlight w:val="none"/>
          <w:lang w:val="en-US" w:eastAsia="zh-CN"/>
          <w14:textFill>
            <w14:solidFill>
              <w14:schemeClr w14:val="tx1"/>
            </w14:solidFill>
          </w14:textFill>
        </w:rPr>
        <w:t>5</w:t>
      </w:r>
      <w:r>
        <w:rPr>
          <w:rFonts w:hint="eastAsia" w:ascii="宋体" w:hAnsi="宋体" w:eastAsia="宋体" w:cs="宋体"/>
          <w:color w:val="000000" w:themeColor="text1"/>
          <w:sz w:val="28"/>
          <w:szCs w:val="28"/>
          <w:highlight w:val="none"/>
          <w14:textFill>
            <w14:solidFill>
              <w14:schemeClr w14:val="tx1"/>
            </w14:solidFill>
          </w14:textFill>
        </w:rPr>
        <w:t>。</w:t>
      </w:r>
    </w:p>
    <w:p w14:paraId="6106DB7B">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zh-CN" w:eastAsia="zh-CN"/>
          <w14:textFill>
            <w14:solidFill>
              <w14:schemeClr w14:val="tx1"/>
            </w14:solidFill>
          </w14:textFill>
        </w:rPr>
      </w:pPr>
      <w:bookmarkStart w:id="251" w:name="_Toc314238227"/>
      <w:bookmarkStart w:id="252" w:name="_Toc314143767"/>
      <w:bookmarkStart w:id="253" w:name="_Toc341693595"/>
      <w:bookmarkStart w:id="254" w:name="_Toc313524421"/>
      <w:bookmarkStart w:id="255" w:name="_Toc3755"/>
      <w:bookmarkStart w:id="256" w:name="_Toc18844"/>
      <w:bookmarkStart w:id="257" w:name="_Toc152"/>
      <w:r>
        <w:rPr>
          <w:rFonts w:hint="eastAsia" w:ascii="宋体" w:hAnsi="宋体" w:eastAsia="宋体" w:cs="宋体"/>
          <w:color w:val="000000" w:themeColor="text1"/>
          <w:lang w:val="zh-CN" w:eastAsia="zh-CN"/>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lang w:val="zh-CN" w:eastAsia="zh-CN"/>
          <w14:textFill>
            <w14:solidFill>
              <w14:schemeClr w14:val="tx1"/>
            </w14:solidFill>
          </w14:textFill>
        </w:rPr>
        <w:t>.</w:t>
      </w:r>
      <w:bookmarkEnd w:id="251"/>
      <w:bookmarkEnd w:id="252"/>
      <w:bookmarkEnd w:id="253"/>
      <w:bookmarkEnd w:id="254"/>
      <w:r>
        <w:rPr>
          <w:rFonts w:hint="eastAsia" w:ascii="宋体" w:hAnsi="宋体" w:eastAsia="宋体" w:cs="宋体"/>
          <w:color w:val="000000" w:themeColor="text1"/>
          <w:lang w:val="en-US" w:eastAsia="zh-CN"/>
          <w14:textFill>
            <w14:solidFill>
              <w14:schemeClr w14:val="tx1"/>
            </w14:solidFill>
          </w14:textFill>
        </w:rPr>
        <w:t xml:space="preserve">9 </w:t>
      </w:r>
      <w:r>
        <w:rPr>
          <w:rFonts w:hint="eastAsia" w:ascii="宋体" w:hAnsi="宋体" w:eastAsia="宋体" w:cs="宋体"/>
          <w:color w:val="000000" w:themeColor="text1"/>
          <w:lang w:val="zh-CN" w:eastAsia="zh-CN"/>
          <w14:textFill>
            <w14:solidFill>
              <w14:schemeClr w14:val="tx1"/>
            </w14:solidFill>
          </w14:textFill>
        </w:rPr>
        <w:t>保险缴纳情况</w:t>
      </w:r>
      <w:bookmarkEnd w:id="255"/>
      <w:bookmarkEnd w:id="256"/>
      <w:bookmarkEnd w:id="257"/>
    </w:p>
    <w:p w14:paraId="1B15B86D">
      <w:pPr>
        <w:keepNext w:val="0"/>
        <w:keepLines w:val="0"/>
        <w:pageBreakBefore w:val="0"/>
        <w:widowControl w:val="0"/>
        <w:tabs>
          <w:tab w:val="center" w:pos="4156"/>
          <w:tab w:val="left" w:pos="6600"/>
        </w:tabs>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已购买工伤保险</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参保凭证详见附件</w:t>
      </w:r>
      <w:r>
        <w:rPr>
          <w:rFonts w:hint="eastAsia" w:ascii="宋体" w:hAnsi="宋体" w:eastAsia="宋体" w:cs="宋体"/>
          <w:color w:val="000000" w:themeColor="text1"/>
          <w:sz w:val="28"/>
          <w:szCs w:val="28"/>
          <w:highlight w:val="none"/>
          <w:lang w:val="en-US" w:eastAsia="zh-CN"/>
          <w14:textFill>
            <w14:solidFill>
              <w14:schemeClr w14:val="tx1"/>
            </w14:solidFill>
          </w14:textFill>
        </w:rPr>
        <w:t>9</w:t>
      </w:r>
      <w:r>
        <w:rPr>
          <w:rFonts w:hint="eastAsia" w:ascii="宋体" w:hAnsi="宋体" w:eastAsia="宋体" w:cs="宋体"/>
          <w:color w:val="000000" w:themeColor="text1"/>
          <w:sz w:val="28"/>
          <w:szCs w:val="28"/>
          <w:highlight w:val="none"/>
          <w14:textFill>
            <w14:solidFill>
              <w14:schemeClr w14:val="tx1"/>
            </w14:solidFill>
          </w14:textFill>
        </w:rPr>
        <w:t>。</w:t>
      </w:r>
    </w:p>
    <w:p w14:paraId="18248859">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zh-CN" w:eastAsia="zh-CN"/>
          <w14:textFill>
            <w14:solidFill>
              <w14:schemeClr w14:val="tx1"/>
            </w14:solidFill>
          </w14:textFill>
        </w:rPr>
      </w:pPr>
      <w:bookmarkStart w:id="258" w:name="_Toc30075"/>
      <w:bookmarkStart w:id="259" w:name="_Toc30001378"/>
      <w:bookmarkStart w:id="260" w:name="_Toc61474400"/>
      <w:bookmarkStart w:id="261" w:name="_Toc8505"/>
      <w:bookmarkStart w:id="262" w:name="_Toc12937"/>
      <w:r>
        <w:rPr>
          <w:rFonts w:hint="eastAsia" w:ascii="宋体" w:hAnsi="宋体" w:eastAsia="宋体" w:cs="宋体"/>
          <w:color w:val="000000" w:themeColor="text1"/>
          <w:lang w:val="zh-CN" w:eastAsia="zh-CN"/>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lang w:val="zh-CN"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10</w:t>
      </w:r>
      <w:r>
        <w:rPr>
          <w:rFonts w:hint="eastAsia" w:ascii="宋体" w:hAnsi="宋体" w:eastAsia="宋体" w:cs="宋体"/>
          <w:color w:val="000000" w:themeColor="text1"/>
          <w:lang w:val="zh-CN" w:eastAsia="zh-CN"/>
          <w14:textFill>
            <w14:solidFill>
              <w14:schemeClr w14:val="tx1"/>
            </w14:solidFill>
          </w14:textFill>
        </w:rPr>
        <w:t>安全生产标准化创建情况</w:t>
      </w:r>
      <w:bookmarkEnd w:id="258"/>
      <w:bookmarkEnd w:id="259"/>
      <w:bookmarkEnd w:id="260"/>
      <w:bookmarkEnd w:id="261"/>
      <w:bookmarkEnd w:id="262"/>
    </w:p>
    <w:p w14:paraId="4DBBDFAF">
      <w:pPr>
        <w:pStyle w:val="195"/>
        <w:widowControl w:val="0"/>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玉溪市明哲数控科技有限公司</w:t>
      </w:r>
      <w:r>
        <w:rPr>
          <w:rFonts w:hint="eastAsia" w:ascii="宋体" w:hAnsi="宋体" w:eastAsia="宋体" w:cs="宋体"/>
          <w:color w:val="000000" w:themeColor="text1"/>
          <w:sz w:val="28"/>
          <w:szCs w:val="28"/>
          <w:lang w:val="en-US" w:eastAsia="zh-CN" w:bidi="ar-SA"/>
          <w14:textFill>
            <w14:solidFill>
              <w14:schemeClr w14:val="tx1"/>
            </w14:solidFill>
          </w14:textFill>
        </w:rPr>
        <w:t>目前</w:t>
      </w:r>
      <w:r>
        <w:rPr>
          <w:rFonts w:hint="eastAsia" w:ascii="宋体" w:hAnsi="宋体" w:eastAsia="宋体" w:cs="宋体"/>
          <w:color w:val="000000" w:themeColor="text1"/>
          <w:sz w:val="28"/>
          <w:szCs w:val="28"/>
          <w:lang w:val="en-US" w:eastAsia="zh-CN" w:bidi="ar-SA"/>
          <w14:textFill>
            <w14:solidFill>
              <w14:schemeClr w14:val="tx1"/>
            </w14:solidFill>
          </w14:textFill>
        </w:rPr>
        <w:t>准备</w:t>
      </w:r>
      <w:r>
        <w:rPr>
          <w:rFonts w:hint="eastAsia" w:ascii="宋体" w:hAnsi="宋体" w:eastAsia="宋体" w:cs="宋体"/>
          <w:color w:val="000000" w:themeColor="text1"/>
          <w:sz w:val="28"/>
          <w:szCs w:val="28"/>
          <w:lang w:val="en-US" w:eastAsia="zh-CN" w:bidi="ar-SA"/>
          <w14:textFill>
            <w14:solidFill>
              <w14:schemeClr w14:val="tx1"/>
            </w14:solidFill>
          </w14:textFill>
        </w:rPr>
        <w:t>开展安全生产标准化创建工作。</w:t>
      </w:r>
    </w:p>
    <w:bookmarkEnd w:id="238"/>
    <w:p w14:paraId="5B0FB141">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263" w:name="_Toc31528"/>
      <w:bookmarkStart w:id="264" w:name="_Toc16633"/>
      <w:bookmarkStart w:id="265" w:name="_Toc10298"/>
      <w:bookmarkStart w:id="266" w:name="_Toc335926184"/>
      <w:bookmarkStart w:id="267" w:name="_Toc313453493"/>
      <w:r>
        <w:rPr>
          <w:rFonts w:hint="eastAsia" w:ascii="宋体" w:hAnsi="宋体" w:eastAsia="宋体" w:cs="宋体"/>
          <w:color w:val="000000" w:themeColor="text1"/>
          <w:lang w:val="zh-CN" w:eastAsia="zh-CN"/>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lang w:val="zh-CN"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11 安全生产情况</w:t>
      </w:r>
      <w:bookmarkEnd w:id="263"/>
    </w:p>
    <w:p w14:paraId="455D204C">
      <w:pPr>
        <w:keepNext w:val="0"/>
        <w:keepLines w:val="0"/>
        <w:pageBreakBefore w:val="0"/>
        <w:widowControl w:val="0"/>
        <w:tabs>
          <w:tab w:val="center" w:pos="4156"/>
          <w:tab w:val="left" w:pos="6600"/>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sectPr>
          <w:footerReference r:id="rId7" w:type="default"/>
          <w:pgSz w:w="11906" w:h="16838"/>
          <w:pgMar w:top="1440" w:right="1800" w:bottom="1440" w:left="1800" w:header="850" w:footer="992" w:gutter="0"/>
          <w:pgNumType w:fmt="decimal"/>
          <w:cols w:space="708" w:num="1"/>
          <w:docGrid w:type="lines" w:linePitch="360" w:charSpace="0"/>
        </w:sectPr>
      </w:pPr>
      <w:r>
        <w:rPr>
          <w:rFonts w:hint="eastAsia" w:ascii="宋体" w:hAnsi="宋体" w:eastAsia="宋体" w:cs="宋体"/>
          <w:color w:val="000000" w:themeColor="text1"/>
          <w:sz w:val="28"/>
          <w:szCs w:val="28"/>
          <w14:textFill>
            <w14:solidFill>
              <w14:schemeClr w14:val="tx1"/>
            </w14:solidFill>
          </w14:textFill>
        </w:rPr>
        <w:t>该项目自建成投产以来，严格按照国家安全生产等法律法规要求进行生产。根据国家法律法规的规定制定了安全生产管理制度，规范了生产工作行为，并严格执行。根据评价组了解及企业介绍，</w:t>
      </w:r>
      <w:r>
        <w:rPr>
          <w:rFonts w:hint="eastAsia" w:ascii="宋体" w:hAnsi="宋体" w:eastAsia="宋体" w:cs="宋体"/>
          <w:color w:val="000000" w:themeColor="text1"/>
          <w:sz w:val="28"/>
          <w:szCs w:val="28"/>
          <w:lang w:val="en-US" w:eastAsia="zh-CN"/>
          <w14:textFill>
            <w14:solidFill>
              <w14:schemeClr w14:val="tx1"/>
            </w14:solidFill>
          </w14:textFill>
        </w:rPr>
        <w:t>公司从建厂之日</w:t>
      </w:r>
      <w:r>
        <w:rPr>
          <w:rFonts w:hint="eastAsia" w:ascii="宋体" w:hAnsi="宋体" w:eastAsia="宋体" w:cs="宋体"/>
          <w:color w:val="000000" w:themeColor="text1"/>
          <w:sz w:val="28"/>
          <w:szCs w:val="28"/>
          <w14:textFill>
            <w14:solidFill>
              <w14:schemeClr w14:val="tx1"/>
            </w14:solidFill>
          </w14:textFill>
        </w:rPr>
        <w:t>至评价基准日</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未发生生产安全事故</w:t>
      </w:r>
      <w:r>
        <w:rPr>
          <w:rFonts w:hint="eastAsia" w:ascii="宋体" w:hAnsi="宋体" w:eastAsia="宋体" w:cs="宋体"/>
          <w:color w:val="000000" w:themeColor="text1"/>
          <w:sz w:val="28"/>
          <w:szCs w:val="28"/>
          <w:lang w:eastAsia="zh-CN"/>
          <w14:textFill>
            <w14:solidFill>
              <w14:schemeClr w14:val="tx1"/>
            </w14:solidFill>
          </w14:textFill>
        </w:rPr>
        <w:t>。</w:t>
      </w:r>
    </w:p>
    <w:p w14:paraId="0F071077">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268" w:name="_Toc28002"/>
      <w:r>
        <w:rPr>
          <w:rFonts w:hint="eastAsia" w:ascii="宋体" w:hAnsi="宋体" w:eastAsia="宋体" w:cs="宋体"/>
          <w:color w:val="000000" w:themeColor="text1"/>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 xml:space="preserve">7 </w:t>
      </w:r>
      <w:r>
        <w:rPr>
          <w:rFonts w:hint="eastAsia" w:ascii="宋体" w:hAnsi="宋体" w:eastAsia="宋体" w:cs="宋体"/>
          <w:color w:val="000000" w:themeColor="text1"/>
          <w14:textFill>
            <w14:solidFill>
              <w14:schemeClr w14:val="tx1"/>
            </w14:solidFill>
          </w14:textFill>
        </w:rPr>
        <w:t>现场照片</w:t>
      </w:r>
      <w:bookmarkEnd w:id="264"/>
      <w:bookmarkEnd w:id="268"/>
    </w:p>
    <w:tbl>
      <w:tblPr>
        <w:tblStyle w:val="5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0"/>
        <w:gridCol w:w="4360"/>
      </w:tblGrid>
      <w:tr w14:paraId="7D7B1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360" w:type="dxa"/>
          </w:tcPr>
          <w:p w14:paraId="44F3F5D1">
            <w:pPr>
              <w:pStyle w:val="71"/>
              <w:spacing w:line="360" w:lineRule="auto"/>
              <w:jc w:val="both"/>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drawing>
                <wp:inline distT="0" distB="0" distL="114300" distR="114300">
                  <wp:extent cx="2625725" cy="1970405"/>
                  <wp:effectExtent l="0" t="0" r="10795" b="10795"/>
                  <wp:docPr id="1" name="图片 1" descr="b38a548d01beff07bcd0faa21bf4e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38a548d01beff07bcd0faa21bf4ec8"/>
                          <pic:cNvPicPr>
                            <a:picLocks noChangeAspect="1"/>
                          </pic:cNvPicPr>
                        </pic:nvPicPr>
                        <pic:blipFill>
                          <a:blip r:embed="rId17"/>
                          <a:stretch>
                            <a:fillRect/>
                          </a:stretch>
                        </pic:blipFill>
                        <pic:spPr>
                          <a:xfrm>
                            <a:off x="0" y="0"/>
                            <a:ext cx="2625725" cy="1970405"/>
                          </a:xfrm>
                          <a:prstGeom prst="rect">
                            <a:avLst/>
                          </a:prstGeom>
                        </pic:spPr>
                      </pic:pic>
                    </a:graphicData>
                  </a:graphic>
                </wp:inline>
              </w:drawing>
            </w:r>
          </w:p>
        </w:tc>
        <w:tc>
          <w:tcPr>
            <w:tcW w:w="4360" w:type="dxa"/>
          </w:tcPr>
          <w:p w14:paraId="579F706D">
            <w:pPr>
              <w:pStyle w:val="71"/>
              <w:spacing w:line="360" w:lineRule="auto"/>
              <w:jc w:val="both"/>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drawing>
                <wp:inline distT="0" distB="0" distL="114300" distR="114300">
                  <wp:extent cx="2625725" cy="1970405"/>
                  <wp:effectExtent l="0" t="0" r="10795" b="10795"/>
                  <wp:docPr id="6" name="图片 6" descr="ea592b52d3f6f19635ade469be831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a592b52d3f6f19635ade469be8313c"/>
                          <pic:cNvPicPr>
                            <a:picLocks noChangeAspect="1"/>
                          </pic:cNvPicPr>
                        </pic:nvPicPr>
                        <pic:blipFill>
                          <a:blip r:embed="rId18"/>
                          <a:stretch>
                            <a:fillRect/>
                          </a:stretch>
                        </pic:blipFill>
                        <pic:spPr>
                          <a:xfrm>
                            <a:off x="0" y="0"/>
                            <a:ext cx="2625725" cy="1970405"/>
                          </a:xfrm>
                          <a:prstGeom prst="rect">
                            <a:avLst/>
                          </a:prstGeom>
                        </pic:spPr>
                      </pic:pic>
                    </a:graphicData>
                  </a:graphic>
                </wp:inline>
              </w:drawing>
            </w:r>
          </w:p>
        </w:tc>
      </w:tr>
      <w:tr w14:paraId="4749F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1DFF17CB">
            <w:pPr>
              <w:pStyle w:val="71"/>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厂区全貌</w:t>
            </w:r>
          </w:p>
        </w:tc>
        <w:tc>
          <w:tcPr>
            <w:tcW w:w="4360" w:type="dxa"/>
          </w:tcPr>
          <w:p w14:paraId="11CDF0FA">
            <w:pPr>
              <w:pStyle w:val="71"/>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厂区入口</w:t>
            </w:r>
          </w:p>
        </w:tc>
      </w:tr>
      <w:tr w14:paraId="419CF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1354B869">
            <w:pPr>
              <w:pStyle w:val="71"/>
              <w:spacing w:line="360" w:lineRule="auto"/>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drawing>
                <wp:inline distT="0" distB="0" distL="114300" distR="114300">
                  <wp:extent cx="2625725" cy="1970405"/>
                  <wp:effectExtent l="0" t="0" r="10795" b="10795"/>
                  <wp:docPr id="9" name="图片 9" descr="7abef0cc3c314717e7c6998089a7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7abef0cc3c314717e7c6998089a7635"/>
                          <pic:cNvPicPr>
                            <a:picLocks noChangeAspect="1"/>
                          </pic:cNvPicPr>
                        </pic:nvPicPr>
                        <pic:blipFill>
                          <a:blip r:embed="rId19"/>
                          <a:stretch>
                            <a:fillRect/>
                          </a:stretch>
                        </pic:blipFill>
                        <pic:spPr>
                          <a:xfrm>
                            <a:off x="0" y="0"/>
                            <a:ext cx="2625725" cy="1970405"/>
                          </a:xfrm>
                          <a:prstGeom prst="rect">
                            <a:avLst/>
                          </a:prstGeom>
                        </pic:spPr>
                      </pic:pic>
                    </a:graphicData>
                  </a:graphic>
                </wp:inline>
              </w:drawing>
            </w:r>
          </w:p>
        </w:tc>
        <w:tc>
          <w:tcPr>
            <w:tcW w:w="4360" w:type="dxa"/>
          </w:tcPr>
          <w:p w14:paraId="04661819">
            <w:pPr>
              <w:pStyle w:val="71"/>
              <w:spacing w:line="360" w:lineRule="auto"/>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drawing>
                <wp:inline distT="0" distB="0" distL="114300" distR="114300">
                  <wp:extent cx="2625725" cy="1970405"/>
                  <wp:effectExtent l="0" t="0" r="10795" b="10795"/>
                  <wp:docPr id="12" name="图片 12" descr="a57b80681572f157c80b8243cdf0b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a57b80681572f157c80b8243cdf0b7d"/>
                          <pic:cNvPicPr>
                            <a:picLocks noChangeAspect="1"/>
                          </pic:cNvPicPr>
                        </pic:nvPicPr>
                        <pic:blipFill>
                          <a:blip r:embed="rId20"/>
                          <a:stretch>
                            <a:fillRect/>
                          </a:stretch>
                        </pic:blipFill>
                        <pic:spPr>
                          <a:xfrm>
                            <a:off x="0" y="0"/>
                            <a:ext cx="2625725" cy="1970405"/>
                          </a:xfrm>
                          <a:prstGeom prst="rect">
                            <a:avLst/>
                          </a:prstGeom>
                        </pic:spPr>
                      </pic:pic>
                    </a:graphicData>
                  </a:graphic>
                </wp:inline>
              </w:drawing>
            </w:r>
          </w:p>
        </w:tc>
      </w:tr>
      <w:tr w14:paraId="23930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0B5DBD43">
            <w:pPr>
              <w:pStyle w:val="71"/>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加工区</w:t>
            </w:r>
          </w:p>
        </w:tc>
        <w:tc>
          <w:tcPr>
            <w:tcW w:w="4360" w:type="dxa"/>
          </w:tcPr>
          <w:p w14:paraId="4B8793C1">
            <w:pPr>
              <w:pStyle w:val="71"/>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组装区</w:t>
            </w:r>
          </w:p>
        </w:tc>
      </w:tr>
      <w:tr w14:paraId="0B9EE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7" w:hRule="atLeast"/>
        </w:trPr>
        <w:tc>
          <w:tcPr>
            <w:tcW w:w="4360" w:type="dxa"/>
          </w:tcPr>
          <w:p w14:paraId="3EF02078">
            <w:pPr>
              <w:pStyle w:val="71"/>
              <w:jc w:val="both"/>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drawing>
                <wp:anchor distT="0" distB="0" distL="114300" distR="114300" simplePos="0" relativeHeight="251676672" behindDoc="0" locked="0" layoutInCell="1" allowOverlap="1">
                  <wp:simplePos x="0" y="0"/>
                  <wp:positionH relativeFrom="column">
                    <wp:posOffset>7620</wp:posOffset>
                  </wp:positionH>
                  <wp:positionV relativeFrom="paragraph">
                    <wp:posOffset>69850</wp:posOffset>
                  </wp:positionV>
                  <wp:extent cx="2638425" cy="1979930"/>
                  <wp:effectExtent l="0" t="0" r="13335" b="1270"/>
                  <wp:wrapTopAndBottom/>
                  <wp:docPr id="20" name="图片 20" descr="27d70cc67db6786f8756079cbd2a7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27d70cc67db6786f8756079cbd2a79b"/>
                          <pic:cNvPicPr>
                            <a:picLocks noChangeAspect="1"/>
                          </pic:cNvPicPr>
                        </pic:nvPicPr>
                        <pic:blipFill>
                          <a:blip r:embed="rId21"/>
                          <a:stretch>
                            <a:fillRect/>
                          </a:stretch>
                        </pic:blipFill>
                        <pic:spPr>
                          <a:xfrm>
                            <a:off x="0" y="0"/>
                            <a:ext cx="2638425" cy="1979930"/>
                          </a:xfrm>
                          <a:prstGeom prst="rect">
                            <a:avLst/>
                          </a:prstGeom>
                        </pic:spPr>
                      </pic:pic>
                    </a:graphicData>
                  </a:graphic>
                </wp:anchor>
              </w:drawing>
            </w:r>
          </w:p>
        </w:tc>
        <w:tc>
          <w:tcPr>
            <w:tcW w:w="4360" w:type="dxa"/>
          </w:tcPr>
          <w:p w14:paraId="09A1929F">
            <w:pPr>
              <w:pStyle w:val="71"/>
              <w:spacing w:line="360" w:lineRule="auto"/>
              <w:jc w:val="both"/>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drawing>
                <wp:inline distT="0" distB="0" distL="114300" distR="114300">
                  <wp:extent cx="2623820" cy="1988820"/>
                  <wp:effectExtent l="0" t="0" r="12700" b="7620"/>
                  <wp:docPr id="17" name="图片 17" descr="f76884d6e567d0e6bd72bb9bc85ac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f76884d6e567d0e6bd72bb9bc85ac31"/>
                          <pic:cNvPicPr>
                            <a:picLocks noChangeAspect="1"/>
                          </pic:cNvPicPr>
                        </pic:nvPicPr>
                        <pic:blipFill>
                          <a:blip r:embed="rId22"/>
                          <a:stretch>
                            <a:fillRect/>
                          </a:stretch>
                        </pic:blipFill>
                        <pic:spPr>
                          <a:xfrm>
                            <a:off x="0" y="0"/>
                            <a:ext cx="2623820" cy="1988820"/>
                          </a:xfrm>
                          <a:prstGeom prst="rect">
                            <a:avLst/>
                          </a:prstGeom>
                        </pic:spPr>
                      </pic:pic>
                    </a:graphicData>
                  </a:graphic>
                </wp:inline>
              </w:drawing>
            </w:r>
          </w:p>
        </w:tc>
      </w:tr>
      <w:tr w14:paraId="405F7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39336A80">
            <w:pPr>
              <w:pStyle w:val="71"/>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车间仓库</w:t>
            </w:r>
          </w:p>
        </w:tc>
        <w:tc>
          <w:tcPr>
            <w:tcW w:w="4360" w:type="dxa"/>
          </w:tcPr>
          <w:p w14:paraId="292FF985">
            <w:pPr>
              <w:pStyle w:val="71"/>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二楼办公室</w:t>
            </w:r>
          </w:p>
        </w:tc>
      </w:tr>
      <w:tr w14:paraId="19FDD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00CCB8DE">
            <w:pPr>
              <w:pStyle w:val="71"/>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both"/>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drawing>
                <wp:inline distT="0" distB="0" distL="114300" distR="114300">
                  <wp:extent cx="2623820" cy="2020570"/>
                  <wp:effectExtent l="0" t="0" r="12700" b="6350"/>
                  <wp:docPr id="18" name="图片 18" descr="56606aca4bed02aeadfe55fe5363a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56606aca4bed02aeadfe55fe5363a9d"/>
                          <pic:cNvPicPr>
                            <a:picLocks noChangeAspect="1"/>
                          </pic:cNvPicPr>
                        </pic:nvPicPr>
                        <pic:blipFill>
                          <a:blip r:embed="rId23"/>
                          <a:stretch>
                            <a:fillRect/>
                          </a:stretch>
                        </pic:blipFill>
                        <pic:spPr>
                          <a:xfrm>
                            <a:off x="0" y="0"/>
                            <a:ext cx="2623820" cy="2020570"/>
                          </a:xfrm>
                          <a:prstGeom prst="rect">
                            <a:avLst/>
                          </a:prstGeom>
                        </pic:spPr>
                      </pic:pic>
                    </a:graphicData>
                  </a:graphic>
                </wp:inline>
              </w:drawing>
            </w:r>
          </w:p>
        </w:tc>
        <w:tc>
          <w:tcPr>
            <w:tcW w:w="4360" w:type="dxa"/>
          </w:tcPr>
          <w:p w14:paraId="5D2D4275">
            <w:pPr>
              <w:pStyle w:val="71"/>
              <w:keepNext w:val="0"/>
              <w:keepLines w:val="0"/>
              <w:pageBreakBefore w:val="0"/>
              <w:widowControl w:val="0"/>
              <w:kinsoku/>
              <w:wordWrap/>
              <w:overflowPunct/>
              <w:topLinePunct w:val="0"/>
              <w:autoSpaceDE w:val="0"/>
              <w:autoSpaceDN w:val="0"/>
              <w:bidi w:val="0"/>
              <w:adjustRightInd w:val="0"/>
              <w:snapToGrid/>
              <w:ind w:firstLine="0" w:firstLineChars="0"/>
              <w:jc w:val="both"/>
              <w:textAlignment w:val="auto"/>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drawing>
                <wp:anchor distT="0" distB="0" distL="114300" distR="114300" simplePos="0" relativeHeight="251677696" behindDoc="0" locked="0" layoutInCell="1" allowOverlap="1">
                  <wp:simplePos x="0" y="0"/>
                  <wp:positionH relativeFrom="column">
                    <wp:posOffset>0</wp:posOffset>
                  </wp:positionH>
                  <wp:positionV relativeFrom="paragraph">
                    <wp:posOffset>-3251200</wp:posOffset>
                  </wp:positionV>
                  <wp:extent cx="2623820" cy="2064385"/>
                  <wp:effectExtent l="0" t="0" r="12700" b="8255"/>
                  <wp:wrapTopAndBottom/>
                  <wp:docPr id="21" name="图片 21" descr="238cdc0f8239cc4ffe59f2c280726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238cdc0f8239cc4ffe59f2c2807261e"/>
                          <pic:cNvPicPr>
                            <a:picLocks noChangeAspect="1"/>
                          </pic:cNvPicPr>
                        </pic:nvPicPr>
                        <pic:blipFill>
                          <a:blip r:embed="rId24"/>
                          <a:stretch>
                            <a:fillRect/>
                          </a:stretch>
                        </pic:blipFill>
                        <pic:spPr>
                          <a:xfrm>
                            <a:off x="0" y="0"/>
                            <a:ext cx="2623820" cy="2064385"/>
                          </a:xfrm>
                          <a:prstGeom prst="rect">
                            <a:avLst/>
                          </a:prstGeom>
                        </pic:spPr>
                      </pic:pic>
                    </a:graphicData>
                  </a:graphic>
                </wp:anchor>
              </w:drawing>
            </w:r>
          </w:p>
        </w:tc>
      </w:tr>
      <w:tr w14:paraId="686D8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19CBE05A">
            <w:pPr>
              <w:pStyle w:val="71"/>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工艺流程图</w:t>
            </w:r>
          </w:p>
        </w:tc>
        <w:tc>
          <w:tcPr>
            <w:tcW w:w="4360" w:type="dxa"/>
          </w:tcPr>
          <w:p w14:paraId="28655185">
            <w:pPr>
              <w:pStyle w:val="71"/>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配电柜</w:t>
            </w:r>
          </w:p>
        </w:tc>
      </w:tr>
      <w:tr w14:paraId="09C91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2DB02260">
            <w:pPr>
              <w:pStyle w:val="71"/>
              <w:spacing w:line="360" w:lineRule="auto"/>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drawing>
                <wp:inline distT="0" distB="0" distL="114300" distR="114300">
                  <wp:extent cx="2625725" cy="1970405"/>
                  <wp:effectExtent l="0" t="0" r="10795" b="10795"/>
                  <wp:docPr id="19" name="图片 19" descr="ac759a86670e5ac8df6e656f9432c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ac759a86670e5ac8df6e656f9432cb4"/>
                          <pic:cNvPicPr>
                            <a:picLocks noChangeAspect="1"/>
                          </pic:cNvPicPr>
                        </pic:nvPicPr>
                        <pic:blipFill>
                          <a:blip r:embed="rId25"/>
                          <a:stretch>
                            <a:fillRect/>
                          </a:stretch>
                        </pic:blipFill>
                        <pic:spPr>
                          <a:xfrm>
                            <a:off x="0" y="0"/>
                            <a:ext cx="2625725" cy="1970405"/>
                          </a:xfrm>
                          <a:prstGeom prst="rect">
                            <a:avLst/>
                          </a:prstGeom>
                        </pic:spPr>
                      </pic:pic>
                    </a:graphicData>
                  </a:graphic>
                </wp:inline>
              </w:drawing>
            </w:r>
          </w:p>
        </w:tc>
        <w:tc>
          <w:tcPr>
            <w:tcW w:w="4360" w:type="dxa"/>
          </w:tcPr>
          <w:p w14:paraId="4F112003">
            <w:pPr>
              <w:pStyle w:val="71"/>
              <w:spacing w:line="360" w:lineRule="auto"/>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drawing>
                <wp:inline distT="0" distB="0" distL="114300" distR="114300">
                  <wp:extent cx="2625725" cy="1970405"/>
                  <wp:effectExtent l="0" t="0" r="10795" b="10795"/>
                  <wp:docPr id="22" name="图片 22" descr="b29677bc8945c47ea53b7f210c6d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b29677bc8945c47ea53b7f210c6d197"/>
                          <pic:cNvPicPr>
                            <a:picLocks noChangeAspect="1"/>
                          </pic:cNvPicPr>
                        </pic:nvPicPr>
                        <pic:blipFill>
                          <a:blip r:embed="rId26"/>
                          <a:stretch>
                            <a:fillRect/>
                          </a:stretch>
                        </pic:blipFill>
                        <pic:spPr>
                          <a:xfrm>
                            <a:off x="0" y="0"/>
                            <a:ext cx="2625725" cy="1970405"/>
                          </a:xfrm>
                          <a:prstGeom prst="rect">
                            <a:avLst/>
                          </a:prstGeom>
                        </pic:spPr>
                      </pic:pic>
                    </a:graphicData>
                  </a:graphic>
                </wp:inline>
              </w:drawing>
            </w:r>
          </w:p>
        </w:tc>
      </w:tr>
      <w:tr w14:paraId="6828F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3858DD75">
            <w:pPr>
              <w:pStyle w:val="7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宋体" w:hAnsi="宋体" w:eastAsia="宋体" w:cs="宋体"/>
                <w:bCs/>
                <w:color w:val="000000" w:themeColor="text1"/>
                <w:lang w:val="en-US" w:eastAsia="zh-CN"/>
                <w14:textFill>
                  <w14:solidFill>
                    <w14:schemeClr w14:val="tx1"/>
                  </w14:solidFill>
                </w14:textFill>
              </w:rPr>
            </w:pPr>
            <w:r>
              <w:rPr>
                <w:rFonts w:hint="eastAsia" w:ascii="宋体" w:hAnsi="宋体" w:eastAsia="宋体" w:cs="宋体"/>
                <w:bCs/>
                <w:color w:val="000000" w:themeColor="text1"/>
                <w:lang w:val="en-US" w:eastAsia="zh-CN"/>
                <w14:textFill>
                  <w14:solidFill>
                    <w14:schemeClr w14:val="tx1"/>
                  </w14:solidFill>
                </w14:textFill>
              </w:rPr>
              <w:t>行车</w:t>
            </w:r>
          </w:p>
        </w:tc>
        <w:tc>
          <w:tcPr>
            <w:tcW w:w="4360" w:type="dxa"/>
          </w:tcPr>
          <w:p w14:paraId="6D7F7B94">
            <w:pPr>
              <w:pStyle w:val="7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宋体" w:hAnsi="宋体" w:eastAsia="宋体" w:cs="宋体"/>
                <w:bCs/>
                <w:color w:val="000000" w:themeColor="text1"/>
                <w:lang w:val="en-US" w:eastAsia="zh-CN"/>
                <w14:textFill>
                  <w14:solidFill>
                    <w14:schemeClr w14:val="tx1"/>
                  </w14:solidFill>
                </w14:textFill>
              </w:rPr>
            </w:pPr>
            <w:r>
              <w:rPr>
                <w:rFonts w:hint="eastAsia" w:ascii="宋体" w:hAnsi="宋体" w:eastAsia="宋体" w:cs="宋体"/>
                <w:bCs/>
                <w:color w:val="000000" w:themeColor="text1"/>
                <w:lang w:val="en-US" w:eastAsia="zh-CN"/>
                <w14:textFill>
                  <w14:solidFill>
                    <w14:schemeClr w14:val="tx1"/>
                  </w14:solidFill>
                </w14:textFill>
              </w:rPr>
              <w:t>空压机</w:t>
            </w:r>
          </w:p>
        </w:tc>
      </w:tr>
      <w:tr w14:paraId="1B2E6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14:paraId="1F38986F">
            <w:pPr>
              <w:pStyle w:val="71"/>
              <w:spacing w:line="360" w:lineRule="auto"/>
              <w:jc w:val="center"/>
              <w:rPr>
                <w:rFonts w:hint="eastAsia" w:ascii="宋体" w:hAnsi="宋体" w:eastAsia="宋体" w:cs="宋体"/>
                <w:bCs/>
                <w:color w:val="000000" w:themeColor="text1"/>
                <w:lang w:eastAsia="zh-CN"/>
                <w14:textFill>
                  <w14:solidFill>
                    <w14:schemeClr w14:val="tx1"/>
                  </w14:solidFill>
                </w14:textFill>
              </w:rPr>
            </w:pPr>
            <w:r>
              <w:rPr>
                <w:rFonts w:hint="eastAsia" w:ascii="宋体" w:hAnsi="宋体" w:eastAsia="宋体" w:cs="宋体"/>
                <w:bCs/>
                <w:color w:val="000000" w:themeColor="text1"/>
                <w:lang w:eastAsia="zh-CN"/>
                <w14:textFill>
                  <w14:solidFill>
                    <w14:schemeClr w14:val="tx1"/>
                  </w14:solidFill>
                </w14:textFill>
              </w:rPr>
              <w:drawing>
                <wp:inline distT="0" distB="0" distL="114300" distR="114300">
                  <wp:extent cx="2621915" cy="1965325"/>
                  <wp:effectExtent l="0" t="0" r="14605" b="635"/>
                  <wp:docPr id="5" name="图片 5" descr="5a5a2809fa0f256f74a5248d32d8f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a5a2809fa0f256f74a5248d32d8ffd"/>
                          <pic:cNvPicPr>
                            <a:picLocks noChangeAspect="1"/>
                          </pic:cNvPicPr>
                        </pic:nvPicPr>
                        <pic:blipFill>
                          <a:blip r:embed="rId27"/>
                          <a:stretch>
                            <a:fillRect/>
                          </a:stretch>
                        </pic:blipFill>
                        <pic:spPr>
                          <a:xfrm>
                            <a:off x="0" y="0"/>
                            <a:ext cx="2621915" cy="1965325"/>
                          </a:xfrm>
                          <a:prstGeom prst="rect">
                            <a:avLst/>
                          </a:prstGeom>
                        </pic:spPr>
                      </pic:pic>
                    </a:graphicData>
                  </a:graphic>
                </wp:inline>
              </w:drawing>
            </w:r>
          </w:p>
        </w:tc>
        <w:tc>
          <w:tcPr>
            <w:tcW w:w="4360" w:type="dxa"/>
          </w:tcPr>
          <w:p w14:paraId="449A4C70">
            <w:pPr>
              <w:pStyle w:val="71"/>
              <w:spacing w:line="360" w:lineRule="auto"/>
              <w:jc w:val="center"/>
              <w:rPr>
                <w:rFonts w:hint="eastAsia" w:ascii="宋体" w:hAnsi="宋体" w:eastAsia="宋体" w:cs="宋体"/>
                <w:bCs/>
                <w:color w:val="000000" w:themeColor="text1"/>
                <w:lang w:eastAsia="zh-CN"/>
                <w14:textFill>
                  <w14:solidFill>
                    <w14:schemeClr w14:val="tx1"/>
                  </w14:solidFill>
                </w14:textFill>
              </w:rPr>
            </w:pPr>
            <w:r>
              <w:rPr>
                <w:rFonts w:hint="eastAsia" w:ascii="宋体" w:hAnsi="宋体" w:eastAsia="宋体" w:cs="宋体"/>
                <w:bCs/>
                <w:color w:val="000000" w:themeColor="text1"/>
                <w:lang w:eastAsia="zh-CN"/>
                <w14:textFill>
                  <w14:solidFill>
                    <w14:schemeClr w14:val="tx1"/>
                  </w14:solidFill>
                </w14:textFill>
              </w:rPr>
              <w:drawing>
                <wp:inline distT="0" distB="0" distL="114300" distR="114300">
                  <wp:extent cx="2625725" cy="1968500"/>
                  <wp:effectExtent l="0" t="0" r="10795" b="12700"/>
                  <wp:docPr id="24" name="图片 24" descr="b297b6a5fc3c9ea124e1445e624f1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b297b6a5fc3c9ea124e1445e624f15b"/>
                          <pic:cNvPicPr>
                            <a:picLocks noChangeAspect="1"/>
                          </pic:cNvPicPr>
                        </pic:nvPicPr>
                        <pic:blipFill>
                          <a:blip r:embed="rId28"/>
                          <a:stretch>
                            <a:fillRect/>
                          </a:stretch>
                        </pic:blipFill>
                        <pic:spPr>
                          <a:xfrm>
                            <a:off x="0" y="0"/>
                            <a:ext cx="2625725" cy="1968500"/>
                          </a:xfrm>
                          <a:prstGeom prst="rect">
                            <a:avLst/>
                          </a:prstGeom>
                        </pic:spPr>
                      </pic:pic>
                    </a:graphicData>
                  </a:graphic>
                </wp:inline>
              </w:drawing>
            </w:r>
          </w:p>
        </w:tc>
      </w:tr>
      <w:tr w14:paraId="080D0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4360" w:type="dxa"/>
          </w:tcPr>
          <w:p w14:paraId="1A44D5BB">
            <w:pPr>
              <w:pStyle w:val="7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宋体" w:hAnsi="宋体" w:eastAsia="宋体" w:cs="宋体"/>
                <w:bCs/>
                <w:color w:val="000000" w:themeColor="text1"/>
                <w:lang w:val="en-US" w:eastAsia="zh-CN"/>
                <w14:textFill>
                  <w14:solidFill>
                    <w14:schemeClr w14:val="tx1"/>
                  </w14:solidFill>
                </w14:textFill>
              </w:rPr>
            </w:pPr>
            <w:r>
              <w:rPr>
                <w:rFonts w:hint="eastAsia" w:ascii="宋体" w:hAnsi="宋体" w:eastAsia="宋体" w:cs="宋体"/>
                <w:bCs/>
                <w:color w:val="000000" w:themeColor="text1"/>
                <w:lang w:val="en-US" w:eastAsia="zh-CN"/>
                <w14:textFill>
                  <w14:solidFill>
                    <w14:schemeClr w14:val="tx1"/>
                  </w14:solidFill>
                </w14:textFill>
              </w:rPr>
              <w:t>评价师与业主合影（左一评价师</w:t>
            </w:r>
            <w:r>
              <w:rPr>
                <w:rFonts w:hint="eastAsia" w:ascii="宋体" w:hAnsi="宋体" w:eastAsia="宋体" w:cs="宋体"/>
                <w:bCs/>
                <w:color w:val="000000" w:themeColor="text1"/>
                <w:lang w:val="en-US" w:eastAsia="zh-CN"/>
                <w14:textFill>
                  <w14:solidFill>
                    <w14:schemeClr w14:val="tx1"/>
                  </w14:solidFill>
                </w14:textFill>
              </w:rPr>
              <w:t>周忠菊</w:t>
            </w:r>
            <w:r>
              <w:rPr>
                <w:rFonts w:hint="eastAsia" w:ascii="宋体" w:hAnsi="宋体" w:eastAsia="宋体" w:cs="宋体"/>
                <w:bCs/>
                <w:color w:val="000000" w:themeColor="text1"/>
                <w:lang w:val="en-US" w:eastAsia="zh-CN"/>
                <w14:textFill>
                  <w14:solidFill>
                    <w14:schemeClr w14:val="tx1"/>
                  </w14:solidFill>
                </w14:textFill>
              </w:rPr>
              <w:t>）</w:t>
            </w:r>
          </w:p>
        </w:tc>
        <w:tc>
          <w:tcPr>
            <w:tcW w:w="4360" w:type="dxa"/>
          </w:tcPr>
          <w:p w14:paraId="13D852BC">
            <w:pPr>
              <w:pStyle w:val="7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宋体" w:hAnsi="宋体" w:eastAsia="宋体" w:cs="宋体"/>
                <w:bCs/>
                <w:color w:val="000000" w:themeColor="text1"/>
                <w:lang w:val="en-US" w:eastAsia="zh-CN"/>
                <w14:textFill>
                  <w14:solidFill>
                    <w14:schemeClr w14:val="tx1"/>
                  </w14:solidFill>
                </w14:textFill>
              </w:rPr>
            </w:pPr>
            <w:r>
              <w:rPr>
                <w:rFonts w:hint="eastAsia" w:ascii="宋体" w:hAnsi="宋体" w:eastAsia="宋体" w:cs="宋体"/>
                <w:bCs/>
                <w:color w:val="000000" w:themeColor="text1"/>
                <w:lang w:val="en-US" w:eastAsia="zh-CN"/>
                <w14:textFill>
                  <w14:solidFill>
                    <w14:schemeClr w14:val="tx1"/>
                  </w14:solidFill>
                </w14:textFill>
              </w:rPr>
              <w:t>评价师与业主合影（左一评价师李毅雄</w:t>
            </w:r>
            <w:r>
              <w:rPr>
                <w:rFonts w:hint="eastAsia" w:ascii="宋体" w:hAnsi="宋体" w:eastAsia="宋体" w:cs="宋体"/>
                <w:bCs/>
                <w:color w:val="000000" w:themeColor="text1"/>
                <w:lang w:val="en-US" w:eastAsia="zh-CN"/>
                <w14:textFill>
                  <w14:solidFill>
                    <w14:schemeClr w14:val="tx1"/>
                  </w14:solidFill>
                </w14:textFill>
              </w:rPr>
              <w:t>）</w:t>
            </w:r>
          </w:p>
        </w:tc>
      </w:tr>
    </w:tbl>
    <w:p w14:paraId="2DEE7118">
      <w:pPr>
        <w:bidi w:val="0"/>
        <w:rPr>
          <w:rFonts w:hint="eastAsia" w:ascii="宋体" w:hAnsi="宋体" w:eastAsia="宋体" w:cs="宋体"/>
        </w:rPr>
        <w:sectPr>
          <w:pgSz w:w="11906" w:h="16838"/>
          <w:pgMar w:top="1587" w:right="1701" w:bottom="1701" w:left="1701" w:header="851" w:footer="992" w:gutter="0"/>
          <w:pgBorders>
            <w:top w:val="none" w:sz="0" w:space="0"/>
            <w:left w:val="none" w:sz="0" w:space="0"/>
            <w:bottom w:val="none" w:sz="0" w:space="0"/>
            <w:right w:val="none" w:sz="0" w:space="0"/>
          </w:pgBorders>
          <w:pgNumType w:fmt="decimal"/>
          <w:cols w:space="720" w:num="1"/>
          <w:docGrid w:type="lines" w:linePitch="330" w:charSpace="0"/>
        </w:sectPr>
      </w:pPr>
    </w:p>
    <w:bookmarkEnd w:id="265"/>
    <w:bookmarkEnd w:id="266"/>
    <w:bookmarkEnd w:id="267"/>
    <w:p w14:paraId="165C4933">
      <w:pPr>
        <w:pStyle w:val="3"/>
        <w:keepNext/>
        <w:keepLines/>
        <w:pageBreakBefore w:val="0"/>
        <w:widowControl w:val="0"/>
        <w:kinsoku/>
        <w:wordWrap/>
        <w:overflowPunct/>
        <w:topLinePunct w:val="0"/>
        <w:autoSpaceDE/>
        <w:autoSpaceDN/>
        <w:bidi w:val="0"/>
        <w:adjustRightInd/>
        <w:snapToGrid w:val="0"/>
        <w:spacing w:before="100" w:beforeAutospacing="1" w:after="100" w:afterAutospacing="1"/>
        <w:textAlignment w:val="auto"/>
        <w:rPr>
          <w:rFonts w:hint="eastAsia" w:ascii="宋体" w:hAnsi="宋体" w:eastAsia="宋体" w:cs="宋体"/>
          <w:color w:val="000000" w:themeColor="text1"/>
          <w14:textFill>
            <w14:solidFill>
              <w14:schemeClr w14:val="tx1"/>
            </w14:solidFill>
          </w14:textFill>
        </w:rPr>
      </w:pPr>
      <w:bookmarkStart w:id="269" w:name="_Toc30428"/>
      <w:bookmarkStart w:id="270" w:name="_Toc17554"/>
      <w:bookmarkStart w:id="271" w:name="_Toc25262"/>
      <w:bookmarkStart w:id="272" w:name="_Toc15392"/>
      <w:bookmarkStart w:id="273" w:name="_Toc313453543"/>
      <w:bookmarkStart w:id="274" w:name="_Toc335926205"/>
      <w:bookmarkStart w:id="275" w:name="_Toc12314"/>
      <w:r>
        <w:rPr>
          <w:rFonts w:hint="eastAsia" w:ascii="宋体" w:hAnsi="宋体" w:eastAsia="宋体" w:cs="宋体"/>
          <w:color w:val="000000" w:themeColor="text1"/>
          <w14:textFill>
            <w14:solidFill>
              <w14:schemeClr w14:val="tx1"/>
            </w14:solidFill>
          </w14:textFill>
        </w:rPr>
        <w:t>第3章  主要危险、有害因素辨识与分析</w:t>
      </w:r>
      <w:bookmarkEnd w:id="269"/>
      <w:bookmarkEnd w:id="270"/>
      <w:bookmarkEnd w:id="271"/>
      <w:bookmarkEnd w:id="272"/>
    </w:p>
    <w:p w14:paraId="050E2BF3">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宋体" w:hAnsi="宋体" w:eastAsia="宋体" w:cs="宋体"/>
          <w:color w:val="000000" w:themeColor="text1"/>
          <w:sz w:val="28"/>
          <w14:textFill>
            <w14:solidFill>
              <w14:schemeClr w14:val="tx1"/>
            </w14:solidFill>
          </w14:textFill>
        </w:rPr>
      </w:pPr>
      <w:bookmarkStart w:id="276" w:name="_Toc2018"/>
      <w:bookmarkStart w:id="277" w:name="_Toc18363"/>
      <w:bookmarkStart w:id="278" w:name="_Toc532203511"/>
      <w:bookmarkStart w:id="279" w:name="_Toc201697580"/>
      <w:bookmarkStart w:id="280" w:name="_Toc121910214"/>
      <w:bookmarkStart w:id="281" w:name="_Toc5642_WPSOffice_Level2"/>
      <w:bookmarkStart w:id="282" w:name="_Toc398"/>
      <w:bookmarkStart w:id="283" w:name="_Toc29010"/>
      <w:bookmarkStart w:id="284" w:name="_Toc395212044"/>
      <w:bookmarkStart w:id="285" w:name="_Toc208138638"/>
      <w:bookmarkStart w:id="286" w:name="_Toc27399"/>
      <w:bookmarkStart w:id="287" w:name="_Toc181545896"/>
      <w:bookmarkStart w:id="288" w:name="_Toc17555"/>
      <w:bookmarkStart w:id="289" w:name="_Toc5414"/>
      <w:bookmarkStart w:id="290" w:name="_Toc439100950"/>
      <w:bookmarkStart w:id="291" w:name="_Toc57"/>
      <w:bookmarkStart w:id="292" w:name="_Toc395212950"/>
      <w:bookmarkStart w:id="293" w:name="_Toc312139931"/>
      <w:bookmarkStart w:id="294" w:name="_Toc7563"/>
      <w:bookmarkStart w:id="295" w:name="_Toc24936"/>
      <w:bookmarkStart w:id="296" w:name="_Toc184653866"/>
      <w:bookmarkStart w:id="297" w:name="_Toc293305107"/>
      <w:r>
        <w:rPr>
          <w:rFonts w:hint="eastAsia" w:ascii="宋体" w:hAnsi="宋体" w:eastAsia="宋体" w:cs="宋体"/>
          <w:color w:val="000000" w:themeColor="text1"/>
          <w:sz w:val="28"/>
          <w14:textFill>
            <w14:solidFill>
              <w14:schemeClr w14:val="tx1"/>
            </w14:solidFill>
          </w14:textFill>
        </w:rPr>
        <w:t>本章</w:t>
      </w:r>
      <w:r>
        <w:rPr>
          <w:rFonts w:hint="eastAsia" w:ascii="宋体" w:hAnsi="宋体" w:eastAsia="宋体" w:cs="宋体"/>
          <w:color w:val="000000" w:themeColor="text1"/>
          <w:sz w:val="28"/>
          <w:lang w:eastAsia="zh-CN"/>
          <w14:textFill>
            <w14:solidFill>
              <w14:schemeClr w14:val="tx1"/>
            </w14:solidFill>
          </w14:textFill>
        </w:rPr>
        <w:t>主要</w:t>
      </w:r>
      <w:r>
        <w:rPr>
          <w:rFonts w:hint="eastAsia" w:ascii="宋体" w:hAnsi="宋体" w:eastAsia="宋体" w:cs="宋体"/>
          <w:color w:val="000000" w:themeColor="text1"/>
          <w:sz w:val="28"/>
          <w14:textFill>
            <w14:solidFill>
              <w14:schemeClr w14:val="tx1"/>
            </w14:solidFill>
          </w14:textFill>
        </w:rPr>
        <w:t>针对</w:t>
      </w:r>
      <w:r>
        <w:rPr>
          <w:rFonts w:hint="eastAsia" w:ascii="宋体" w:hAnsi="宋体" w:eastAsia="宋体" w:cs="宋体"/>
          <w:color w:val="000000" w:themeColor="text1"/>
          <w:sz w:val="28"/>
          <w14:textFill>
            <w14:solidFill>
              <w14:schemeClr w14:val="tx1"/>
            </w14:solidFill>
          </w14:textFill>
        </w:rPr>
        <w:t>项目</w:t>
      </w:r>
      <w:r>
        <w:rPr>
          <w:rFonts w:hint="eastAsia" w:ascii="宋体" w:hAnsi="宋体" w:eastAsia="宋体" w:cs="宋体"/>
          <w:color w:val="000000" w:themeColor="text1"/>
          <w:sz w:val="28"/>
          <w14:textFill>
            <w14:solidFill>
              <w14:schemeClr w14:val="tx1"/>
            </w14:solidFill>
          </w14:textFill>
        </w:rPr>
        <w:t>现状及公辅</w:t>
      </w:r>
      <w:r>
        <w:rPr>
          <w:rFonts w:hint="eastAsia" w:ascii="宋体" w:hAnsi="宋体" w:eastAsia="宋体" w:cs="宋体"/>
          <w:color w:val="000000" w:themeColor="text1"/>
          <w:sz w:val="28"/>
          <w:lang w:val="en-US" w:eastAsia="zh-CN"/>
          <w14:textFill>
            <w14:solidFill>
              <w14:schemeClr w14:val="tx1"/>
            </w14:solidFill>
          </w14:textFill>
        </w:rPr>
        <w:t>辅助</w:t>
      </w:r>
      <w:r>
        <w:rPr>
          <w:rFonts w:hint="eastAsia" w:ascii="宋体" w:hAnsi="宋体" w:eastAsia="宋体" w:cs="宋体"/>
          <w:color w:val="000000" w:themeColor="text1"/>
          <w:sz w:val="28"/>
          <w14:textFill>
            <w14:solidFill>
              <w14:schemeClr w14:val="tx1"/>
            </w14:solidFill>
          </w14:textFill>
        </w:rPr>
        <w:t>设施的生产现状情况，对设施、装置和生产系统中可能存在的危险、有害因素进行辨识和分析，确定其主要危险、有害因素的种类及其存在部位和可能产生的后果，以确定评价对象，选用评价方法和提出有针对性的措施，便于该项目在以后的生产过程中对其固有和潜在的危险、有害因素，按照消除、减弱、预防、控制原则，保证生产系统的安全运行。简言之，就是识别系统危险性，找出引发原因，把握薄弱环节，寻找预防事故的最佳途径。</w:t>
      </w:r>
    </w:p>
    <w:p w14:paraId="3A94ED10">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298" w:name="_Toc9265"/>
      <w:bookmarkStart w:id="299" w:name="_Toc659"/>
      <w:r>
        <w:rPr>
          <w:rFonts w:hint="eastAsia" w:ascii="宋体" w:hAnsi="宋体" w:eastAsia="宋体" w:cs="宋体"/>
          <w:color w:val="000000" w:themeColor="text1"/>
          <w14:textFill>
            <w14:solidFill>
              <w14:schemeClr w14:val="tx1"/>
            </w14:solidFill>
          </w14:textFill>
        </w:rPr>
        <w:t>3.1</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辨识与分析的目的</w:t>
      </w:r>
      <w:bookmarkEnd w:id="298"/>
      <w:bookmarkEnd w:id="299"/>
    </w:p>
    <w:p w14:paraId="13A23CA3">
      <w:pPr>
        <w:keepNext w:val="0"/>
        <w:keepLines w:val="0"/>
        <w:pageBreakBefore w:val="0"/>
        <w:widowControl w:val="0"/>
        <w:kinsoku/>
        <w:wordWrap/>
        <w:overflowPunct/>
        <w:topLinePunct w:val="0"/>
        <w:autoSpaceDE/>
        <w:autoSpaceDN/>
        <w:bidi w:val="0"/>
        <w:spacing w:line="520" w:lineRule="exact"/>
        <w:ind w:firstLine="560" w:firstLineChars="200"/>
        <w:textAlignment w:val="auto"/>
        <w:rPr>
          <w:rStyle w:val="308"/>
          <w:rFonts w:hint="eastAsia" w:ascii="宋体" w:hAnsi="宋体" w:eastAsia="宋体" w:cs="宋体"/>
          <w:color w:val="000000" w:themeColor="text1"/>
          <w14:textFill>
            <w14:solidFill>
              <w14:schemeClr w14:val="tx1"/>
            </w14:solidFill>
          </w14:textFill>
        </w:rPr>
      </w:pPr>
      <w:r>
        <w:rPr>
          <w:rStyle w:val="308"/>
          <w:rFonts w:hint="eastAsia" w:ascii="宋体" w:hAnsi="宋体" w:eastAsia="宋体" w:cs="宋体"/>
          <w:color w:val="000000" w:themeColor="text1"/>
          <w14:textFill>
            <w14:solidFill>
              <w14:schemeClr w14:val="tx1"/>
            </w14:solidFill>
          </w14:textFill>
        </w:rPr>
        <w:t>危险、有害因素辨识与分析是安全评价的基础。</w:t>
      </w:r>
    </w:p>
    <w:p w14:paraId="2591A4B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Style w:val="308"/>
          <w:rFonts w:hint="eastAsia" w:ascii="宋体" w:hAnsi="宋体" w:eastAsia="宋体" w:cs="宋体"/>
          <w:color w:val="000000" w:themeColor="text1"/>
          <w14:textFill>
            <w14:solidFill>
              <w14:schemeClr w14:val="tx1"/>
            </w14:solidFill>
          </w14:textFill>
        </w:rPr>
      </w:pPr>
      <w:r>
        <w:rPr>
          <w:rStyle w:val="308"/>
          <w:rFonts w:hint="eastAsia" w:ascii="宋体" w:hAnsi="宋体" w:eastAsia="宋体" w:cs="宋体"/>
          <w:color w:val="000000" w:themeColor="text1"/>
          <w14:textFill>
            <w14:solidFill>
              <w14:schemeClr w14:val="tx1"/>
            </w14:solidFill>
          </w14:textFill>
        </w:rPr>
        <w:t>危险因素是指系统（人、机械、材料、设施、工艺、环境）中存在的，能对人造成伤亡，对物造成突发性损害的因素。</w:t>
      </w:r>
    </w:p>
    <w:p w14:paraId="08A0BF8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Style w:val="308"/>
          <w:rFonts w:hint="eastAsia" w:ascii="宋体" w:hAnsi="宋体" w:eastAsia="宋体" w:cs="宋体"/>
          <w:color w:val="000000" w:themeColor="text1"/>
          <w14:textFill>
            <w14:solidFill>
              <w14:schemeClr w14:val="tx1"/>
            </w14:solidFill>
          </w14:textFill>
        </w:rPr>
      </w:pPr>
      <w:r>
        <w:rPr>
          <w:rStyle w:val="308"/>
          <w:rFonts w:hint="eastAsia" w:ascii="宋体" w:hAnsi="宋体" w:eastAsia="宋体" w:cs="宋体"/>
          <w:color w:val="000000" w:themeColor="text1"/>
          <w14:textFill>
            <w14:solidFill>
              <w14:schemeClr w14:val="tx1"/>
            </w14:solidFill>
          </w14:textFill>
        </w:rPr>
        <w:t>有害因素是指影响人的身体健康，导致疾病，或对物造成慢性损害的因素。</w:t>
      </w:r>
    </w:p>
    <w:p w14:paraId="0DE20774">
      <w:pPr>
        <w:keepNext w:val="0"/>
        <w:keepLines w:val="0"/>
        <w:pageBreakBefore w:val="0"/>
        <w:widowControl w:val="0"/>
        <w:kinsoku/>
        <w:wordWrap/>
        <w:overflowPunct/>
        <w:topLinePunct w:val="0"/>
        <w:autoSpaceDE/>
        <w:autoSpaceDN/>
        <w:bidi w:val="0"/>
        <w:spacing w:line="520" w:lineRule="exact"/>
        <w:ind w:firstLine="560" w:firstLineChars="200"/>
        <w:textAlignment w:val="auto"/>
        <w:rPr>
          <w:rStyle w:val="308"/>
          <w:rFonts w:hint="eastAsia" w:ascii="宋体" w:hAnsi="宋体" w:eastAsia="宋体" w:cs="宋体"/>
          <w:color w:val="000000" w:themeColor="text1"/>
          <w14:textFill>
            <w14:solidFill>
              <w14:schemeClr w14:val="tx1"/>
            </w14:solidFill>
          </w14:textFill>
        </w:rPr>
      </w:pPr>
      <w:r>
        <w:rPr>
          <w:rStyle w:val="308"/>
          <w:rFonts w:hint="eastAsia" w:ascii="宋体" w:hAnsi="宋体" w:eastAsia="宋体" w:cs="宋体"/>
          <w:color w:val="000000" w:themeColor="text1"/>
          <w14:textFill>
            <w14:solidFill>
              <w14:schemeClr w14:val="tx1"/>
            </w14:solidFill>
          </w14:textFill>
        </w:rPr>
        <w:t>主要危险、有害因素的识别，就是找出生产、经营过程中最有可能引发重大事故，导致不良后果的人、机、物、工艺、环境和组织等，识别可能发生的事故、后果和条件，以便采取预防和控制措施。</w:t>
      </w:r>
    </w:p>
    <w:p w14:paraId="014F8FCD">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300" w:name="_Toc10200"/>
      <w:r>
        <w:rPr>
          <w:rFonts w:hint="eastAsia" w:ascii="宋体" w:hAnsi="宋体" w:eastAsia="宋体" w:cs="宋体"/>
          <w:color w:val="000000" w:themeColor="text1"/>
          <w14:textFill>
            <w14:solidFill>
              <w14:schemeClr w14:val="tx1"/>
            </w14:solidFill>
          </w14:textFill>
        </w:rPr>
        <w:t>3.</w:t>
      </w:r>
      <w:r>
        <w:rPr>
          <w:rFonts w:hint="eastAsia" w:ascii="宋体" w:hAnsi="宋体" w:eastAsia="宋体" w:cs="宋体"/>
          <w:color w:val="000000" w:themeColor="text1"/>
          <w:lang w:val="en-US" w:eastAsia="zh-CN"/>
          <w14:textFill>
            <w14:solidFill>
              <w14:schemeClr w14:val="tx1"/>
            </w14:solidFill>
          </w14:textFill>
        </w:rPr>
        <w:t xml:space="preserve">2 </w:t>
      </w:r>
      <w:r>
        <w:rPr>
          <w:rFonts w:hint="eastAsia" w:ascii="宋体" w:hAnsi="宋体" w:eastAsia="宋体" w:cs="宋体"/>
          <w:color w:val="000000" w:themeColor="text1"/>
          <w14:textFill>
            <w14:solidFill>
              <w14:schemeClr w14:val="tx1"/>
            </w14:solidFill>
          </w14:textFill>
        </w:rPr>
        <w:t>辨识与分析的依据</w:t>
      </w:r>
      <w:bookmarkEnd w:id="276"/>
      <w:bookmarkEnd w:id="277"/>
      <w:bookmarkEnd w:id="278"/>
      <w:bookmarkEnd w:id="300"/>
    </w:p>
    <w:p w14:paraId="4F96CCE9">
      <w:pPr>
        <w:keepNext w:val="0"/>
        <w:keepLines w:val="0"/>
        <w:pageBreakBefore w:val="0"/>
        <w:widowControl w:val="0"/>
        <w:kinsoku/>
        <w:wordWrap/>
        <w:overflowPunct/>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按照《企业职工伤亡事故分类》（GB6441-1986），综合考虑起因物、引起事故的诱导性原因、致害物、伤害方式等，将</w:t>
      </w:r>
      <w:r>
        <w:rPr>
          <w:rFonts w:hint="eastAsia" w:ascii="宋体" w:hAnsi="宋体" w:eastAsia="宋体" w:cs="宋体"/>
          <w:snapToGrid w:val="0"/>
          <w:color w:val="000000" w:themeColor="text1"/>
          <w:kern w:val="0"/>
          <w:sz w:val="28"/>
          <w:szCs w:val="28"/>
          <w14:textFill>
            <w14:solidFill>
              <w14:schemeClr w14:val="tx1"/>
            </w14:solidFill>
          </w14:textFill>
        </w:rPr>
        <w:t>事故类别</w:t>
      </w:r>
      <w:r>
        <w:rPr>
          <w:rFonts w:hint="eastAsia" w:ascii="宋体" w:hAnsi="宋体" w:eastAsia="宋体" w:cs="宋体"/>
          <w:snapToGrid w:val="0"/>
          <w:color w:val="000000" w:themeColor="text1"/>
          <w:kern w:val="0"/>
          <w:sz w:val="28"/>
          <w:szCs w:val="28"/>
          <w14:textFill>
            <w14:solidFill>
              <w14:schemeClr w14:val="tx1"/>
            </w14:solidFill>
          </w14:textFill>
        </w:rPr>
        <w:t>分为20类，分别为物体打击、车辆伤害、机械伤害</w:t>
      </w:r>
      <w:r>
        <w:rPr>
          <w:rFonts w:hint="eastAsia" w:ascii="宋体" w:hAnsi="宋体" w:eastAsia="宋体" w:cs="宋体"/>
          <w:snapToGrid w:val="0"/>
          <w:color w:val="000000" w:themeColor="text1"/>
          <w:kern w:val="0"/>
          <w:sz w:val="28"/>
          <w:szCs w:val="28"/>
          <w14:textFill>
            <w14:solidFill>
              <w14:schemeClr w14:val="tx1"/>
            </w14:solidFill>
          </w14:textFill>
        </w:rPr>
        <w:t>、起重伤害、触电、淹溺、灼烫、火灾、高处坠落、坍塌、冒顶片帮、透水、放炮、瓦斯爆炸、火药爆炸、锅炉爆炸、容器爆炸、其他爆炸、中毒和窒息及其他伤害。</w:t>
      </w:r>
    </w:p>
    <w:p w14:paraId="01ADB072">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根据《生产过程危险和有害因素分类与代码》（GB/T13861-20</w:t>
      </w:r>
      <w:r>
        <w:rPr>
          <w:rFonts w:hint="eastAsia" w:ascii="宋体" w:hAnsi="宋体" w:eastAsia="宋体" w:cs="宋体"/>
          <w:color w:val="000000" w:themeColor="text1"/>
          <w:sz w:val="28"/>
          <w:szCs w:val="28"/>
          <w14:textFill>
            <w14:solidFill>
              <w14:schemeClr w14:val="tx1"/>
            </w14:solidFill>
          </w14:textFill>
        </w:rPr>
        <w:t>22</w:t>
      </w:r>
      <w:r>
        <w:rPr>
          <w:rFonts w:hint="eastAsia" w:ascii="宋体" w:hAnsi="宋体" w:eastAsia="宋体" w:cs="宋体"/>
          <w:color w:val="000000" w:themeColor="text1"/>
          <w:sz w:val="28"/>
          <w:szCs w:val="28"/>
          <w14:textFill>
            <w14:solidFill>
              <w14:schemeClr w14:val="tx1"/>
            </w14:solidFill>
          </w14:textFill>
        </w:rPr>
        <w:t>）的规定，将危险因素分为四类：</w:t>
      </w:r>
    </w:p>
    <w:p w14:paraId="3383E3E1">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一、人的因素</w:t>
      </w:r>
    </w:p>
    <w:p w14:paraId="677E0602">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1.心理、生理性危险和有害因素；</w:t>
      </w:r>
    </w:p>
    <w:p w14:paraId="3F79A5EE">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2.行为性危险和有害因素。</w:t>
      </w:r>
    </w:p>
    <w:p w14:paraId="74395E71">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二、物的因素</w:t>
      </w:r>
    </w:p>
    <w:p w14:paraId="5209284B">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1.物理性危险和有害因素；</w:t>
      </w:r>
    </w:p>
    <w:p w14:paraId="7836A16D">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2.化学性危险和有害因素；</w:t>
      </w:r>
    </w:p>
    <w:p w14:paraId="1C5D20B7">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3.生物性危险和有害因素。</w:t>
      </w:r>
    </w:p>
    <w:p w14:paraId="7784877D">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三、环境因素</w:t>
      </w:r>
    </w:p>
    <w:p w14:paraId="58DDFF28">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1.室内作业场所环境不良；</w:t>
      </w:r>
    </w:p>
    <w:p w14:paraId="58FF2144">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2.室外作业场地环境不良；</w:t>
      </w:r>
    </w:p>
    <w:p w14:paraId="7E0199E3">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3.地下（含水下）作业环境不良；</w:t>
      </w:r>
    </w:p>
    <w:p w14:paraId="69864BA8">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4.其他作业环境不良。</w:t>
      </w:r>
    </w:p>
    <w:p w14:paraId="7D5ACF6F">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四、管理因素</w:t>
      </w:r>
    </w:p>
    <w:p w14:paraId="5B7741B1">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1.职业安全卫生组织机构</w:t>
      </w:r>
      <w:r>
        <w:rPr>
          <w:rFonts w:hint="eastAsia" w:ascii="宋体" w:hAnsi="宋体" w:eastAsia="宋体" w:cs="宋体"/>
          <w:color w:val="000000" w:themeColor="text1"/>
          <w:sz w:val="28"/>
          <w:szCs w:val="28"/>
          <w:lang w:val="en-US" w:eastAsia="zh-CN"/>
          <w14:textFill>
            <w14:solidFill>
              <w14:schemeClr w14:val="tx1"/>
            </w14:solidFill>
          </w14:textFill>
        </w:rPr>
        <w:t>设置和人员配备</w:t>
      </w:r>
      <w:r>
        <w:rPr>
          <w:rFonts w:hint="eastAsia" w:ascii="宋体" w:hAnsi="宋体" w:eastAsia="宋体" w:cs="宋体"/>
          <w:color w:val="000000" w:themeColor="text1"/>
          <w:sz w:val="28"/>
          <w:szCs w:val="28"/>
          <w14:textFill>
            <w14:solidFill>
              <w14:schemeClr w14:val="tx1"/>
            </w14:solidFill>
          </w14:textFill>
        </w:rPr>
        <w:t>不健全；</w:t>
      </w:r>
    </w:p>
    <w:p w14:paraId="6DC69895">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2.职业安全卫生责任制</w:t>
      </w:r>
      <w:r>
        <w:rPr>
          <w:rFonts w:hint="eastAsia" w:ascii="宋体" w:hAnsi="宋体" w:eastAsia="宋体" w:cs="宋体"/>
          <w:color w:val="000000" w:themeColor="text1"/>
          <w:sz w:val="28"/>
          <w:szCs w:val="28"/>
          <w:lang w:val="en-US" w:eastAsia="zh-CN"/>
          <w14:textFill>
            <w14:solidFill>
              <w14:schemeClr w14:val="tx1"/>
            </w14:solidFill>
          </w14:textFill>
        </w:rPr>
        <w:t>不完善或</w:t>
      </w:r>
      <w:r>
        <w:rPr>
          <w:rFonts w:hint="eastAsia" w:ascii="宋体" w:hAnsi="宋体" w:eastAsia="宋体" w:cs="宋体"/>
          <w:color w:val="000000" w:themeColor="text1"/>
          <w:sz w:val="28"/>
          <w:szCs w:val="28"/>
          <w14:textFill>
            <w14:solidFill>
              <w14:schemeClr w14:val="tx1"/>
            </w14:solidFill>
          </w14:textFill>
        </w:rPr>
        <w:t>未落实；</w:t>
      </w:r>
    </w:p>
    <w:p w14:paraId="3DD30D26">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3.职业安全卫生管理规章制度不完善</w:t>
      </w:r>
      <w:r>
        <w:rPr>
          <w:rFonts w:hint="eastAsia" w:ascii="宋体" w:hAnsi="宋体" w:eastAsia="宋体" w:cs="宋体"/>
          <w:color w:val="000000" w:themeColor="text1"/>
          <w:sz w:val="28"/>
          <w:szCs w:val="28"/>
          <w:lang w:val="en-US" w:eastAsia="zh-CN"/>
          <w14:textFill>
            <w14:solidFill>
              <w14:schemeClr w14:val="tx1"/>
            </w14:solidFill>
          </w14:textFill>
        </w:rPr>
        <w:t>或未落实</w:t>
      </w:r>
      <w:r>
        <w:rPr>
          <w:rFonts w:hint="eastAsia" w:ascii="宋体" w:hAnsi="宋体" w:eastAsia="宋体" w:cs="宋体"/>
          <w:color w:val="000000" w:themeColor="text1"/>
          <w:sz w:val="28"/>
          <w:szCs w:val="28"/>
          <w14:textFill>
            <w14:solidFill>
              <w14:schemeClr w14:val="tx1"/>
            </w14:solidFill>
          </w14:textFill>
        </w:rPr>
        <w:t>；</w:t>
      </w:r>
    </w:p>
    <w:p w14:paraId="31E75186">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4.职业安全卫生投入不足；</w:t>
      </w:r>
    </w:p>
    <w:p w14:paraId="3DB067FF">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w:t>
      </w:r>
      <w:r>
        <w:rPr>
          <w:rFonts w:hint="eastAsia" w:ascii="宋体" w:hAnsi="宋体" w:eastAsia="宋体" w:cs="宋体"/>
          <w:color w:val="000000" w:themeColor="text1"/>
          <w:sz w:val="28"/>
          <w:szCs w:val="28"/>
          <w:lang w:val="en-US" w:eastAsia="zh-CN"/>
          <w14:textFill>
            <w14:solidFill>
              <w14:schemeClr w14:val="tx1"/>
            </w14:solidFill>
          </w14:textFill>
        </w:rPr>
        <w:t>应急管理缺陷</w:t>
      </w:r>
      <w:r>
        <w:rPr>
          <w:rFonts w:hint="eastAsia" w:ascii="宋体" w:hAnsi="宋体" w:eastAsia="宋体" w:cs="宋体"/>
          <w:color w:val="000000" w:themeColor="text1"/>
          <w:sz w:val="28"/>
          <w:szCs w:val="28"/>
          <w14:textFill>
            <w14:solidFill>
              <w14:schemeClr w14:val="tx1"/>
            </w14:solidFill>
          </w14:textFill>
        </w:rPr>
        <w:t>；</w:t>
      </w:r>
    </w:p>
    <w:p w14:paraId="74EB2682">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6.其他管理因素缺陷。</w:t>
      </w:r>
    </w:p>
    <w:p w14:paraId="616FBA41">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301" w:name="_Toc5486"/>
      <w:r>
        <w:rPr>
          <w:rFonts w:hint="eastAsia" w:ascii="宋体" w:hAnsi="宋体" w:eastAsia="宋体" w:cs="宋体"/>
          <w:color w:val="000000" w:themeColor="text1"/>
          <w:lang w:val="en-US" w:eastAsia="zh-CN"/>
          <w14:textFill>
            <w14:solidFill>
              <w14:schemeClr w14:val="tx1"/>
            </w14:solidFill>
          </w14:textFill>
        </w:rPr>
        <w:t>3.3</w:t>
      </w:r>
      <w:r>
        <w:rPr>
          <w:rFonts w:hint="eastAsia" w:ascii="宋体" w:hAnsi="宋体" w:eastAsia="宋体" w:cs="宋体"/>
          <w:color w:val="000000" w:themeColor="text1"/>
          <w14:textFill>
            <w14:solidFill>
              <w14:schemeClr w14:val="tx1"/>
            </w14:solidFill>
          </w14:textFill>
        </w:rPr>
        <w:t>危险、有害因素产生的原因</w:t>
      </w:r>
      <w:bookmarkEnd w:id="301"/>
    </w:p>
    <w:p w14:paraId="79034ABD">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zh-CN" w:eastAsia="zh-CN"/>
          <w14:textFill>
            <w14:solidFill>
              <w14:schemeClr w14:val="tx1"/>
            </w14:solidFill>
          </w14:textFill>
        </w:rPr>
      </w:pPr>
      <w:bookmarkStart w:id="302" w:name="_Toc15863"/>
      <w:bookmarkStart w:id="303" w:name="_Toc51340665"/>
      <w:bookmarkStart w:id="304" w:name="_Toc129520625"/>
      <w:bookmarkStart w:id="305" w:name="_Toc54294431"/>
      <w:bookmarkStart w:id="306" w:name="_Toc458245982"/>
      <w:bookmarkStart w:id="307" w:name="_Toc103178286"/>
      <w:bookmarkStart w:id="308" w:name="_Toc28262"/>
      <w:bookmarkStart w:id="309" w:name="_Toc3292"/>
      <w:r>
        <w:rPr>
          <w:rFonts w:hint="eastAsia" w:ascii="宋体" w:hAnsi="宋体" w:eastAsia="宋体" w:cs="宋体"/>
          <w:color w:val="000000" w:themeColor="text1"/>
          <w:lang w:val="en-US" w:eastAsia="zh-CN"/>
          <w14:textFill>
            <w14:solidFill>
              <w14:schemeClr w14:val="tx1"/>
            </w14:solidFill>
          </w14:textFill>
        </w:rPr>
        <w:t>3.3.1</w:t>
      </w:r>
      <w:r>
        <w:rPr>
          <w:rFonts w:hint="eastAsia" w:ascii="宋体" w:hAnsi="宋体" w:eastAsia="宋体" w:cs="宋体"/>
          <w:color w:val="000000" w:themeColor="text1"/>
          <w:lang w:val="zh-CN" w:eastAsia="zh-CN"/>
          <w14:textFill>
            <w14:solidFill>
              <w14:schemeClr w14:val="tx1"/>
            </w14:solidFill>
          </w14:textFill>
        </w:rPr>
        <w:t>运行失控与设备故障</w:t>
      </w:r>
      <w:bookmarkEnd w:id="302"/>
      <w:bookmarkEnd w:id="303"/>
      <w:bookmarkEnd w:id="304"/>
      <w:bookmarkEnd w:id="305"/>
      <w:bookmarkEnd w:id="306"/>
      <w:bookmarkEnd w:id="307"/>
      <w:bookmarkEnd w:id="308"/>
      <w:bookmarkEnd w:id="309"/>
    </w:p>
    <w:p w14:paraId="178B7671">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运行失控是指装置运行过程中偏离或超过了正常的工艺技术条件</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出现危险状态。故障是指设备、元件等在运行过程中由于性能低下而不能实现预期功能的现象。在生产过程中运行失控故障的发生是可能的，故障具有随机性和突发性，故障的发生一般是随机事件。造成故障发生的原因很复杂（如设计、制造、安装、腐蚀、疲劳、检查和检修保养、人员失误、环境及其它系统的影响等），但故障发生的规律是可知的，通过定期检查、维修、保养可使故障在预定期间内得到控制、避免、减少。</w:t>
      </w:r>
    </w:p>
    <w:p w14:paraId="59E7497E">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310" w:name="_Toc1925"/>
      <w:bookmarkStart w:id="311" w:name="_Toc129520626"/>
      <w:bookmarkStart w:id="312" w:name="_Toc103178287"/>
      <w:bookmarkStart w:id="313" w:name="_Toc15921"/>
      <w:bookmarkStart w:id="314" w:name="_Toc54294432"/>
      <w:bookmarkStart w:id="315" w:name="_Toc51340666"/>
      <w:bookmarkStart w:id="316" w:name="_Toc458245983"/>
      <w:bookmarkStart w:id="317" w:name="_Toc31794"/>
      <w:r>
        <w:rPr>
          <w:rFonts w:hint="eastAsia" w:ascii="宋体" w:hAnsi="宋体" w:eastAsia="宋体" w:cs="宋体"/>
          <w:color w:val="000000" w:themeColor="text1"/>
          <w:lang w:val="en-US" w:eastAsia="zh-CN"/>
          <w14:textFill>
            <w14:solidFill>
              <w14:schemeClr w14:val="tx1"/>
            </w14:solidFill>
          </w14:textFill>
        </w:rPr>
        <w:t>3.3.2人员失误</w:t>
      </w:r>
      <w:bookmarkEnd w:id="310"/>
      <w:bookmarkEnd w:id="311"/>
      <w:bookmarkEnd w:id="312"/>
      <w:bookmarkEnd w:id="313"/>
      <w:bookmarkEnd w:id="314"/>
      <w:bookmarkEnd w:id="315"/>
      <w:bookmarkEnd w:id="316"/>
      <w:bookmarkEnd w:id="317"/>
    </w:p>
    <w:p w14:paraId="6C3BFB9F">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人员失误系指不安全行为（指职工在劳动过程中违反劳动纪律、操作程序、方法等具有危险性</w:t>
      </w:r>
      <w:r>
        <w:rPr>
          <w:rFonts w:hint="eastAsia" w:ascii="宋体" w:hAnsi="宋体" w:eastAsia="宋体" w:cs="宋体"/>
          <w:color w:val="000000" w:themeColor="text1"/>
          <w:sz w:val="28"/>
          <w:szCs w:val="28"/>
          <w:lang w:eastAsia="zh-CN"/>
          <w14:textFill>
            <w14:solidFill>
              <w14:schemeClr w14:val="tx1"/>
            </w14:solidFill>
          </w14:textFill>
        </w:rPr>
        <w:t>的做法</w:t>
      </w:r>
      <w:r>
        <w:rPr>
          <w:rFonts w:hint="eastAsia" w:ascii="宋体" w:hAnsi="宋体" w:eastAsia="宋体" w:cs="宋体"/>
          <w:color w:val="000000" w:themeColor="text1"/>
          <w:sz w:val="28"/>
          <w:szCs w:val="28"/>
          <w14:textFill>
            <w14:solidFill>
              <w14:schemeClr w14:val="tx1"/>
            </w14:solidFill>
          </w14:textFill>
        </w:rPr>
        <w:t>）产生不良后果的行为。人员失误在生产过程中是不可避免的，它具有随机性和偶然性，往往是不可预测的意外行为。影响人员失误的因素很多，但发生人员失误的规律和失误率通过大量的观测、统计分析是可以预测的。</w:t>
      </w:r>
    </w:p>
    <w:p w14:paraId="0192F782">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318" w:name="_Toc21793"/>
      <w:bookmarkStart w:id="319" w:name="_Toc54294433"/>
      <w:bookmarkStart w:id="320" w:name="_Toc103178288"/>
      <w:bookmarkStart w:id="321" w:name="_Toc19594"/>
      <w:bookmarkStart w:id="322" w:name="_Toc129520627"/>
      <w:bookmarkStart w:id="323" w:name="_Toc51340667"/>
      <w:bookmarkStart w:id="324" w:name="_Toc458245984"/>
      <w:bookmarkStart w:id="325" w:name="_Toc10943"/>
      <w:r>
        <w:rPr>
          <w:rFonts w:hint="eastAsia" w:ascii="宋体" w:hAnsi="宋体" w:eastAsia="宋体" w:cs="宋体"/>
          <w:color w:val="000000" w:themeColor="text1"/>
          <w:lang w:val="en-US" w:eastAsia="zh-CN"/>
          <w14:textFill>
            <w14:solidFill>
              <w14:schemeClr w14:val="tx1"/>
            </w14:solidFill>
          </w14:textFill>
        </w:rPr>
        <w:t>3.3.3管理缺陷</w:t>
      </w:r>
      <w:bookmarkEnd w:id="318"/>
      <w:bookmarkEnd w:id="319"/>
      <w:bookmarkEnd w:id="320"/>
      <w:bookmarkEnd w:id="321"/>
      <w:bookmarkEnd w:id="322"/>
      <w:bookmarkEnd w:id="323"/>
      <w:bookmarkEnd w:id="324"/>
      <w:bookmarkEnd w:id="325"/>
    </w:p>
    <w:p w14:paraId="06F848CA">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安全管理是为保证及时、有效地实现既定的安全目标，是在预测、分析的基础上进行的计划、组织、协调、检查等工作，是预防故障和人员失误发生的有效手段，因此，管理缺陷是影响运行失控发生的重要因素。</w:t>
      </w:r>
    </w:p>
    <w:p w14:paraId="6BE2F25D">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326" w:name="_Toc103178289"/>
      <w:bookmarkStart w:id="327" w:name="_Toc29774"/>
      <w:bookmarkStart w:id="328" w:name="_Toc129520628"/>
      <w:bookmarkStart w:id="329" w:name="_Toc458245985"/>
      <w:bookmarkStart w:id="330" w:name="_Toc8544"/>
      <w:bookmarkStart w:id="331" w:name="_Toc54294434"/>
      <w:bookmarkStart w:id="332" w:name="_Toc51340668"/>
      <w:bookmarkStart w:id="333" w:name="_Toc28956"/>
      <w:r>
        <w:rPr>
          <w:rFonts w:hint="eastAsia" w:ascii="宋体" w:hAnsi="宋体" w:eastAsia="宋体" w:cs="宋体"/>
          <w:color w:val="000000" w:themeColor="text1"/>
          <w:lang w:val="en-US" w:eastAsia="zh-CN"/>
          <w14:textFill>
            <w14:solidFill>
              <w14:schemeClr w14:val="tx1"/>
            </w14:solidFill>
          </w14:textFill>
        </w:rPr>
        <w:t>3.3.4环境因素</w:t>
      </w:r>
      <w:bookmarkEnd w:id="326"/>
      <w:bookmarkEnd w:id="327"/>
      <w:bookmarkEnd w:id="328"/>
      <w:bookmarkEnd w:id="329"/>
      <w:bookmarkEnd w:id="330"/>
      <w:bookmarkEnd w:id="331"/>
      <w:bookmarkEnd w:id="332"/>
      <w:bookmarkEnd w:id="333"/>
    </w:p>
    <w:p w14:paraId="0381FB46">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不良环境的影响包括自然环境和作业环境。作业环境如温度、湿度、通风、照明、噪声、采光等因素的变化均可能导致人的情绪异常而引发误操作，从而引发事故；自然环境如风、雨、雷电、水文地质条件等均可能引发安全事故。</w:t>
      </w:r>
    </w:p>
    <w:bookmarkEnd w:id="279"/>
    <w:bookmarkEnd w:id="280"/>
    <w:bookmarkEnd w:id="281"/>
    <w:bookmarkEnd w:id="282"/>
    <w:bookmarkEnd w:id="283"/>
    <w:p w14:paraId="3ED96A98">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334" w:name="_Toc26114"/>
      <w:bookmarkStart w:id="335" w:name="_Toc32537"/>
      <w:bookmarkStart w:id="336" w:name="_Toc532203512"/>
      <w:bookmarkStart w:id="337" w:name="_Toc7360"/>
      <w:bookmarkStart w:id="338" w:name="_Toc329728275"/>
      <w:bookmarkStart w:id="339" w:name="_Toc4324"/>
      <w:r>
        <w:rPr>
          <w:rFonts w:hint="eastAsia" w:ascii="宋体" w:hAnsi="宋体" w:eastAsia="宋体" w:cs="宋体"/>
          <w:color w:val="000000" w:themeColor="text1"/>
          <w14:textFill>
            <w14:solidFill>
              <w14:schemeClr w14:val="tx1"/>
            </w14:solidFill>
          </w14:textFill>
        </w:rPr>
        <w:t>3.</w:t>
      </w:r>
      <w:r>
        <w:rPr>
          <w:rFonts w:hint="eastAsia" w:ascii="宋体" w:hAnsi="宋体" w:eastAsia="宋体" w:cs="宋体"/>
          <w:color w:val="000000" w:themeColor="text1"/>
          <w:lang w:val="en-US" w:eastAsia="zh-CN"/>
          <w14:textFill>
            <w14:solidFill>
              <w14:schemeClr w14:val="tx1"/>
            </w14:solidFill>
          </w14:textFill>
        </w:rPr>
        <w:t xml:space="preserve">4 </w:t>
      </w:r>
      <w:r>
        <w:rPr>
          <w:rFonts w:hint="eastAsia" w:ascii="宋体" w:hAnsi="宋体" w:eastAsia="宋体" w:cs="宋体"/>
          <w:color w:val="000000" w:themeColor="text1"/>
          <w14:textFill>
            <w14:solidFill>
              <w14:schemeClr w14:val="tx1"/>
            </w14:solidFill>
          </w14:textFill>
        </w:rPr>
        <w:t>主要危险、有害物质</w:t>
      </w:r>
      <w:bookmarkEnd w:id="334"/>
      <w:bookmarkEnd w:id="335"/>
      <w:bookmarkEnd w:id="336"/>
      <w:bookmarkEnd w:id="337"/>
      <w:bookmarkEnd w:id="338"/>
      <w:r>
        <w:rPr>
          <w:rFonts w:hint="eastAsia" w:ascii="宋体" w:hAnsi="宋体" w:eastAsia="宋体" w:cs="宋体"/>
          <w:color w:val="000000" w:themeColor="text1"/>
          <w:lang w:val="en-US" w:eastAsia="zh-CN"/>
          <w14:textFill>
            <w14:solidFill>
              <w14:schemeClr w14:val="tx1"/>
            </w14:solidFill>
          </w14:textFill>
        </w:rPr>
        <w:t>辨识与分析</w:t>
      </w:r>
      <w:bookmarkEnd w:id="339"/>
    </w:p>
    <w:p w14:paraId="161AAA5E">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340" w:name="_Toc61474411"/>
      <w:bookmarkStart w:id="341" w:name="_Toc27785"/>
      <w:bookmarkStart w:id="342" w:name="_Toc313453512"/>
      <w:bookmarkStart w:id="343" w:name="_Toc30001389"/>
      <w:bookmarkStart w:id="344" w:name="_Toc9036"/>
      <w:bookmarkStart w:id="345" w:name="_Toc344298869"/>
      <w:bookmarkStart w:id="346" w:name="_Toc24094"/>
      <w:r>
        <w:rPr>
          <w:rFonts w:hint="eastAsia" w:ascii="宋体" w:hAnsi="宋体" w:eastAsia="宋体" w:cs="宋体"/>
          <w:color w:val="000000" w:themeColor="text1"/>
          <w:lang w:val="en-US" w:eastAsia="zh-CN"/>
          <w14:textFill>
            <w14:solidFill>
              <w14:schemeClr w14:val="tx1"/>
            </w14:solidFill>
          </w14:textFill>
        </w:rPr>
        <w:t>3.4.1主要危险、有害物质辨识</w:t>
      </w:r>
      <w:bookmarkEnd w:id="340"/>
      <w:bookmarkEnd w:id="341"/>
      <w:bookmarkEnd w:id="342"/>
      <w:bookmarkEnd w:id="343"/>
      <w:bookmarkEnd w:id="344"/>
      <w:bookmarkEnd w:id="345"/>
      <w:bookmarkEnd w:id="346"/>
    </w:p>
    <w:p w14:paraId="5D78A84D">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bookmarkStart w:id="347" w:name="_Toc313453513"/>
      <w:bookmarkStart w:id="348" w:name="_Toc225136744"/>
      <w:r>
        <w:rPr>
          <w:rFonts w:hint="eastAsia" w:ascii="宋体" w:hAnsi="宋体" w:eastAsia="宋体" w:cs="宋体"/>
          <w:color w:val="000000" w:themeColor="text1"/>
          <w:sz w:val="28"/>
          <w:szCs w:val="28"/>
          <w14:textFill>
            <w14:solidFill>
              <w14:schemeClr w14:val="tx1"/>
            </w14:solidFill>
          </w14:textFill>
        </w:rPr>
        <w:t>对</w:t>
      </w:r>
      <w:r>
        <w:rPr>
          <w:rFonts w:hint="eastAsia" w:ascii="宋体" w:hAnsi="宋体" w:eastAsia="宋体" w:cs="宋体"/>
          <w:color w:val="000000" w:themeColor="text1"/>
          <w:sz w:val="28"/>
          <w:szCs w:val="28"/>
          <w:lang w:val="en-US" w:eastAsia="zh-CN"/>
          <w14:textFill>
            <w14:solidFill>
              <w14:schemeClr w14:val="tx1"/>
            </w14:solidFill>
          </w14:textFill>
        </w:rPr>
        <w:t>玉溪市明哲数控科技有限公司安全现状评价项目</w:t>
      </w:r>
      <w:r>
        <w:rPr>
          <w:rFonts w:hint="eastAsia" w:ascii="宋体" w:hAnsi="宋体" w:eastAsia="宋体" w:cs="宋体"/>
          <w:color w:val="000000" w:themeColor="text1"/>
          <w:sz w:val="28"/>
          <w:szCs w:val="28"/>
          <w14:textFill>
            <w14:solidFill>
              <w14:schemeClr w14:val="tx1"/>
            </w14:solidFill>
          </w14:textFill>
        </w:rPr>
        <w:t>进行分析后，本项目所涉及的主要危险、有害物质有：</w:t>
      </w:r>
    </w:p>
    <w:p w14:paraId="072B71BE">
      <w:pPr>
        <w:keepNext w:val="0"/>
        <w:keepLines w:val="0"/>
        <w:pageBreakBefore w:val="0"/>
        <w:widowControl w:val="0"/>
        <w:numPr>
          <w:ilvl w:val="0"/>
          <w:numId w:val="10"/>
        </w:numPr>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生产</w:t>
      </w:r>
      <w:r>
        <w:rPr>
          <w:rFonts w:hint="eastAsia" w:ascii="宋体" w:hAnsi="宋体" w:eastAsia="宋体" w:cs="宋体"/>
          <w:color w:val="000000" w:themeColor="text1"/>
          <w:sz w:val="28"/>
          <w:szCs w:val="28"/>
          <w14:textFill>
            <w14:solidFill>
              <w14:schemeClr w14:val="tx1"/>
            </w14:solidFill>
          </w14:textFill>
        </w:rPr>
        <w:t>过程使用的压缩空气；</w:t>
      </w:r>
    </w:p>
    <w:p w14:paraId="3F62749F">
      <w:pPr>
        <w:keepNext w:val="0"/>
        <w:keepLines w:val="0"/>
        <w:pageBreakBefore w:val="0"/>
        <w:widowControl w:val="0"/>
        <w:numPr>
          <w:ilvl w:val="0"/>
          <w:numId w:val="10"/>
        </w:numPr>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生产过程中使用的润滑油。</w:t>
      </w:r>
    </w:p>
    <w:p w14:paraId="5642606F">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p>
    <w:p w14:paraId="28810986">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349" w:name="_Toc61474412"/>
      <w:bookmarkStart w:id="350" w:name="_Toc30001390"/>
      <w:bookmarkStart w:id="351" w:name="_Toc344298870"/>
      <w:bookmarkStart w:id="352" w:name="_Toc11202"/>
      <w:bookmarkStart w:id="353" w:name="_Toc11687"/>
      <w:bookmarkStart w:id="354" w:name="_Toc8493"/>
      <w:r>
        <w:rPr>
          <w:rFonts w:hint="eastAsia" w:ascii="宋体" w:hAnsi="宋体" w:eastAsia="宋体" w:cs="宋体"/>
          <w:color w:val="000000" w:themeColor="text1"/>
          <w:lang w:val="en-US" w:eastAsia="zh-CN"/>
          <w14:textFill>
            <w14:solidFill>
              <w14:schemeClr w14:val="tx1"/>
            </w14:solidFill>
          </w14:textFill>
        </w:rPr>
        <w:t>3.4.2危险化学品辨识</w:t>
      </w:r>
      <w:bookmarkEnd w:id="347"/>
      <w:bookmarkEnd w:id="348"/>
      <w:bookmarkEnd w:id="349"/>
      <w:bookmarkEnd w:id="350"/>
      <w:bookmarkEnd w:id="351"/>
      <w:bookmarkEnd w:id="352"/>
      <w:bookmarkEnd w:id="353"/>
      <w:bookmarkEnd w:id="354"/>
    </w:p>
    <w:p w14:paraId="42E62182">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eastAsia" w:ascii="宋体" w:hAnsi="宋体" w:eastAsia="宋体" w:cs="宋体"/>
          <w:color w:val="000000" w:themeColor="text1"/>
          <w:kern w:val="0"/>
          <w14:textFill>
            <w14:solidFill>
              <w14:schemeClr w14:val="tx1"/>
            </w14:solidFill>
          </w14:textFill>
        </w:rPr>
      </w:pPr>
      <w:bookmarkStart w:id="355" w:name="_Toc344298871"/>
      <w:r>
        <w:rPr>
          <w:rFonts w:hint="eastAsia" w:ascii="宋体" w:hAnsi="宋体" w:eastAsia="宋体" w:cs="宋体"/>
          <w:color w:val="000000" w:themeColor="text1"/>
          <w:kern w:val="0"/>
          <w14:textFill>
            <w14:solidFill>
              <w14:schemeClr w14:val="tx1"/>
            </w14:solidFill>
          </w14:textFill>
        </w:rPr>
        <w:t>3.4.2.1危险化学品辨识</w:t>
      </w:r>
      <w:bookmarkEnd w:id="355"/>
    </w:p>
    <w:p w14:paraId="51246426">
      <w:pPr>
        <w:adjustRightInd w:val="0"/>
        <w:snapToGrid w:val="0"/>
        <w:spacing w:line="500" w:lineRule="exact"/>
        <w:ind w:firstLine="560" w:firstLineChars="200"/>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依据《危险化学品目录（2</w:t>
      </w:r>
      <w:r>
        <w:rPr>
          <w:rFonts w:hint="eastAsia" w:ascii="宋体" w:hAnsi="宋体" w:eastAsia="宋体" w:cs="宋体"/>
          <w:color w:val="000000" w:themeColor="text1"/>
          <w:sz w:val="28"/>
          <w:szCs w:val="28"/>
          <w:lang w:val="en-US" w:eastAsia="zh-CN"/>
          <w14:textFill>
            <w14:solidFill>
              <w14:schemeClr w14:val="tx1"/>
            </w14:solidFill>
          </w14:textFill>
        </w:rPr>
        <w:t>022调整版</w:t>
      </w:r>
      <w:r>
        <w:rPr>
          <w:rFonts w:hint="eastAsia" w:ascii="宋体" w:hAnsi="宋体" w:eastAsia="宋体" w:cs="宋体"/>
          <w:color w:val="000000" w:themeColor="text1"/>
          <w:sz w:val="28"/>
          <w:szCs w:val="28"/>
          <w14:textFill>
            <w14:solidFill>
              <w14:schemeClr w14:val="tx1"/>
            </w14:solidFill>
          </w14:textFill>
        </w:rPr>
        <w:t>）》（原国家安全生产监督管理总局等十部委公告20</w:t>
      </w:r>
      <w:r>
        <w:rPr>
          <w:rFonts w:hint="eastAsia" w:ascii="宋体" w:hAnsi="宋体" w:eastAsia="宋体" w:cs="宋体"/>
          <w:color w:val="000000" w:themeColor="text1"/>
          <w:sz w:val="28"/>
          <w:szCs w:val="28"/>
          <w:lang w:val="en-US" w:eastAsia="zh-CN"/>
          <w14:textFill>
            <w14:solidFill>
              <w14:schemeClr w14:val="tx1"/>
            </w14:solidFill>
          </w14:textFill>
        </w:rPr>
        <w:t>22</w:t>
      </w:r>
      <w:r>
        <w:rPr>
          <w:rFonts w:hint="eastAsia" w:ascii="宋体" w:hAnsi="宋体" w:eastAsia="宋体" w:cs="宋体"/>
          <w:color w:val="000000" w:themeColor="text1"/>
          <w:sz w:val="28"/>
          <w:szCs w:val="28"/>
          <w14:textFill>
            <w14:solidFill>
              <w14:schemeClr w14:val="tx1"/>
            </w14:solidFill>
          </w14:textFill>
        </w:rPr>
        <w:t>年第</w:t>
      </w:r>
      <w:r>
        <w:rPr>
          <w:rFonts w:hint="eastAsia" w:ascii="宋体" w:hAnsi="宋体" w:eastAsia="宋体" w:cs="宋体"/>
          <w:color w:val="000000" w:themeColor="text1"/>
          <w:sz w:val="28"/>
          <w:szCs w:val="28"/>
          <w:lang w:val="en-US" w:eastAsia="zh-CN"/>
          <w14:textFill>
            <w14:solidFill>
              <w14:schemeClr w14:val="tx1"/>
            </w14:solidFill>
          </w14:textFill>
        </w:rPr>
        <w:t>8</w:t>
      </w:r>
      <w:r>
        <w:rPr>
          <w:rFonts w:hint="eastAsia" w:ascii="宋体" w:hAnsi="宋体" w:eastAsia="宋体" w:cs="宋体"/>
          <w:color w:val="000000" w:themeColor="text1"/>
          <w:sz w:val="28"/>
          <w:szCs w:val="28"/>
          <w14:textFill>
            <w14:solidFill>
              <w14:schemeClr w14:val="tx1"/>
            </w14:solidFill>
          </w14:textFill>
        </w:rPr>
        <w:t>号）</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《国家安全监管总局办公厅关于印发危险化学品目录（2015版）实施指南（试行）的通知》（安监总厅管三〔2015〕80号）判别判定可知，</w:t>
      </w:r>
      <w:r>
        <w:rPr>
          <w:rFonts w:hint="eastAsia" w:ascii="宋体" w:hAnsi="宋体" w:eastAsia="宋体" w:cs="宋体"/>
          <w:color w:val="000000" w:themeColor="text1"/>
          <w:sz w:val="28"/>
          <w:szCs w:val="28"/>
          <w:lang w:val="en-US" w:eastAsia="zh-CN"/>
          <w14:textFill>
            <w14:solidFill>
              <w14:schemeClr w14:val="tx1"/>
            </w14:solidFill>
          </w14:textFill>
        </w:rPr>
        <w:t>玉溪市明哲数控科技有限公司安全现状评价</w:t>
      </w:r>
      <w:r>
        <w:rPr>
          <w:rFonts w:hint="eastAsia" w:ascii="宋体" w:hAnsi="宋体" w:eastAsia="宋体" w:cs="宋体"/>
          <w:color w:val="000000" w:themeColor="text1"/>
          <w:sz w:val="28"/>
          <w:szCs w:val="28"/>
          <w:lang w:val="en-US" w:eastAsia="zh-CN"/>
          <w14:textFill>
            <w14:solidFill>
              <w14:schemeClr w14:val="tx1"/>
            </w14:solidFill>
          </w14:textFill>
        </w:rPr>
        <w:t>项目</w:t>
      </w:r>
      <w:r>
        <w:rPr>
          <w:rFonts w:hint="eastAsia" w:ascii="宋体" w:hAnsi="宋体" w:eastAsia="宋体" w:cs="宋体"/>
          <w:color w:val="000000" w:themeColor="text1"/>
          <w:sz w:val="28"/>
          <w:szCs w:val="28"/>
          <w14:textFill>
            <w14:solidFill>
              <w14:schemeClr w14:val="tx1"/>
            </w14:solidFill>
          </w14:textFill>
        </w:rPr>
        <w:t>正常运行过程中</w:t>
      </w:r>
      <w:r>
        <w:rPr>
          <w:rFonts w:hint="eastAsia" w:ascii="宋体" w:hAnsi="宋体" w:eastAsia="宋体" w:cs="宋体"/>
          <w:color w:val="000000" w:themeColor="text1"/>
          <w:sz w:val="28"/>
          <w:szCs w:val="28"/>
          <w:lang w:val="en-US" w:eastAsia="zh-CN"/>
          <w14:textFill>
            <w14:solidFill>
              <w14:schemeClr w14:val="tx1"/>
            </w14:solidFill>
          </w14:textFill>
        </w:rPr>
        <w:t>未</w:t>
      </w:r>
      <w:r>
        <w:rPr>
          <w:rFonts w:hint="eastAsia" w:ascii="宋体" w:hAnsi="宋体" w:eastAsia="宋体" w:cs="宋体"/>
          <w:color w:val="000000" w:themeColor="text1"/>
          <w:sz w:val="28"/>
          <w:szCs w:val="28"/>
          <w14:textFill>
            <w14:solidFill>
              <w14:schemeClr w14:val="tx1"/>
            </w14:solidFill>
          </w14:textFill>
        </w:rPr>
        <w:t>涉及</w:t>
      </w:r>
      <w:r>
        <w:rPr>
          <w:rFonts w:hint="eastAsia" w:ascii="宋体" w:hAnsi="宋体" w:eastAsia="宋体" w:cs="宋体"/>
          <w:color w:val="000000" w:themeColor="text1"/>
          <w:sz w:val="28"/>
          <w:szCs w:val="28"/>
          <w14:textFill>
            <w14:solidFill>
              <w14:schemeClr w14:val="tx1"/>
            </w14:solidFill>
          </w14:textFill>
        </w:rPr>
        <w:t>危险化学品</w:t>
      </w:r>
      <w:r>
        <w:rPr>
          <w:rFonts w:hint="eastAsia" w:ascii="宋体" w:hAnsi="宋体" w:eastAsia="宋体" w:cs="宋体"/>
          <w:color w:val="000000" w:themeColor="text1"/>
          <w:sz w:val="28"/>
          <w:szCs w:val="28"/>
          <w:lang w:val="en-US" w:eastAsia="zh-CN"/>
          <w14:textFill>
            <w14:solidFill>
              <w14:schemeClr w14:val="tx1"/>
            </w14:solidFill>
          </w14:textFill>
        </w:rPr>
        <w:t>使用。</w:t>
      </w:r>
    </w:p>
    <w:p w14:paraId="172617AF">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eastAsia" w:ascii="宋体" w:hAnsi="宋体" w:eastAsia="宋体" w:cs="宋体"/>
          <w:color w:val="000000" w:themeColor="text1"/>
          <w:kern w:val="0"/>
          <w14:textFill>
            <w14:solidFill>
              <w14:schemeClr w14:val="tx1"/>
            </w14:solidFill>
          </w14:textFill>
        </w:rPr>
      </w:pPr>
      <w:bookmarkStart w:id="356" w:name="_Toc344298872"/>
      <w:r>
        <w:rPr>
          <w:rFonts w:hint="eastAsia" w:ascii="宋体" w:hAnsi="宋体" w:eastAsia="宋体" w:cs="宋体"/>
          <w:color w:val="000000" w:themeColor="text1"/>
          <w:kern w:val="0"/>
          <w14:textFill>
            <w14:solidFill>
              <w14:schemeClr w14:val="tx1"/>
            </w14:solidFill>
          </w14:textFill>
        </w:rPr>
        <w:t>3.4.2.2剧毒品、易制毒品、监控化学品及重点监管危险化学品辨识</w:t>
      </w:r>
      <w:bookmarkEnd w:id="356"/>
    </w:p>
    <w:p w14:paraId="1275FDEF">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w:t>
      </w:r>
      <w:r>
        <w:rPr>
          <w:rFonts w:hint="eastAsia" w:ascii="宋体" w:hAnsi="宋体" w:eastAsia="宋体" w:cs="宋体"/>
          <w:color w:val="000000" w:themeColor="text1"/>
          <w:sz w:val="28"/>
          <w:szCs w:val="21"/>
          <w14:textFill>
            <w14:solidFill>
              <w14:schemeClr w14:val="tx1"/>
            </w14:solidFill>
          </w14:textFill>
        </w:rPr>
        <w:t>《危险化学品目录（2022调整版）》</w:t>
      </w:r>
      <w:r>
        <w:rPr>
          <w:rFonts w:hint="eastAsia" w:ascii="宋体" w:hAnsi="宋体" w:eastAsia="宋体" w:cs="宋体"/>
          <w:color w:val="000000" w:themeColor="text1"/>
          <w:sz w:val="28"/>
          <w:szCs w:val="28"/>
          <w14:textFill>
            <w14:solidFill>
              <w14:schemeClr w14:val="tx1"/>
            </w14:solidFill>
          </w14:textFill>
        </w:rPr>
        <w:t>的相关规定，该项目在生产过程中未涉及剧毒化学品。</w:t>
      </w:r>
    </w:p>
    <w:p w14:paraId="64E209D5">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易制毒化学品管理条例》（国务院令第445号，根据国务院第666号令修改）、《非药品类易制毒化学品生产、经营许可办法》（国家安全生产监督管理总局令第5号）、《国务院办公厅关于同意将N-苯乙基-4-哌啶酮、4-苯胺基-N-苯乙基哌啶、N-甲基-1-苯基-1-氯-2-丙胺、溴素、1-苯基-1-丙酮列入易制毒化学品品种目录的函》（国办函〔2017）120号）的相关规定，该项目在生产过程中未涉及易制毒化学品。</w:t>
      </w:r>
    </w:p>
    <w:p w14:paraId="6E3FFB3C">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根据《易制爆危险化学品名录（2017版）》，该项目在生产过程中未涉及易制爆危险化学品。</w:t>
      </w:r>
    </w:p>
    <w:p w14:paraId="2A103CB4">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根据《中华人民共和国监控化学品管理条例》</w:t>
      </w:r>
      <w:r>
        <w:rPr>
          <w:rFonts w:hint="eastAsia" w:ascii="宋体" w:hAnsi="宋体" w:eastAsia="宋体" w:cs="宋体"/>
          <w:color w:val="000000" w:themeColor="text1"/>
          <w:kern w:val="0"/>
          <w:sz w:val="28"/>
          <w:szCs w:val="28"/>
          <w14:textFill>
            <w14:solidFill>
              <w14:schemeClr w14:val="tx1"/>
            </w14:solidFill>
          </w14:textFill>
        </w:rPr>
        <w:t>（</w:t>
      </w:r>
      <w:r>
        <w:rPr>
          <w:rFonts w:hint="eastAsia" w:ascii="宋体" w:hAnsi="宋体" w:eastAsia="宋体" w:cs="宋体"/>
          <w:color w:val="000000" w:themeColor="text1"/>
          <w:sz w:val="28"/>
          <w:szCs w:val="20"/>
          <w14:textFill>
            <w14:solidFill>
              <w14:schemeClr w14:val="tx1"/>
            </w14:solidFill>
          </w14:textFill>
        </w:rPr>
        <w:t>中华人民共和国国务院令第190号公布，中华人民共和国国务院令第588号修订）</w:t>
      </w:r>
      <w:r>
        <w:rPr>
          <w:rFonts w:hint="eastAsia" w:ascii="宋体" w:hAnsi="宋体" w:eastAsia="宋体" w:cs="宋体"/>
          <w:color w:val="000000" w:themeColor="text1"/>
          <w:sz w:val="28"/>
          <w:szCs w:val="28"/>
          <w14:textFill>
            <w14:solidFill>
              <w14:schemeClr w14:val="tx1"/>
            </w14:solidFill>
          </w14:textFill>
        </w:rPr>
        <w:t>，该项目在生产过程中未涉及监控化学品。</w:t>
      </w:r>
    </w:p>
    <w:p w14:paraId="77F5045C">
      <w:pPr>
        <w:adjustRightInd w:val="0"/>
        <w:snapToGrid w:val="0"/>
        <w:spacing w:line="500" w:lineRule="exact"/>
        <w:ind w:firstLine="560" w:firstLineChars="200"/>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根据《国家安全监管总局关于公布首批重点监管的危险化学品名录的通知》（安监总管三〔2011〕95号）、《国家安全监管总局关于公布第二批重点监管危险化学品名录的通知》（安监总管三〔2013〕12号）</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《危险化学品目录》（20</w:t>
      </w:r>
      <w:r>
        <w:rPr>
          <w:rFonts w:hint="eastAsia" w:ascii="宋体" w:hAnsi="宋体" w:eastAsia="宋体" w:cs="宋体"/>
          <w:color w:val="000000" w:themeColor="text1"/>
          <w:sz w:val="28"/>
          <w:szCs w:val="28"/>
          <w:lang w:val="en-US" w:eastAsia="zh-CN"/>
          <w14:textFill>
            <w14:solidFill>
              <w14:schemeClr w14:val="tx1"/>
            </w14:solidFill>
          </w14:textFill>
        </w:rPr>
        <w:t>22调整</w:t>
      </w:r>
      <w:r>
        <w:rPr>
          <w:rFonts w:hint="eastAsia" w:ascii="宋体" w:hAnsi="宋体" w:eastAsia="宋体" w:cs="宋体"/>
          <w:color w:val="000000" w:themeColor="text1"/>
          <w:sz w:val="28"/>
          <w:szCs w:val="28"/>
          <w:lang w:val="en-US" w:eastAsia="zh-CN"/>
          <w14:textFill>
            <w14:solidFill>
              <w14:schemeClr w14:val="tx1"/>
            </w14:solidFill>
          </w14:textFill>
        </w:rPr>
        <w:t>版）</w:t>
      </w:r>
      <w:r>
        <w:rPr>
          <w:rFonts w:hint="eastAsia" w:ascii="宋体" w:hAnsi="宋体" w:eastAsia="宋体" w:cs="宋体"/>
          <w:color w:val="000000" w:themeColor="text1"/>
          <w:sz w:val="28"/>
          <w:szCs w:val="28"/>
          <w14:textFill>
            <w14:solidFill>
              <w14:schemeClr w14:val="tx1"/>
            </w14:solidFill>
          </w14:textFill>
        </w:rPr>
        <w:t>进行判定，该项目在生产过程中</w:t>
      </w:r>
      <w:r>
        <w:rPr>
          <w:rFonts w:hint="eastAsia" w:ascii="宋体" w:hAnsi="宋体" w:eastAsia="宋体" w:cs="宋体"/>
          <w:color w:val="000000" w:themeColor="text1"/>
          <w:sz w:val="28"/>
          <w:szCs w:val="28"/>
          <w:lang w:val="en-US" w:eastAsia="zh-CN"/>
          <w14:textFill>
            <w14:solidFill>
              <w14:schemeClr w14:val="tx1"/>
            </w14:solidFill>
          </w14:textFill>
        </w:rPr>
        <w:t>未</w:t>
      </w:r>
      <w:r>
        <w:rPr>
          <w:rFonts w:hint="eastAsia" w:ascii="宋体" w:hAnsi="宋体" w:eastAsia="宋体" w:cs="宋体"/>
          <w:color w:val="000000" w:themeColor="text1"/>
          <w:sz w:val="28"/>
          <w:szCs w:val="28"/>
          <w14:textFill>
            <w14:solidFill>
              <w14:schemeClr w14:val="tx1"/>
            </w14:solidFill>
          </w14:textFill>
        </w:rPr>
        <w:t>涉及危险化学品</w:t>
      </w:r>
      <w:r>
        <w:rPr>
          <w:rFonts w:hint="eastAsia" w:ascii="宋体" w:hAnsi="宋体" w:eastAsia="宋体" w:cs="宋体"/>
          <w:color w:val="000000" w:themeColor="text1"/>
          <w:sz w:val="28"/>
          <w:szCs w:val="28"/>
          <w:lang w:val="en-US" w:eastAsia="zh-CN"/>
          <w14:textFill>
            <w14:solidFill>
              <w14:schemeClr w14:val="tx1"/>
            </w14:solidFill>
          </w14:textFill>
        </w:rPr>
        <w:t>。</w:t>
      </w:r>
    </w:p>
    <w:p w14:paraId="6CCF2504">
      <w:pPr>
        <w:adjustRightInd w:val="0"/>
        <w:snapToGrid w:val="0"/>
        <w:spacing w:line="500" w:lineRule="exact"/>
        <w:ind w:firstLine="560" w:firstLineChars="200"/>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综上所述，该项目未涉及监控化学品，未涉及易制毒化学品，未涉及剧毒化学品，未涉及易制爆危险化学品，</w:t>
      </w:r>
      <w:r>
        <w:rPr>
          <w:rFonts w:hint="eastAsia" w:ascii="宋体" w:hAnsi="宋体" w:eastAsia="宋体" w:cs="宋体"/>
          <w:color w:val="000000" w:themeColor="text1"/>
          <w:sz w:val="28"/>
          <w:szCs w:val="28"/>
          <w:lang w:val="en-US" w:eastAsia="zh-CN"/>
          <w14:textFill>
            <w14:solidFill>
              <w14:schemeClr w14:val="tx1"/>
            </w14:solidFill>
          </w14:textFill>
        </w:rPr>
        <w:t>未</w:t>
      </w:r>
      <w:r>
        <w:rPr>
          <w:rFonts w:hint="eastAsia" w:ascii="宋体" w:hAnsi="宋体" w:eastAsia="宋体" w:cs="宋体"/>
          <w:color w:val="000000" w:themeColor="text1"/>
          <w:sz w:val="28"/>
          <w:szCs w:val="28"/>
          <w14:textFill>
            <w14:solidFill>
              <w14:schemeClr w14:val="tx1"/>
            </w14:solidFill>
          </w14:textFill>
        </w:rPr>
        <w:t>涉及危险化学品。</w:t>
      </w:r>
    </w:p>
    <w:p w14:paraId="1ECF9C77">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357" w:name="_Toc12119"/>
      <w:bookmarkStart w:id="358" w:name="_Toc24809"/>
      <w:bookmarkStart w:id="359" w:name="_Toc22390"/>
      <w:bookmarkStart w:id="360" w:name="_Toc1661"/>
      <w:bookmarkStart w:id="361" w:name="_Toc17647"/>
      <w:bookmarkStart w:id="362" w:name="_Toc7772"/>
      <w:bookmarkStart w:id="363" w:name="_Toc201697582"/>
      <w:bookmarkStart w:id="364" w:name="_Toc15385_WPSOffice_Level2"/>
      <w:r>
        <w:rPr>
          <w:rFonts w:hint="eastAsia" w:ascii="宋体" w:hAnsi="宋体" w:eastAsia="宋体" w:cs="宋体"/>
          <w:color w:val="000000" w:themeColor="text1"/>
          <w14:textFill>
            <w14:solidFill>
              <w14:schemeClr w14:val="tx1"/>
            </w14:solidFill>
          </w14:textFill>
        </w:rPr>
        <w:t>3.5</w:t>
      </w:r>
      <w:r>
        <w:rPr>
          <w:rFonts w:hint="eastAsia" w:ascii="宋体" w:hAnsi="宋体" w:eastAsia="宋体" w:cs="宋体"/>
          <w:color w:val="000000" w:themeColor="text1"/>
          <w:lang w:val="en-US" w:eastAsia="zh-CN"/>
          <w14:textFill>
            <w14:solidFill>
              <w14:schemeClr w14:val="tx1"/>
            </w14:solidFill>
          </w14:textFill>
        </w:rPr>
        <w:t>厂址及总平面布置</w:t>
      </w:r>
      <w:r>
        <w:rPr>
          <w:rFonts w:hint="eastAsia" w:ascii="宋体" w:hAnsi="宋体" w:eastAsia="宋体" w:cs="宋体"/>
          <w:color w:val="000000" w:themeColor="text1"/>
          <w14:textFill>
            <w14:solidFill>
              <w14:schemeClr w14:val="tx1"/>
            </w14:solidFill>
          </w14:textFill>
        </w:rPr>
        <w:t>主要危险、有害因素辨识与分析</w:t>
      </w:r>
      <w:bookmarkEnd w:id="357"/>
      <w:bookmarkEnd w:id="358"/>
      <w:bookmarkEnd w:id="359"/>
      <w:bookmarkEnd w:id="360"/>
    </w:p>
    <w:p w14:paraId="1DB23336">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365" w:name="_Toc2928"/>
      <w:bookmarkStart w:id="366" w:name="_Toc30001393"/>
      <w:bookmarkStart w:id="367" w:name="_Toc61474415"/>
      <w:bookmarkStart w:id="368" w:name="_Toc11229"/>
      <w:bookmarkStart w:id="369" w:name="_Toc28400"/>
      <w:bookmarkStart w:id="370" w:name="_Toc21492"/>
      <w:bookmarkStart w:id="371" w:name="_Toc32519"/>
      <w:r>
        <w:rPr>
          <w:rFonts w:hint="eastAsia" w:ascii="宋体" w:hAnsi="宋体" w:eastAsia="宋体" w:cs="宋体"/>
          <w:color w:val="000000" w:themeColor="text1"/>
          <w:lang w:val="en-US" w:eastAsia="zh-CN"/>
          <w14:textFill>
            <w14:solidFill>
              <w14:schemeClr w14:val="tx1"/>
            </w14:solidFill>
          </w14:textFill>
        </w:rPr>
        <w:t>3.5.1厂址危险性分析</w:t>
      </w:r>
      <w:bookmarkEnd w:id="365"/>
      <w:bookmarkEnd w:id="366"/>
      <w:bookmarkEnd w:id="367"/>
      <w:bookmarkEnd w:id="368"/>
      <w:bookmarkEnd w:id="369"/>
      <w:bookmarkEnd w:id="370"/>
      <w:bookmarkEnd w:id="371"/>
    </w:p>
    <w:p w14:paraId="58635803">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该项目厂址方面的因素主要有项目所在地自然条件以及周边环境对项目的影响。</w:t>
      </w:r>
    </w:p>
    <w:p w14:paraId="76344A2C">
      <w:pPr>
        <w:numPr>
          <w:ilvl w:val="0"/>
          <w:numId w:val="11"/>
        </w:numPr>
        <w:tabs>
          <w:tab w:val="left" w:pos="0"/>
          <w:tab w:val="left" w:pos="840"/>
          <w:tab w:val="left" w:pos="993"/>
        </w:tabs>
        <w:adjustRightInd w:val="0"/>
        <w:snapToGrid w:val="0"/>
        <w:spacing w:line="500" w:lineRule="exact"/>
        <w:ind w:left="0"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气象</w:t>
      </w:r>
    </w:p>
    <w:p w14:paraId="4F0E6714">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1）大风：厂区所在位置场地开阔，</w:t>
      </w:r>
      <w:r>
        <w:rPr>
          <w:rFonts w:hint="eastAsia" w:ascii="宋体" w:hAnsi="宋体" w:eastAsia="宋体" w:cs="宋体"/>
          <w:color w:val="000000" w:themeColor="text1"/>
          <w:sz w:val="28"/>
          <w:szCs w:val="28"/>
          <w14:textFill>
            <w14:solidFill>
              <w14:schemeClr w14:val="tx1"/>
            </w14:solidFill>
          </w14:textFill>
        </w:rPr>
        <w:t>春季风大</w:t>
      </w:r>
      <w:r>
        <w:rPr>
          <w:rFonts w:hint="eastAsia" w:ascii="宋体" w:hAnsi="宋体" w:eastAsia="宋体" w:cs="宋体"/>
          <w:color w:val="000000" w:themeColor="text1"/>
          <w:sz w:val="28"/>
          <w14:textFill>
            <w14:solidFill>
              <w14:schemeClr w14:val="tx1"/>
            </w14:solidFill>
          </w14:textFill>
        </w:rPr>
        <w:t>。大风可能导致厂区内建构筑物坍塌；造成高处未佩戴安全防护用品的人员发生高处坠落事故；或导致高处堆放的零散物件坠落，对地面的人员造成物体打击伤害；还可能导致扬尘，造成视线不清，从而引发机械伤害、车辆伤害等事故的发生。</w:t>
      </w:r>
    </w:p>
    <w:p w14:paraId="76955616">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2）高温：高温天气对人体健康的主要影响是产生中暑以及诱</w:t>
      </w:r>
      <w:r>
        <w:rPr>
          <w:rFonts w:hint="eastAsia" w:ascii="宋体" w:hAnsi="宋体" w:eastAsia="宋体" w:cs="宋体"/>
          <w:color w:val="000000" w:themeColor="text1"/>
          <w:sz w:val="28"/>
          <w14:textFill>
            <w14:solidFill>
              <w14:schemeClr w14:val="tx1"/>
            </w14:solidFill>
          </w14:textFill>
        </w:rPr>
        <w:t>心脑血管</w:t>
      </w:r>
      <w:r>
        <w:rPr>
          <w:rFonts w:hint="eastAsia" w:ascii="宋体" w:hAnsi="宋体" w:eastAsia="宋体" w:cs="宋体"/>
          <w:color w:val="000000" w:themeColor="text1"/>
          <w:sz w:val="28"/>
          <w14:textFill>
            <w14:solidFill>
              <w14:schemeClr w14:val="tx1"/>
            </w14:solidFill>
          </w14:textFill>
        </w:rPr>
        <w:t>管疾病导致死亡。该项目在运行过程中，</w:t>
      </w:r>
      <w:r>
        <w:rPr>
          <w:rFonts w:hint="eastAsia" w:ascii="宋体" w:hAnsi="宋体" w:eastAsia="宋体" w:cs="宋体"/>
          <w:color w:val="000000" w:themeColor="text1"/>
          <w:sz w:val="28"/>
          <w:szCs w:val="28"/>
          <w14:textFill>
            <w14:solidFill>
              <w14:schemeClr w14:val="tx1"/>
            </w14:solidFill>
          </w14:textFill>
        </w:rPr>
        <w:t>极端最高气温</w:t>
      </w:r>
      <w:r>
        <w:rPr>
          <w:rFonts w:hint="eastAsia" w:ascii="宋体" w:hAnsi="宋体" w:eastAsia="宋体" w:cs="宋体"/>
          <w:color w:val="000000" w:themeColor="text1"/>
          <w:sz w:val="28"/>
          <w:szCs w:val="28"/>
          <w:lang w:val="en-US" w:eastAsia="zh-CN"/>
          <w14:textFill>
            <w14:solidFill>
              <w14:schemeClr w14:val="tx1"/>
            </w14:solidFill>
          </w14:textFill>
        </w:rPr>
        <w:t>34</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14:textFill>
            <w14:solidFill>
              <w14:schemeClr w14:val="tx1"/>
            </w14:solidFill>
          </w14:textFill>
        </w:rPr>
        <w:t>在夏季高温天气下，可能造成作业人员发生中暑的危险。</w:t>
      </w:r>
    </w:p>
    <w:p w14:paraId="5A147271">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3）暴雨：暴雨是主要气象灾害之一。长时间的暴雨容易产生积水或径流淹没低洼地段，造成洪涝灾害。厂区设备可能受潮、房顶漏雨，地面积水导致电气设备、线路、开关装置短路，发生漏电伤人事故。</w:t>
      </w:r>
    </w:p>
    <w:p w14:paraId="5D773AFB">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4）雷击：雷电事故有可能对建筑物和电气设备造成破坏。</w:t>
      </w:r>
    </w:p>
    <w:p w14:paraId="421E9888">
      <w:pPr>
        <w:numPr>
          <w:ilvl w:val="0"/>
          <w:numId w:val="11"/>
        </w:numPr>
        <w:tabs>
          <w:tab w:val="left" w:pos="0"/>
          <w:tab w:val="left" w:pos="840"/>
          <w:tab w:val="left" w:pos="993"/>
        </w:tabs>
        <w:adjustRightInd w:val="0"/>
        <w:snapToGrid w:val="0"/>
        <w:spacing w:line="500" w:lineRule="exact"/>
        <w:ind w:left="0"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地质条件方面危险、有害因素分析</w:t>
      </w:r>
    </w:p>
    <w:p w14:paraId="2ACE8215">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（1）地质</w:t>
      </w:r>
    </w:p>
    <w:p w14:paraId="4F612FF4">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地质灾害主要由地形地貌、地层岩性，地质构造、地下水、地震、暴雨等因素等引发。如</w:t>
      </w:r>
      <w:r>
        <w:rPr>
          <w:rFonts w:hint="eastAsia" w:ascii="宋体" w:hAnsi="宋体" w:eastAsia="宋体" w:cs="宋体"/>
          <w:color w:val="000000" w:themeColor="text1"/>
          <w:sz w:val="28"/>
          <w14:textFill>
            <w14:solidFill>
              <w14:schemeClr w14:val="tx1"/>
            </w14:solidFill>
          </w14:textFill>
        </w:rPr>
        <w:t>生产过程中</w:t>
      </w:r>
      <w:r>
        <w:rPr>
          <w:rFonts w:hint="eastAsia" w:ascii="宋体" w:hAnsi="宋体" w:eastAsia="宋体" w:cs="宋体"/>
          <w:color w:val="000000" w:themeColor="text1"/>
          <w:sz w:val="28"/>
          <w14:textFill>
            <w14:solidFill>
              <w14:schemeClr w14:val="tx1"/>
            </w14:solidFill>
          </w14:textFill>
        </w:rPr>
        <w:t>施工不当，也可破坏斜坡平衡，引发滑坡、崩塌等地质灾害。可能会因为地质不良或未根据地质情况采取相应的措施，造成建构筑物坍塌、地基塌陷、基础不均匀沉降等危险，基础不均匀下沉会导致设备损坏、管线破裂，发生坍塌、触电等事故。</w:t>
      </w:r>
    </w:p>
    <w:p w14:paraId="5E7972B0">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（2）水文地质方面</w:t>
      </w:r>
    </w:p>
    <w:p w14:paraId="7431BBFA">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1）地下水位：地下水位的变化，对工程建筑的危害影响较大，如地下水位上升，可引起浅基础地基承载力的降低，在有地震砂土液化的地区会引起液化的加剧，岩土体产生变形、滑移、崩塌失稳等不良的地质作用，继而可导致建构筑物下沉、位移、倾斜甚至坍塌；</w:t>
      </w:r>
    </w:p>
    <w:p w14:paraId="33055132">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2）地下水侵蚀：地下水侵蚀性的影响主要体现在水对混凝土、可溶性石材、管道以及金属材料的侵蚀和危害。突出表现在地下水的侵蚀性和地下水中的化学性质的积极作用，在工程上带来较大的危害，侵蚀性在或快或慢的进行，可改变各种建筑材料的使用预期，造成建构筑物使用寿命的降低；</w:t>
      </w:r>
    </w:p>
    <w:p w14:paraId="6E08A9E0">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3）过度开采地下水：若厂区或周边企业违规自设水井开采地下水，地下水的过度开采经常造成地面沉陷，塌陷的地面给工程造成极大的危害，可致使场地地质状况下降，导致建构筑物下沉、倾斜甚至坍塌，给人员带来安全隐患。</w:t>
      </w:r>
    </w:p>
    <w:p w14:paraId="5D69F7DA">
      <w:pPr>
        <w:tabs>
          <w:tab w:val="left" w:pos="0"/>
          <w:tab w:val="left" w:pos="840"/>
          <w:tab w:val="left" w:pos="993"/>
        </w:tabs>
        <w:adjustRightInd w:val="0"/>
        <w:snapToGrid w:val="0"/>
        <w:spacing w:line="500" w:lineRule="exact"/>
        <w:ind w:left="56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（3）地震</w:t>
      </w:r>
    </w:p>
    <w:p w14:paraId="45563B3D">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如各建构筑物抗震设防等级不满足要求，地震可破坏建筑物基础，造成建筑物坍塌，造成人员、财产重大损失。</w:t>
      </w:r>
    </w:p>
    <w:p w14:paraId="182B7339">
      <w:pPr>
        <w:numPr>
          <w:ilvl w:val="0"/>
          <w:numId w:val="11"/>
        </w:numPr>
        <w:tabs>
          <w:tab w:val="left" w:pos="0"/>
          <w:tab w:val="left" w:pos="840"/>
          <w:tab w:val="left" w:pos="993"/>
        </w:tabs>
        <w:adjustRightInd w:val="0"/>
        <w:snapToGrid w:val="0"/>
        <w:spacing w:line="500" w:lineRule="exact"/>
        <w:ind w:left="0"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周边环境因素对企业的影响分析</w:t>
      </w:r>
    </w:p>
    <w:p w14:paraId="55EFFFF0">
      <w:pPr>
        <w:adjustRightInd w:val="0"/>
        <w:snapToGrid w:val="0"/>
        <w:spacing w:line="500" w:lineRule="exact"/>
        <w:ind w:firstLine="560" w:firstLineChars="200"/>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1</w:t>
      </w:r>
      <w:r>
        <w:rPr>
          <w:rFonts w:hint="eastAsia" w:ascii="宋体" w:hAnsi="宋体" w:eastAsia="宋体" w:cs="宋体"/>
          <w:color w:val="000000" w:themeColor="text1"/>
          <w:sz w:val="28"/>
          <w:szCs w:val="28"/>
          <w14:textFill>
            <w14:solidFill>
              <w14:schemeClr w14:val="tx1"/>
            </w14:solidFill>
          </w14:textFill>
        </w:rPr>
        <w:t>）厂外企业发生不可控的安全生产事故，容易影响到本公司厂房和设备设施的安全，引发建（构）筑物坍塌、火灾等事故。事故会造成人员损伤和财产损失，终止生产运行。</w:t>
      </w:r>
      <w:r>
        <w:rPr>
          <w:rFonts w:hint="eastAsia" w:ascii="宋体" w:hAnsi="宋体" w:eastAsia="宋体" w:cs="宋体"/>
          <w:color w:val="000000" w:themeColor="text1"/>
          <w:sz w:val="28"/>
          <w:szCs w:val="28"/>
          <w:lang w:val="en-US" w:eastAsia="zh-CN"/>
          <w14:textFill>
            <w14:solidFill>
              <w14:schemeClr w14:val="tx1"/>
            </w14:solidFill>
          </w14:textFill>
        </w:rPr>
        <w:t>如厂区东西两侧企业发生火灾爆炸等。</w:t>
      </w:r>
    </w:p>
    <w:p w14:paraId="733A76CC">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）本公司内部其他相关方事故及本公司周边外单位事故可能影响到本公司内部生产安全，影响范围主要为本公司与周边单位相邻区域。</w:t>
      </w:r>
    </w:p>
    <w:p w14:paraId="24EC5D6F">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372" w:name="_Toc17415"/>
      <w:bookmarkStart w:id="373" w:name="_Toc61474416"/>
      <w:bookmarkStart w:id="374" w:name="_Toc7008"/>
      <w:bookmarkStart w:id="375" w:name="_Toc26286"/>
      <w:bookmarkStart w:id="376" w:name="_Toc30001394"/>
      <w:bookmarkStart w:id="377" w:name="_Toc1063"/>
      <w:bookmarkStart w:id="378" w:name="_Toc16423"/>
      <w:r>
        <w:rPr>
          <w:rFonts w:hint="eastAsia" w:ascii="宋体" w:hAnsi="宋体" w:eastAsia="宋体" w:cs="宋体"/>
          <w:color w:val="000000" w:themeColor="text1"/>
          <w:lang w:val="en-US" w:eastAsia="zh-CN"/>
          <w14:textFill>
            <w14:solidFill>
              <w14:schemeClr w14:val="tx1"/>
            </w14:solidFill>
          </w14:textFill>
        </w:rPr>
        <w:t>3.5.2总平面布置危险性分析</w:t>
      </w:r>
      <w:bookmarkEnd w:id="372"/>
      <w:bookmarkEnd w:id="373"/>
      <w:bookmarkEnd w:id="374"/>
      <w:bookmarkEnd w:id="375"/>
      <w:bookmarkEnd w:id="376"/>
      <w:bookmarkEnd w:id="377"/>
      <w:bookmarkEnd w:id="378"/>
    </w:p>
    <w:p w14:paraId="701A57AF">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项目总体布置应全面考虑自然条件、社会环境、安全卫生设施、交通道路、建筑物间的防火间距、枢纽规划和环境绿化等对劳动安全和工业卫生都有直接影响的因素，应统一规划，合理安排。</w:t>
      </w:r>
    </w:p>
    <w:p w14:paraId="5A16126C">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总平面布置可能对项目造成危害的主要是防火间距、风向、道路、采光、通风、布置等方面。总平面布置不合理可能会导致火灾、物体打击、机械伤害、车辆伤害、触电、坍塌等危险。引发事故的原因主要有：</w:t>
      </w:r>
    </w:p>
    <w:p w14:paraId="3CFF9548">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1、设备、设施安全通道预留不足，或相关通道阻塞，可导致设备检修、巡检不便，发生机械伤害、灼烫、触电等类型事故。</w:t>
      </w:r>
    </w:p>
    <w:p w14:paraId="3AB164B6">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2、如建（构）筑物之间通道阻塞致使防火间距预留不足，如发生火灾等事故，可能导致事故范围和等级扩大。</w:t>
      </w:r>
      <w:r>
        <w:rPr>
          <w:rFonts w:hint="eastAsia" w:ascii="宋体" w:hAnsi="宋体" w:eastAsia="宋体" w:cs="宋体"/>
          <w:color w:val="000000" w:themeColor="text1"/>
          <w:sz w:val="28"/>
          <w:szCs w:val="28"/>
          <w:lang w:val="en-US" w:eastAsia="zh-CN"/>
          <w14:textFill>
            <w14:solidFill>
              <w14:schemeClr w14:val="tx1"/>
            </w14:solidFill>
          </w14:textFill>
        </w:rPr>
        <w:t>当周边的设施或者建筑发生火灾、坍塌等事故时，可能会对厂内建筑物、设施造成一定影响；厂内建筑物发生火灾时，可能造成周边设施或建构筑物造成火</w:t>
      </w:r>
      <w:r>
        <w:rPr>
          <w:rFonts w:hint="eastAsia" w:ascii="宋体" w:hAnsi="宋体" w:eastAsia="宋体" w:cs="宋体"/>
          <w:color w:val="000000"/>
          <w:kern w:val="0"/>
          <w:sz w:val="28"/>
          <w:szCs w:val="28"/>
          <w:lang w:val="en-US" w:eastAsia="zh-CN" w:bidi="ar"/>
        </w:rPr>
        <w:t>灾的影响。</w:t>
      </w:r>
    </w:p>
    <w:p w14:paraId="20909247">
      <w:pPr>
        <w:adjustRightInd w:val="0"/>
        <w:snapToGrid w:val="0"/>
        <w:spacing w:line="500" w:lineRule="exact"/>
        <w:ind w:firstLine="560" w:firstLineChars="20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3、设备布置过于拥挤，作业区域空间狭小，未设防护挡板等可导致人员受到机械伤害，物体打击伤害</w:t>
      </w:r>
      <w:r>
        <w:rPr>
          <w:rFonts w:hint="eastAsia" w:ascii="宋体" w:hAnsi="宋体" w:eastAsia="宋体" w:cs="宋体"/>
          <w:snapToGrid w:val="0"/>
          <w:color w:val="000000" w:themeColor="text1"/>
          <w:kern w:val="0"/>
          <w:sz w:val="28"/>
          <w:szCs w:val="28"/>
          <w14:textFill>
            <w14:solidFill>
              <w14:schemeClr w14:val="tx1"/>
            </w14:solidFill>
          </w14:textFill>
        </w:rPr>
        <w:t>。</w:t>
      </w:r>
    </w:p>
    <w:p w14:paraId="076D4F73">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w:t>
      </w:r>
      <w:r>
        <w:rPr>
          <w:rFonts w:hint="eastAsia" w:ascii="宋体" w:hAnsi="宋体" w:eastAsia="宋体" w:cs="宋体"/>
          <w:color w:val="000000" w:themeColor="text1"/>
          <w:sz w:val="28"/>
          <w:szCs w:val="28"/>
          <w:lang w:val="en-US" w:eastAsia="zh-CN"/>
          <w14:textFill>
            <w14:solidFill>
              <w14:schemeClr w14:val="tx1"/>
            </w14:solidFill>
          </w14:textFill>
        </w:rPr>
        <w:t>厂区</w:t>
      </w:r>
      <w:r>
        <w:rPr>
          <w:rFonts w:hint="eastAsia" w:ascii="宋体" w:hAnsi="宋体" w:eastAsia="宋体" w:cs="宋体"/>
          <w:color w:val="000000" w:themeColor="text1"/>
          <w:sz w:val="28"/>
          <w:szCs w:val="28"/>
          <w14:textFill>
            <w14:solidFill>
              <w14:schemeClr w14:val="tx1"/>
            </w14:solidFill>
          </w14:textFill>
        </w:rPr>
        <w:t>出入口存在死角或宽度不足，未设置交通警示标志等，可能引发车辆伤害。</w:t>
      </w:r>
    </w:p>
    <w:p w14:paraId="1B40D260">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项目</w:t>
      </w:r>
      <w:r>
        <w:rPr>
          <w:rFonts w:hint="eastAsia" w:ascii="宋体" w:hAnsi="宋体" w:eastAsia="宋体" w:cs="宋体"/>
          <w:color w:val="000000" w:themeColor="text1"/>
          <w:sz w:val="28"/>
          <w:szCs w:val="28"/>
          <w:lang w:val="en-US" w:eastAsia="zh-CN"/>
          <w14:textFill>
            <w14:solidFill>
              <w14:schemeClr w14:val="tx1"/>
            </w14:solidFill>
          </w14:textFill>
        </w:rPr>
        <w:t>东侧</w:t>
      </w:r>
      <w:r>
        <w:rPr>
          <w:rFonts w:hint="eastAsia" w:ascii="宋体" w:hAnsi="宋体" w:eastAsia="宋体" w:cs="宋体"/>
          <w:color w:val="000000" w:themeColor="text1"/>
          <w:sz w:val="28"/>
          <w:szCs w:val="28"/>
          <w:lang w:val="en-US" w:eastAsia="zh-CN"/>
          <w14:textFill>
            <w14:solidFill>
              <w14:schemeClr w14:val="tx1"/>
            </w14:solidFill>
          </w14:textFill>
        </w:rPr>
        <w:t>邻近S</w:t>
      </w:r>
      <w:r>
        <w:rPr>
          <w:rFonts w:hint="eastAsia" w:ascii="宋体" w:hAnsi="宋体" w:eastAsia="宋体" w:cs="宋体"/>
          <w:color w:val="000000" w:themeColor="text1"/>
          <w:sz w:val="28"/>
          <w:szCs w:val="28"/>
          <w:lang w:val="en-US" w:eastAsia="zh-CN"/>
          <w14:textFill>
            <w14:solidFill>
              <w14:schemeClr w14:val="tx1"/>
            </w14:solidFill>
          </w14:textFill>
        </w:rPr>
        <w:t xml:space="preserve"> 102 </w:t>
      </w:r>
      <w:r>
        <w:rPr>
          <w:rFonts w:hint="eastAsia" w:ascii="宋体" w:hAnsi="宋体" w:eastAsia="宋体" w:cs="宋体"/>
          <w:color w:val="000000" w:themeColor="text1"/>
          <w:sz w:val="28"/>
          <w:szCs w:val="28"/>
          <w:lang w:val="en-US" w:eastAsia="zh-CN"/>
          <w14:textFill>
            <w14:solidFill>
              <w14:schemeClr w14:val="tx1"/>
            </w14:solidFill>
          </w14:textFill>
        </w:rPr>
        <w:t>省道，</w:t>
      </w:r>
      <w:r>
        <w:rPr>
          <w:rFonts w:hint="eastAsia" w:ascii="宋体" w:hAnsi="宋体" w:eastAsia="宋体" w:cs="宋体"/>
          <w:color w:val="000000" w:themeColor="text1"/>
          <w:sz w:val="28"/>
          <w:szCs w:val="28"/>
          <w:lang w:val="en-US" w:eastAsia="zh-CN"/>
          <w14:textFill>
            <w14:solidFill>
              <w14:schemeClr w14:val="tx1"/>
            </w14:solidFill>
          </w14:textFill>
        </w:rPr>
        <w:t>若厂外道路发生交通事故、车辆火灾爆炸等可能使本项目人员、运输车辆无法正常出行，因救火、疏散等原因，还可能导致厂区周边道路发生交通阻塞。</w:t>
      </w:r>
    </w:p>
    <w:p w14:paraId="431BB7C4">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379" w:name="_Toc8862"/>
      <w:bookmarkStart w:id="380" w:name="_Toc20477"/>
      <w:r>
        <w:rPr>
          <w:rFonts w:hint="eastAsia" w:ascii="宋体" w:hAnsi="宋体" w:eastAsia="宋体" w:cs="宋体"/>
          <w:color w:val="000000" w:themeColor="text1"/>
          <w:lang w:val="en-US" w:eastAsia="zh-CN"/>
          <w14:textFill>
            <w14:solidFill>
              <w14:schemeClr w14:val="tx1"/>
            </w14:solidFill>
          </w14:textFill>
        </w:rPr>
        <w:t>3.5.3公用工程和辅助设施的危险、有害因素辨识</w:t>
      </w:r>
      <w:bookmarkEnd w:id="379"/>
      <w:bookmarkEnd w:id="380"/>
    </w:p>
    <w:p w14:paraId="4CF33747">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eastAsia" w:ascii="宋体" w:hAnsi="宋体" w:eastAsia="宋体" w:cs="宋体"/>
          <w:color w:val="000000" w:themeColor="text1"/>
          <w:kern w:val="0"/>
          <w14:textFill>
            <w14:solidFill>
              <w14:schemeClr w14:val="tx1"/>
            </w14:solidFill>
          </w14:textFill>
        </w:rPr>
      </w:pPr>
      <w:r>
        <w:rPr>
          <w:rFonts w:hint="eastAsia" w:ascii="宋体" w:hAnsi="宋体" w:eastAsia="宋体" w:cs="宋体"/>
          <w:color w:val="000000" w:themeColor="text1"/>
          <w:kern w:val="0"/>
          <w14:textFill>
            <w14:solidFill>
              <w14:schemeClr w14:val="tx1"/>
            </w14:solidFill>
          </w14:textFill>
        </w:rPr>
        <w:t>3.5.</w:t>
      </w:r>
      <w:r>
        <w:rPr>
          <w:rFonts w:hint="eastAsia" w:ascii="宋体" w:hAnsi="宋体" w:eastAsia="宋体" w:cs="宋体"/>
          <w:color w:val="000000" w:themeColor="text1"/>
          <w:kern w:val="0"/>
          <w:lang w:val="en-US" w:eastAsia="zh-CN"/>
          <w14:textFill>
            <w14:solidFill>
              <w14:schemeClr w14:val="tx1"/>
            </w14:solidFill>
          </w14:textFill>
        </w:rPr>
        <w:t>3</w:t>
      </w:r>
      <w:r>
        <w:rPr>
          <w:rFonts w:hint="eastAsia" w:ascii="宋体" w:hAnsi="宋体" w:eastAsia="宋体" w:cs="宋体"/>
          <w:color w:val="000000" w:themeColor="text1"/>
          <w:kern w:val="0"/>
          <w14:textFill>
            <w14:solidFill>
              <w14:schemeClr w14:val="tx1"/>
            </w14:solidFill>
          </w14:textFill>
        </w:rPr>
        <w:t>.1供配电系统危险性分析</w:t>
      </w:r>
    </w:p>
    <w:p w14:paraId="7ECDA404">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该项目电气设备主要包括：</w:t>
      </w:r>
      <w:r>
        <w:rPr>
          <w:rFonts w:hint="eastAsia" w:ascii="宋体" w:hAnsi="宋体" w:eastAsia="宋体" w:cs="宋体"/>
          <w:color w:val="000000" w:themeColor="text1"/>
          <w:highlight w:val="none"/>
          <w14:textFill>
            <w14:solidFill>
              <w14:schemeClr w14:val="tx1"/>
            </w14:solidFill>
          </w14:textFill>
        </w:rPr>
        <w:t>变压器、</w:t>
      </w:r>
      <w:r>
        <w:rPr>
          <w:rFonts w:hint="eastAsia" w:ascii="宋体" w:hAnsi="宋体" w:eastAsia="宋体" w:cs="宋体"/>
          <w:color w:val="000000" w:themeColor="text1"/>
          <w14:textFill>
            <w14:solidFill>
              <w14:schemeClr w14:val="tx1"/>
            </w14:solidFill>
          </w14:textFill>
        </w:rPr>
        <w:t>电力线路、配电柜、照明灯具、用电设备等。这些电气设备主要存在：触电及电气火灾等危险。</w:t>
      </w:r>
    </w:p>
    <w:p w14:paraId="47CA3422">
      <w:pPr>
        <w:pStyle w:val="218"/>
        <w:adjustRightInd w:val="0"/>
        <w:snapToGrid w:val="0"/>
        <w:rPr>
          <w:rFonts w:hint="eastAsia" w:ascii="宋体" w:hAnsi="宋体" w:eastAsia="宋体" w:cs="宋体"/>
          <w:color w:val="000000" w:themeColor="text1"/>
          <w:highlight w:val="yellow"/>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w:t>
      </w:r>
      <w:r>
        <w:rPr>
          <w:rFonts w:hint="eastAsia" w:ascii="宋体" w:hAnsi="宋体" w:eastAsia="宋体" w:cs="宋体"/>
          <w:color w:val="000000" w:themeColor="text1"/>
          <w:highlight w:val="none"/>
          <w:lang w:val="en-US" w:eastAsia="zh-CN"/>
          <w14:textFill>
            <w14:solidFill>
              <w14:schemeClr w14:val="tx1"/>
            </w14:solidFill>
          </w14:textFill>
        </w:rPr>
        <w:t>.</w:t>
      </w:r>
      <w:r>
        <w:rPr>
          <w:rFonts w:hint="eastAsia" w:ascii="宋体" w:hAnsi="宋体" w:eastAsia="宋体" w:cs="宋体"/>
          <w:color w:val="000000" w:themeColor="text1"/>
          <w:highlight w:val="none"/>
          <w14:textFill>
            <w14:solidFill>
              <w14:schemeClr w14:val="tx1"/>
            </w14:solidFill>
          </w14:textFill>
        </w:rPr>
        <w:t>变压器危险、有害因素分析</w:t>
      </w:r>
    </w:p>
    <w:p w14:paraId="50934934">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变压器是利用电磁感应原理，把交流电能转变为不同电压、电流等参数的另一种电能的设备，发事故的原因主要有：</w:t>
      </w:r>
    </w:p>
    <w:p w14:paraId="3D701FC2">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（1）变压器长期过载，会引起线圈发热，使绝缘逐渐老化，造成匝间短路、相间短路或对地短路，引起变压器燃烧爆炸。</w:t>
      </w:r>
    </w:p>
    <w:p w14:paraId="53230619">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（2）变压器绝缘油在储存、运输或运行维护中不慎使水分、杂质或其他油污等混入油中后，会使绝缘强度大幅度降低。当其绝缘强度降低到一定值时在试验过程中就会发生短路。</w:t>
      </w:r>
    </w:p>
    <w:p w14:paraId="4A4A0350">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（3）硅钢片之间绝缘老化，或者夹紧铁芯的螺栓套管损坏，使铁芯产生很大的涡流，引起发热而使温度升高，也将加速绝缘的老化。</w:t>
      </w:r>
    </w:p>
    <w:p w14:paraId="393E82C8">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（4）在吊芯检修时，常常由于不慎将线圈的绝缘和瓷套管损坏瓷套管损坏后，如继续运行，轻则闪络，重则短路。</w:t>
      </w:r>
    </w:p>
    <w:p w14:paraId="5375A574">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线圈内部的接头、线圈之间的连接点和引至高、低压瓷套管的接点及分接开关上各接点，如接触不良会产生局部过热，破坏线圈绝缘，发生短路或断路。此时所产生高温的电弧，同样会使绝缘油迅速分解，产生大量气体，使压力骤增，破坏力极大，后果也十分严重。</w:t>
      </w:r>
    </w:p>
    <w:p w14:paraId="40F60202">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（6）导线接触不良的原因有：螺栓松动、焊接不牢、分接开关接点损坏等。</w:t>
      </w:r>
    </w:p>
    <w:p w14:paraId="7F9AB16C">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（7）当变压器负载发生短路时，变压器将承受相当大的短路电流如保护系统失灵或整定值过大，就有可能烧毁变压器。</w:t>
      </w:r>
    </w:p>
    <w:p w14:paraId="0CC1516D">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（8）变压器未采取隔离、防护措施，致使工作人员意外接触带电体。</w:t>
      </w:r>
    </w:p>
    <w:p w14:paraId="0AB8EE86">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（9）不严格执行工作票制度，如违章作业，操作失误，未穿戴绝缘的劳动服等。</w:t>
      </w:r>
    </w:p>
    <w:p w14:paraId="5C4E51CE">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（10）作业人员未取得电工资质证，缺乏用电常识。</w:t>
      </w:r>
    </w:p>
    <w:p w14:paraId="4929314A">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（11）作业人员缺乏自我保护意识等。</w:t>
      </w:r>
    </w:p>
    <w:p w14:paraId="6FC94365">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（12）其他可能导致事故的原因。</w:t>
      </w:r>
    </w:p>
    <w:p w14:paraId="018FCD6E">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电气线路危险、有害因素分析</w:t>
      </w:r>
    </w:p>
    <w:p w14:paraId="1FB46981">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电气线路是电力系统的重要组成部分，一般为架空线路、电缆线路，其主要存在火灾和触电危险。引发事故的原因主要有：</w:t>
      </w:r>
    </w:p>
    <w:p w14:paraId="39FF4754">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（1）厂外进线的电杆倒折、电线断落或搭在易燃物上，易造成架空线路短路，出现电火花、电弧。</w:t>
      </w:r>
    </w:p>
    <w:p w14:paraId="15F974F8">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（2）电杆杆距过大，线间距过小或布线过松，没有拉紧，在大风和外力作用下，容易碰在一起造成短路，或者布线时把导线拉得过紧也易发生导线断裂事故，引起火灾或触电事故。</w:t>
      </w:r>
    </w:p>
    <w:p w14:paraId="60EB2BE4">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（3）架空线路遭到雷击，使线路绝缘损坏，并产生下频短路电弧从而使线路跳闸，影响正常供电。</w:t>
      </w:r>
    </w:p>
    <w:p w14:paraId="3EBA5294">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（4）电缆本身在制造时有缺陷，在敷设时保护铅皮损坏或在运行中电缆绝缘受到机械损伤，引起电缆之间或铅皮之间的绝缘击穿而发生电弧。电弧高温能引燃电缆内的绝缘材料和电缆外层的麻布等。</w:t>
      </w:r>
    </w:p>
    <w:p w14:paraId="3191F2F7">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（5）埋地电缆长期受水、酸碱性土壤腐蚀使保护层破坏，绝缘强度降低，引起电缆短路起火。</w:t>
      </w:r>
    </w:p>
    <w:p w14:paraId="2359F123">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（6）长时间运行中，由于过负荷、过热等原因使电缆绝缘加速老化、干枯，绝缘强度降低，引起电缆相间或对地击穿短路起火。</w:t>
      </w:r>
    </w:p>
    <w:p w14:paraId="25F08018">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（7）电缆外护套破损或密封不良，使电缆发生水渗浸受潮，导致绝缘击穿短路。</w:t>
      </w:r>
    </w:p>
    <w:p w14:paraId="360636D0">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（8）过电压使电缆绝缘击穿发生短路起火。</w:t>
      </w:r>
    </w:p>
    <w:p w14:paraId="77D4008A">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（9）安装时电缆的曲率半径过小，致使绝缘折断受损发生短路。</w:t>
      </w:r>
    </w:p>
    <w:p w14:paraId="574128CE">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（10）电缆终端接头和中间接头接触不良发生短路事故，引起电缆着火。</w:t>
      </w:r>
    </w:p>
    <w:p w14:paraId="2825C78E">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（11）开关设备及其他电气设备短路或接触电阻过大产生高温起火将附近电缆引燃、安装施工和检修时高温焊渣等掉到电缆上引起着火或其他可燃、易燃物品着火后将附近电缆引燃。</w:t>
      </w:r>
    </w:p>
    <w:p w14:paraId="316A1EC5">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（12）电缆绝缘材料腐蚀受损或机械受损等脱落后，人员赤身接触导电线。</w:t>
      </w:r>
    </w:p>
    <w:p w14:paraId="6FDD3D1A">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（13）作业人员缺乏自我保护意识等。</w:t>
      </w:r>
    </w:p>
    <w:p w14:paraId="6DE49E10">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（14） 其他可能导致事故的原因。</w:t>
      </w:r>
    </w:p>
    <w:p w14:paraId="150C0F93">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w:t>
      </w:r>
      <w:r>
        <w:rPr>
          <w:rFonts w:hint="eastAsia" w:ascii="宋体" w:hAnsi="宋体" w:eastAsia="宋体" w:cs="宋体"/>
          <w:color w:val="000000" w:themeColor="text1"/>
          <w:lang w:val="en-US" w:eastAsia="zh-CN"/>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其他电气设备危险、有害因素分析</w:t>
      </w:r>
    </w:p>
    <w:p w14:paraId="52F52C11">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该项目其他电气设备包括配电箱(柜)、照明系统等，主要存在火灾和触电危险。引发事故的原因主要有：</w:t>
      </w:r>
    </w:p>
    <w:p w14:paraId="078EB86C">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 电气设备及线路的日常管理、维护不当，电气设备、线路老化、绝缘破损、漏电且无接地接零保护。</w:t>
      </w:r>
    </w:p>
    <w:p w14:paraId="1326EBFC">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（2）作业人员缺乏用电常识。</w:t>
      </w:r>
    </w:p>
    <w:p w14:paraId="2A0C41C1">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（3）条件不允许而带电作业或施工中误合电闸送电</w:t>
      </w:r>
    </w:p>
    <w:p w14:paraId="78FCE4A6">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（4）无漏电保护器或漏电保护器失效。</w:t>
      </w:r>
    </w:p>
    <w:p w14:paraId="4B63CA34">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（5）超标使用保险丝、空气开关等。</w:t>
      </w:r>
    </w:p>
    <w:p w14:paraId="2863306D">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（6）断路器失效、设备无接地接零或失效</w:t>
      </w:r>
    </w:p>
    <w:p w14:paraId="3A832093">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（7）电器开关损坏、漏电。</w:t>
      </w:r>
    </w:p>
    <w:p w14:paraId="1F12E918">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（8）不严格执行工作票制度，违章作业，操作失误等。</w:t>
      </w:r>
    </w:p>
    <w:p w14:paraId="7F42B6E7">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（9）其他可能导致事故的原因。</w:t>
      </w:r>
    </w:p>
    <w:p w14:paraId="1E7484A1">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kern w:val="0"/>
          <w14:textFill>
            <w14:solidFill>
              <w14:schemeClr w14:val="tx1"/>
            </w14:solidFill>
          </w14:textFill>
        </w:rPr>
        <w:t>3.</w:t>
      </w:r>
      <w:r>
        <w:rPr>
          <w:rFonts w:hint="eastAsia" w:ascii="宋体" w:hAnsi="宋体" w:eastAsia="宋体" w:cs="宋体"/>
          <w:color w:val="000000" w:themeColor="text1"/>
          <w:kern w:val="0"/>
          <w:lang w:val="en-US" w:eastAsia="zh-CN"/>
          <w14:textFill>
            <w14:solidFill>
              <w14:schemeClr w14:val="tx1"/>
            </w14:solidFill>
          </w14:textFill>
        </w:rPr>
        <w:t>5</w:t>
      </w:r>
      <w:r>
        <w:rPr>
          <w:rFonts w:hint="eastAsia" w:ascii="宋体" w:hAnsi="宋体" w:eastAsia="宋体" w:cs="宋体"/>
          <w:color w:val="000000" w:themeColor="text1"/>
          <w:kern w:val="0"/>
          <w14:textFill>
            <w14:solidFill>
              <w14:schemeClr w14:val="tx1"/>
            </w14:solidFill>
          </w14:textFill>
        </w:rPr>
        <w:t>.</w:t>
      </w:r>
      <w:r>
        <w:rPr>
          <w:rFonts w:hint="eastAsia" w:ascii="宋体" w:hAnsi="宋体" w:eastAsia="宋体" w:cs="宋体"/>
          <w:color w:val="000000" w:themeColor="text1"/>
          <w:kern w:val="0"/>
          <w:lang w:val="en-US" w:eastAsia="zh-CN"/>
          <w14:textFill>
            <w14:solidFill>
              <w14:schemeClr w14:val="tx1"/>
            </w14:solidFill>
          </w14:textFill>
        </w:rPr>
        <w:t>3</w:t>
      </w:r>
      <w:r>
        <w:rPr>
          <w:rFonts w:hint="eastAsia" w:ascii="宋体" w:hAnsi="宋体" w:eastAsia="宋体" w:cs="宋体"/>
          <w:color w:val="000000" w:themeColor="text1"/>
          <w:kern w:val="0"/>
          <w14:textFill>
            <w14:solidFill>
              <w14:schemeClr w14:val="tx1"/>
            </w14:solidFill>
          </w14:textFill>
        </w:rPr>
        <w:t>.2给排水危险、有害因素分析</w:t>
      </w:r>
    </w:p>
    <w:p w14:paraId="2CC689C3">
      <w:pPr>
        <w:pStyle w:val="218"/>
        <w:adjustRightInd w:val="0"/>
        <w:snapToGrid w:val="0"/>
        <w:ind w:firstLine="562"/>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lang w:val="en-US" w:eastAsia="zh-CN"/>
          <w14:textFill>
            <w14:solidFill>
              <w14:schemeClr w14:val="tx1"/>
            </w14:solidFill>
          </w14:textFill>
        </w:rPr>
        <w:t>1.</w:t>
      </w:r>
      <w:r>
        <w:rPr>
          <w:rFonts w:hint="eastAsia" w:ascii="宋体" w:hAnsi="宋体" w:eastAsia="宋体" w:cs="宋体"/>
          <w:b/>
          <w:bCs/>
          <w:color w:val="000000" w:themeColor="text1"/>
          <w14:textFill>
            <w14:solidFill>
              <w14:schemeClr w14:val="tx1"/>
            </w14:solidFill>
          </w14:textFill>
        </w:rPr>
        <w:t>触电危险性分析</w:t>
      </w:r>
    </w:p>
    <w:p w14:paraId="6F4B7877">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控制柜、动力装置及其他机电设备受潮，导致绝缘性下降，未按要求穿戴劳动防护用品和违章作业，易发生触电事故。</w:t>
      </w:r>
    </w:p>
    <w:p w14:paraId="7888A1A3">
      <w:pPr>
        <w:pStyle w:val="218"/>
        <w:adjustRightInd w:val="0"/>
        <w:snapToGrid w:val="0"/>
        <w:ind w:firstLine="562"/>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lang w:val="en-US" w:eastAsia="zh-CN"/>
          <w14:textFill>
            <w14:solidFill>
              <w14:schemeClr w14:val="tx1"/>
            </w14:solidFill>
          </w14:textFill>
        </w:rPr>
        <w:t>2.</w:t>
      </w:r>
      <w:r>
        <w:rPr>
          <w:rFonts w:hint="eastAsia" w:ascii="宋体" w:hAnsi="宋体" w:eastAsia="宋体" w:cs="宋体"/>
          <w:b/>
          <w:bCs/>
          <w:color w:val="000000" w:themeColor="text1"/>
          <w14:textFill>
            <w14:solidFill>
              <w14:schemeClr w14:val="tx1"/>
            </w14:solidFill>
          </w14:textFill>
        </w:rPr>
        <w:t>机械伤害危险性分析</w:t>
      </w:r>
    </w:p>
    <w:p w14:paraId="3E2A7054">
      <w:pPr>
        <w:pStyle w:val="218"/>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消防</w:t>
      </w:r>
      <w:r>
        <w:rPr>
          <w:rFonts w:hint="eastAsia" w:ascii="宋体" w:hAnsi="宋体" w:eastAsia="宋体" w:cs="宋体"/>
          <w:color w:val="000000" w:themeColor="text1"/>
          <w14:textFill>
            <w14:solidFill>
              <w14:schemeClr w14:val="tx1"/>
            </w14:solidFill>
          </w14:textFill>
        </w:rPr>
        <w:t>水泵在使用过程中，可能因防护罩强度不足、缺失、违章操作等原因导致机械伤害事故的发生。</w:t>
      </w:r>
    </w:p>
    <w:p w14:paraId="3A2F9EE7">
      <w:pPr>
        <w:pStyle w:val="218"/>
        <w:adjustRightInd w:val="0"/>
        <w:snapToGrid w:val="0"/>
        <w:ind w:firstLine="562"/>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lang w:val="en-US" w:eastAsia="zh-CN"/>
          <w14:textFill>
            <w14:solidFill>
              <w14:schemeClr w14:val="tx1"/>
            </w14:solidFill>
          </w14:textFill>
        </w:rPr>
        <w:t>3.</w:t>
      </w:r>
      <w:r>
        <w:rPr>
          <w:rFonts w:hint="eastAsia" w:ascii="宋体" w:hAnsi="宋体" w:eastAsia="宋体" w:cs="宋体"/>
          <w:b/>
          <w:bCs/>
          <w:color w:val="000000" w:themeColor="text1"/>
          <w14:textFill>
            <w14:solidFill>
              <w14:schemeClr w14:val="tx1"/>
            </w14:solidFill>
          </w14:textFill>
        </w:rPr>
        <w:t>其他危险性分析</w:t>
      </w:r>
    </w:p>
    <w:p w14:paraId="2F02B8BA">
      <w:pPr>
        <w:pStyle w:val="218"/>
        <w:adjustRightInd w:val="0"/>
        <w:snapToGrid w:val="0"/>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除了以上列举的危险、有害因素外，该项目中还存在场地湿滑造成人员不慎摔伤以及泵运行时产生噪声等危害</w:t>
      </w:r>
      <w:r>
        <w:rPr>
          <w:rFonts w:hint="eastAsia" w:ascii="宋体" w:hAnsi="宋体" w:eastAsia="宋体" w:cs="宋体"/>
          <w:color w:val="000000" w:themeColor="text1"/>
          <w:lang w:eastAsia="zh-CN"/>
          <w14:textFill>
            <w14:solidFill>
              <w14:schemeClr w14:val="tx1"/>
            </w14:solidFill>
          </w14:textFill>
        </w:rPr>
        <w:t>。</w:t>
      </w:r>
    </w:p>
    <w:p w14:paraId="2E1364E9">
      <w:pPr>
        <w:pStyle w:val="218"/>
        <w:adjustRightInd w:val="0"/>
        <w:snapToGrid w:val="0"/>
        <w:rPr>
          <w:rFonts w:hint="eastAsia" w:ascii="宋体" w:hAnsi="宋体" w:eastAsia="宋体" w:cs="宋体"/>
          <w:color w:val="000000" w:themeColor="text1"/>
          <w:lang w:eastAsia="zh-CN"/>
          <w14:textFill>
            <w14:solidFill>
              <w14:schemeClr w14:val="tx1"/>
            </w14:solidFill>
          </w14:textFill>
        </w:rPr>
      </w:pPr>
    </w:p>
    <w:p w14:paraId="1CE916C5">
      <w:pPr>
        <w:pStyle w:val="6"/>
        <w:keepNext w:val="0"/>
        <w:keepLines w:val="0"/>
        <w:pageBreakBefore w:val="0"/>
        <w:widowControl w:val="0"/>
        <w:kinsoku/>
        <w:wordWrap/>
        <w:overflowPunct/>
        <w:topLinePunct w:val="0"/>
        <w:autoSpaceDE/>
        <w:autoSpaceDN/>
        <w:bidi w:val="0"/>
        <w:adjustRightInd/>
        <w:spacing w:line="500" w:lineRule="exact"/>
        <w:ind w:firstLine="562" w:firstLineChars="200"/>
        <w:textAlignment w:val="auto"/>
        <w:rPr>
          <w:rFonts w:hint="eastAsia" w:ascii="宋体" w:hAnsi="宋体" w:eastAsia="宋体" w:cs="宋体"/>
          <w:lang w:val="en-US" w:eastAsia="zh-CN"/>
        </w:rPr>
      </w:pPr>
      <w:bookmarkStart w:id="381" w:name="_Toc6655"/>
      <w:bookmarkStart w:id="382" w:name="_Toc19656"/>
      <w:r>
        <w:rPr>
          <w:rFonts w:hint="eastAsia" w:ascii="宋体" w:hAnsi="宋体" w:eastAsia="宋体" w:cs="宋体"/>
          <w:color w:val="000000" w:themeColor="text1"/>
          <w:kern w:val="0"/>
          <w14:textFill>
            <w14:solidFill>
              <w14:schemeClr w14:val="tx1"/>
            </w14:solidFill>
          </w14:textFill>
        </w:rPr>
        <w:t>3.</w:t>
      </w:r>
      <w:r>
        <w:rPr>
          <w:rFonts w:hint="eastAsia" w:ascii="宋体" w:hAnsi="宋体" w:eastAsia="宋体" w:cs="宋体"/>
          <w:color w:val="000000" w:themeColor="text1"/>
          <w:kern w:val="0"/>
          <w:lang w:val="en-US" w:eastAsia="zh-CN"/>
          <w14:textFill>
            <w14:solidFill>
              <w14:schemeClr w14:val="tx1"/>
            </w14:solidFill>
          </w14:textFill>
        </w:rPr>
        <w:t>5</w:t>
      </w:r>
      <w:r>
        <w:rPr>
          <w:rFonts w:hint="eastAsia" w:ascii="宋体" w:hAnsi="宋体" w:eastAsia="宋体" w:cs="宋体"/>
          <w:color w:val="000000" w:themeColor="text1"/>
          <w:kern w:val="0"/>
          <w14:textFill>
            <w14:solidFill>
              <w14:schemeClr w14:val="tx1"/>
            </w14:solidFill>
          </w14:textFill>
        </w:rPr>
        <w:t>.</w:t>
      </w:r>
      <w:r>
        <w:rPr>
          <w:rFonts w:hint="eastAsia" w:ascii="宋体" w:hAnsi="宋体" w:eastAsia="宋体" w:cs="宋体"/>
          <w:color w:val="000000" w:themeColor="text1"/>
          <w:kern w:val="0"/>
          <w:lang w:val="en-US" w:eastAsia="zh-CN"/>
          <w14:textFill>
            <w14:solidFill>
              <w14:schemeClr w14:val="tx1"/>
            </w14:solidFill>
          </w14:textFill>
        </w:rPr>
        <w:t>3</w:t>
      </w:r>
      <w:r>
        <w:rPr>
          <w:rFonts w:hint="eastAsia" w:ascii="宋体" w:hAnsi="宋体" w:eastAsia="宋体" w:cs="宋体"/>
          <w:color w:val="000000" w:themeColor="text1"/>
          <w:kern w:val="0"/>
          <w14:textFill>
            <w14:solidFill>
              <w14:schemeClr w14:val="tx1"/>
            </w14:solidFill>
          </w14:textFill>
        </w:rPr>
        <w:t>.</w:t>
      </w:r>
      <w:r>
        <w:rPr>
          <w:rFonts w:hint="eastAsia" w:ascii="宋体" w:hAnsi="宋体" w:eastAsia="宋体" w:cs="宋体"/>
          <w:color w:val="000000" w:themeColor="text1"/>
          <w:kern w:val="0"/>
          <w:lang w:val="en-US" w:eastAsia="zh-CN"/>
          <w14:textFill>
            <w14:solidFill>
              <w14:schemeClr w14:val="tx1"/>
            </w14:solidFill>
          </w14:textFill>
        </w:rPr>
        <w:t>3</w:t>
      </w:r>
      <w:r>
        <w:rPr>
          <w:rFonts w:hint="eastAsia" w:ascii="宋体" w:hAnsi="宋体" w:eastAsia="宋体" w:cs="宋体"/>
        </w:rPr>
        <w:t>消防系统</w:t>
      </w:r>
      <w:bookmarkEnd w:id="381"/>
      <w:r>
        <w:rPr>
          <w:rFonts w:hint="eastAsia" w:ascii="宋体" w:hAnsi="宋体" w:eastAsia="宋体" w:cs="宋体"/>
        </w:rPr>
        <w:t>危险、有害因素分析</w:t>
      </w:r>
      <w:bookmarkEnd w:id="382"/>
    </w:p>
    <w:p w14:paraId="6ACC3BA2">
      <w:pPr>
        <w:keepNext w:val="0"/>
        <w:keepLines w:val="0"/>
        <w:pageBreakBefore w:val="0"/>
        <w:widowControl w:val="0"/>
        <w:kinsoku/>
        <w:wordWrap/>
        <w:overflowPunct/>
        <w:topLinePunct w:val="0"/>
        <w:autoSpaceDE/>
        <w:autoSpaceDN/>
        <w:bidi w:val="0"/>
        <w:adjustRightInd/>
        <w:spacing w:line="500" w:lineRule="exact"/>
        <w:ind w:left="240" w:leftChars="100" w:firstLine="560" w:firstLineChars="200"/>
        <w:textAlignment w:val="auto"/>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kern w:val="2"/>
          <w:sz w:val="28"/>
          <w:szCs w:val="28"/>
          <w:lang w:val="en-US" w:eastAsia="zh-CN" w:bidi="ar-SA"/>
          <w14:textFill>
            <w14:solidFill>
              <w14:schemeClr w14:val="tx1"/>
            </w14:solidFill>
          </w14:textFill>
        </w:rPr>
        <w:t>本</w:t>
      </w:r>
      <w:r>
        <w:rPr>
          <w:rFonts w:hint="eastAsia" w:ascii="宋体" w:hAnsi="宋体" w:eastAsia="宋体" w:cs="宋体"/>
          <w:color w:val="000000" w:themeColor="text1"/>
          <w:kern w:val="2"/>
          <w:sz w:val="28"/>
          <w:szCs w:val="28"/>
          <w:lang w:val="en-US" w:eastAsia="zh-CN" w:bidi="ar-SA"/>
          <w14:textFill>
            <w14:solidFill>
              <w14:schemeClr w14:val="tx1"/>
            </w14:solidFill>
          </w14:textFill>
        </w:rPr>
        <w:t>项目的消防设施主要有</w:t>
      </w:r>
      <w:r>
        <w:rPr>
          <w:rFonts w:hint="eastAsia" w:ascii="宋体" w:hAnsi="宋体" w:eastAsia="宋体" w:cs="宋体"/>
          <w:color w:val="000000" w:themeColor="text1"/>
          <w:kern w:val="2"/>
          <w:sz w:val="28"/>
          <w:szCs w:val="28"/>
          <w:lang w:val="en-US" w:eastAsia="zh-CN" w:bidi="ar-SA"/>
          <w14:textFill>
            <w14:solidFill>
              <w14:schemeClr w14:val="tx1"/>
            </w14:solidFill>
          </w14:textFill>
        </w:rPr>
        <w:t>室</w:t>
      </w:r>
      <w:r>
        <w:rPr>
          <w:rFonts w:hint="eastAsia" w:ascii="宋体" w:hAnsi="宋体" w:eastAsia="宋体" w:cs="宋体"/>
          <w:color w:val="000000" w:themeColor="text1"/>
          <w:kern w:val="2"/>
          <w:sz w:val="28"/>
          <w:szCs w:val="28"/>
          <w:lang w:val="en-US" w:eastAsia="zh-CN" w:bidi="ar-SA"/>
          <w14:textFill>
            <w14:solidFill>
              <w14:schemeClr w14:val="tx1"/>
            </w14:solidFill>
          </w14:textFill>
        </w:rPr>
        <w:t>内</w:t>
      </w:r>
      <w:r>
        <w:rPr>
          <w:rFonts w:hint="eastAsia" w:ascii="宋体" w:hAnsi="宋体" w:eastAsia="宋体" w:cs="宋体"/>
          <w:color w:val="000000" w:themeColor="text1"/>
          <w:kern w:val="2"/>
          <w:sz w:val="28"/>
          <w:szCs w:val="28"/>
          <w:lang w:val="en-US" w:eastAsia="zh-CN" w:bidi="ar-SA"/>
          <w14:textFill>
            <w14:solidFill>
              <w14:schemeClr w14:val="tx1"/>
            </w14:solidFill>
          </w14:textFill>
        </w:rPr>
        <w:t>消</w:t>
      </w:r>
      <w:r>
        <w:rPr>
          <w:rFonts w:hint="eastAsia" w:ascii="宋体" w:hAnsi="宋体" w:eastAsia="宋体" w:cs="宋体"/>
          <w:color w:val="000000" w:themeColor="text1"/>
          <w:kern w:val="2"/>
          <w:sz w:val="28"/>
          <w:szCs w:val="28"/>
          <w:lang w:val="en-US" w:eastAsia="zh-CN" w:bidi="ar-SA"/>
          <w14:textFill>
            <w14:solidFill>
              <w14:schemeClr w14:val="tx1"/>
            </w14:solidFill>
          </w14:textFill>
        </w:rPr>
        <w:t>火</w:t>
      </w:r>
      <w:r>
        <w:rPr>
          <w:rFonts w:hint="eastAsia" w:ascii="宋体" w:hAnsi="宋体" w:eastAsia="宋体" w:cs="宋体"/>
          <w:color w:val="000000" w:themeColor="text1"/>
          <w:kern w:val="2"/>
          <w:sz w:val="28"/>
          <w:szCs w:val="28"/>
          <w:lang w:val="en-US" w:eastAsia="zh-CN" w:bidi="ar-SA"/>
          <w14:textFill>
            <w14:solidFill>
              <w14:schemeClr w14:val="tx1"/>
            </w14:solidFill>
          </w14:textFill>
        </w:rPr>
        <w:t>栓、</w:t>
      </w:r>
      <w:r>
        <w:rPr>
          <w:rFonts w:hint="eastAsia" w:ascii="宋体" w:hAnsi="宋体" w:eastAsia="宋体" w:cs="宋体"/>
          <w:color w:val="000000" w:themeColor="text1"/>
          <w:kern w:val="2"/>
          <w:sz w:val="28"/>
          <w:szCs w:val="28"/>
          <w:lang w:val="en-US" w:eastAsia="zh-CN" w:bidi="ar-SA"/>
          <w14:textFill>
            <w14:solidFill>
              <w14:schemeClr w14:val="tx1"/>
            </w14:solidFill>
          </w14:textFill>
        </w:rPr>
        <w:t>手提式</w:t>
      </w:r>
      <w:r>
        <w:rPr>
          <w:rFonts w:hint="eastAsia" w:ascii="宋体" w:hAnsi="宋体" w:eastAsia="宋体" w:cs="宋体"/>
          <w:color w:val="000000" w:themeColor="text1"/>
          <w:kern w:val="2"/>
          <w:sz w:val="28"/>
          <w:szCs w:val="28"/>
          <w:lang w:val="en-US" w:eastAsia="zh-CN" w:bidi="ar-SA"/>
          <w14:textFill>
            <w14:solidFill>
              <w14:schemeClr w14:val="tx1"/>
            </w14:solidFill>
          </w14:textFill>
        </w:rPr>
        <w:t>干粉灭火器等。</w:t>
      </w:r>
    </w:p>
    <w:p w14:paraId="72E6AF35">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auto"/>
          <w:kern w:val="2"/>
          <w:sz w:val="28"/>
          <w:szCs w:val="28"/>
          <w:highlight w:val="none"/>
          <w:lang w:val="en-US" w:eastAsia="zh-CN" w:bidi="ar-SA"/>
        </w:rPr>
        <w:t>消防</w:t>
      </w:r>
      <w:r>
        <w:rPr>
          <w:rFonts w:hint="eastAsia" w:ascii="宋体" w:hAnsi="宋体" w:eastAsia="宋体" w:cs="宋体"/>
          <w:color w:val="auto"/>
          <w:kern w:val="2"/>
          <w:sz w:val="28"/>
          <w:szCs w:val="28"/>
          <w:highlight w:val="none"/>
          <w:lang w:val="en-US" w:eastAsia="zh-CN" w:bidi="ar-SA"/>
        </w:rPr>
        <w:t>泵站</w:t>
      </w:r>
      <w:r>
        <w:rPr>
          <w:rFonts w:hint="eastAsia" w:ascii="宋体" w:hAnsi="宋体" w:eastAsia="宋体" w:cs="宋体"/>
          <w:color w:val="000000" w:themeColor="text1"/>
          <w:kern w:val="2"/>
          <w:sz w:val="28"/>
          <w:szCs w:val="28"/>
          <w:lang w:val="en-US" w:eastAsia="zh-CN" w:bidi="ar-SA"/>
          <w14:textFill>
            <w14:solidFill>
              <w14:schemeClr w14:val="tx1"/>
            </w14:solidFill>
          </w14:textFill>
        </w:rPr>
        <w:t>供水存在缺陷，如压力不足，水量不足等会影响事故救援，导致事故危害扩大。</w:t>
      </w:r>
    </w:p>
    <w:p w14:paraId="62A9FB6F">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kern w:val="2"/>
          <w:sz w:val="28"/>
          <w:szCs w:val="28"/>
          <w:lang w:val="en-US" w:eastAsia="zh-CN" w:bidi="ar-SA"/>
          <w14:textFill>
            <w14:solidFill>
              <w14:schemeClr w14:val="tx1"/>
            </w14:solidFill>
          </w14:textFill>
        </w:rPr>
        <w:t>干粉灭火器在配电室等相对狭小空间使用时，细小干粉会对人员造成粉尘伤害。</w:t>
      </w:r>
    </w:p>
    <w:p w14:paraId="7AF1EE84">
      <w:pPr>
        <w:pStyle w:val="6"/>
        <w:keepNext w:val="0"/>
        <w:keepLines w:val="0"/>
        <w:pageBreakBefore w:val="0"/>
        <w:widowControl w:val="0"/>
        <w:kinsoku/>
        <w:wordWrap/>
        <w:overflowPunct/>
        <w:topLinePunct w:val="0"/>
        <w:autoSpaceDE/>
        <w:autoSpaceDN/>
        <w:bidi w:val="0"/>
        <w:adjustRightInd/>
        <w:spacing w:line="500" w:lineRule="exact"/>
        <w:ind w:firstLine="562" w:firstLineChars="200"/>
        <w:textAlignment w:val="auto"/>
        <w:rPr>
          <w:rFonts w:hint="eastAsia" w:ascii="宋体" w:hAnsi="宋体" w:eastAsia="宋体" w:cs="宋体"/>
          <w:sz w:val="28"/>
          <w:szCs w:val="28"/>
          <w:lang w:val="en-US" w:eastAsia="zh-CN"/>
        </w:rPr>
      </w:pPr>
      <w:bookmarkStart w:id="383" w:name="_Toc19882"/>
      <w:r>
        <w:rPr>
          <w:rFonts w:hint="eastAsia" w:ascii="宋体" w:hAnsi="宋体" w:eastAsia="宋体" w:cs="宋体"/>
          <w:color w:val="000000" w:themeColor="text1"/>
          <w:kern w:val="0"/>
          <w:sz w:val="28"/>
          <w:szCs w:val="28"/>
          <w14:textFill>
            <w14:solidFill>
              <w14:schemeClr w14:val="tx1"/>
            </w14:solidFill>
          </w14:textFill>
        </w:rPr>
        <w:t>3.</w:t>
      </w:r>
      <w:r>
        <w:rPr>
          <w:rFonts w:hint="eastAsia" w:ascii="宋体" w:hAnsi="宋体" w:eastAsia="宋体" w:cs="宋体"/>
          <w:color w:val="000000" w:themeColor="text1"/>
          <w:kern w:val="0"/>
          <w:sz w:val="28"/>
          <w:szCs w:val="28"/>
          <w:lang w:val="en-US" w:eastAsia="zh-CN"/>
          <w14:textFill>
            <w14:solidFill>
              <w14:schemeClr w14:val="tx1"/>
            </w14:solidFill>
          </w14:textFill>
        </w:rPr>
        <w:t>5</w:t>
      </w:r>
      <w:r>
        <w:rPr>
          <w:rFonts w:hint="eastAsia" w:ascii="宋体" w:hAnsi="宋体" w:eastAsia="宋体" w:cs="宋体"/>
          <w:color w:val="000000" w:themeColor="text1"/>
          <w:kern w:val="0"/>
          <w:sz w:val="28"/>
          <w:szCs w:val="28"/>
          <w14:textFill>
            <w14:solidFill>
              <w14:schemeClr w14:val="tx1"/>
            </w14:solidFill>
          </w14:textFill>
        </w:rPr>
        <w:t>.</w:t>
      </w:r>
      <w:r>
        <w:rPr>
          <w:rFonts w:hint="eastAsia" w:ascii="宋体" w:hAnsi="宋体" w:eastAsia="宋体" w:cs="宋体"/>
          <w:color w:val="000000" w:themeColor="text1"/>
          <w:kern w:val="0"/>
          <w:sz w:val="28"/>
          <w:szCs w:val="28"/>
          <w:lang w:val="en-US" w:eastAsia="zh-CN"/>
          <w14:textFill>
            <w14:solidFill>
              <w14:schemeClr w14:val="tx1"/>
            </w14:solidFill>
          </w14:textFill>
        </w:rPr>
        <w:t>3</w:t>
      </w:r>
      <w:r>
        <w:rPr>
          <w:rFonts w:hint="eastAsia" w:ascii="宋体" w:hAnsi="宋体" w:eastAsia="宋体" w:cs="宋体"/>
          <w:color w:val="000000" w:themeColor="text1"/>
          <w:kern w:val="0"/>
          <w:sz w:val="28"/>
          <w:szCs w:val="28"/>
          <w14:textFill>
            <w14:solidFill>
              <w14:schemeClr w14:val="tx1"/>
            </w14:solidFill>
          </w14:textFill>
        </w:rPr>
        <w:t>.</w:t>
      </w:r>
      <w:r>
        <w:rPr>
          <w:rFonts w:hint="eastAsia" w:ascii="宋体" w:hAnsi="宋体" w:eastAsia="宋体" w:cs="宋体"/>
          <w:color w:val="000000" w:themeColor="text1"/>
          <w:kern w:val="0"/>
          <w:sz w:val="28"/>
          <w:szCs w:val="28"/>
          <w:lang w:val="en-US" w:eastAsia="zh-CN"/>
          <w14:textFill>
            <w14:solidFill>
              <w14:schemeClr w14:val="tx1"/>
            </w14:solidFill>
          </w14:textFill>
        </w:rPr>
        <w:t>4</w:t>
      </w:r>
      <w:r>
        <w:rPr>
          <w:rFonts w:hint="eastAsia" w:ascii="宋体" w:hAnsi="宋体" w:eastAsia="宋体" w:cs="宋体"/>
          <w:sz w:val="28"/>
          <w:szCs w:val="28"/>
        </w:rPr>
        <w:t>厂内运输危险</w:t>
      </w:r>
      <w:r>
        <w:rPr>
          <w:rFonts w:hint="eastAsia" w:ascii="宋体" w:hAnsi="宋体" w:eastAsia="宋体" w:cs="宋体"/>
          <w:sz w:val="28"/>
          <w:szCs w:val="28"/>
          <w:lang w:eastAsia="zh-CN"/>
        </w:rPr>
        <w:t>、</w:t>
      </w:r>
      <w:r>
        <w:rPr>
          <w:rFonts w:hint="eastAsia" w:ascii="宋体" w:hAnsi="宋体" w:eastAsia="宋体" w:cs="宋体"/>
          <w:sz w:val="28"/>
          <w:szCs w:val="28"/>
        </w:rPr>
        <w:t>有害因素</w:t>
      </w:r>
      <w:r>
        <w:rPr>
          <w:rFonts w:hint="eastAsia" w:ascii="宋体" w:hAnsi="宋体" w:eastAsia="宋体" w:cs="宋体"/>
          <w:sz w:val="28"/>
          <w:szCs w:val="28"/>
          <w:lang w:val="en-US" w:eastAsia="zh-CN"/>
        </w:rPr>
        <w:t>分析</w:t>
      </w:r>
      <w:bookmarkEnd w:id="383"/>
    </w:p>
    <w:p w14:paraId="6FBF9FEC">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厂内运输设备主要包括</w:t>
      </w:r>
      <w:r>
        <w:rPr>
          <w:rFonts w:hint="eastAsia" w:ascii="宋体" w:hAnsi="宋体" w:eastAsia="宋体" w:cs="宋体"/>
          <w:sz w:val="28"/>
          <w:szCs w:val="28"/>
          <w:lang w:val="en-US" w:eastAsia="zh-CN"/>
        </w:rPr>
        <w:t>行车、</w:t>
      </w:r>
      <w:r>
        <w:rPr>
          <w:rFonts w:hint="eastAsia" w:ascii="宋体" w:hAnsi="宋体" w:eastAsia="宋体" w:cs="宋体"/>
          <w:sz w:val="28"/>
          <w:szCs w:val="28"/>
          <w:lang w:val="en-US" w:eastAsia="zh-CN"/>
        </w:rPr>
        <w:t>手动拖车、外来运输汽车</w:t>
      </w:r>
      <w:r>
        <w:rPr>
          <w:rFonts w:hint="eastAsia" w:ascii="宋体" w:hAnsi="宋体" w:eastAsia="宋体" w:cs="宋体"/>
          <w:sz w:val="28"/>
          <w:szCs w:val="28"/>
        </w:rPr>
        <w:t>等。主要存在的危险</w:t>
      </w:r>
      <w:r>
        <w:rPr>
          <w:rFonts w:hint="eastAsia" w:ascii="宋体" w:hAnsi="宋体" w:eastAsia="宋体" w:cs="宋体"/>
          <w:sz w:val="28"/>
          <w:szCs w:val="28"/>
          <w:lang w:eastAsia="zh-CN"/>
        </w:rPr>
        <w:t>、</w:t>
      </w:r>
      <w:r>
        <w:rPr>
          <w:rFonts w:hint="eastAsia" w:ascii="宋体" w:hAnsi="宋体" w:eastAsia="宋体" w:cs="宋体"/>
          <w:sz w:val="28"/>
          <w:szCs w:val="28"/>
        </w:rPr>
        <w:t>有害因素分析如下：</w:t>
      </w:r>
    </w:p>
    <w:p w14:paraId="678482A3">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在</w:t>
      </w:r>
      <w:r>
        <w:rPr>
          <w:rFonts w:hint="eastAsia" w:ascii="宋体" w:hAnsi="宋体" w:eastAsia="宋体" w:cs="宋体"/>
          <w:sz w:val="28"/>
          <w:szCs w:val="28"/>
          <w:lang w:val="en-US" w:eastAsia="zh-CN"/>
        </w:rPr>
        <w:t>行车及</w:t>
      </w:r>
      <w:r>
        <w:rPr>
          <w:rFonts w:hint="eastAsia" w:ascii="宋体" w:hAnsi="宋体" w:eastAsia="宋体" w:cs="宋体"/>
          <w:sz w:val="28"/>
          <w:szCs w:val="28"/>
          <w:lang w:val="en-US" w:eastAsia="zh-CN"/>
        </w:rPr>
        <w:t>外来运输汽车运输、装卸原</w:t>
      </w:r>
      <w:r>
        <w:rPr>
          <w:rFonts w:hint="eastAsia" w:ascii="宋体" w:hAnsi="宋体" w:eastAsia="宋体" w:cs="宋体"/>
          <w:sz w:val="28"/>
          <w:szCs w:val="28"/>
          <w:lang w:val="en-US" w:eastAsia="zh-CN"/>
        </w:rPr>
        <w:t>材料</w:t>
      </w:r>
      <w:r>
        <w:rPr>
          <w:rFonts w:hint="eastAsia" w:ascii="宋体" w:hAnsi="宋体" w:eastAsia="宋体" w:cs="宋体"/>
          <w:sz w:val="28"/>
          <w:szCs w:val="28"/>
          <w:lang w:val="en-US" w:eastAsia="zh-CN"/>
        </w:rPr>
        <w:t>和产品的过程中，可能存在</w:t>
      </w:r>
      <w:r>
        <w:rPr>
          <w:rFonts w:hint="eastAsia" w:ascii="宋体" w:hAnsi="宋体" w:eastAsia="宋体" w:cs="宋体"/>
          <w:sz w:val="28"/>
          <w:szCs w:val="28"/>
          <w:lang w:val="en-US" w:eastAsia="zh-CN"/>
        </w:rPr>
        <w:t>起重伤害、高处坠落、</w:t>
      </w:r>
      <w:r>
        <w:rPr>
          <w:rFonts w:hint="eastAsia" w:ascii="宋体" w:hAnsi="宋体" w:eastAsia="宋体" w:cs="宋体"/>
          <w:sz w:val="28"/>
          <w:szCs w:val="28"/>
          <w:lang w:val="en-US" w:eastAsia="zh-CN"/>
        </w:rPr>
        <w:t>车辆伤害、物体打击、坍塌等伤害。</w:t>
      </w:r>
    </w:p>
    <w:p w14:paraId="46594014">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384" w:name="_Toc24874"/>
      <w:bookmarkStart w:id="385" w:name="_Toc27787"/>
      <w:r>
        <w:rPr>
          <w:rFonts w:hint="eastAsia" w:ascii="宋体" w:hAnsi="宋体" w:eastAsia="宋体" w:cs="宋体"/>
          <w:color w:val="000000" w:themeColor="text1"/>
          <w14:textFill>
            <w14:solidFill>
              <w14:schemeClr w14:val="tx1"/>
            </w14:solidFill>
          </w14:textFill>
        </w:rPr>
        <w:t>3.6主要危险、有害因素类别分析</w:t>
      </w:r>
      <w:bookmarkEnd w:id="384"/>
      <w:bookmarkEnd w:id="385"/>
    </w:p>
    <w:p w14:paraId="3CCD70A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rPr>
      </w:pPr>
      <w:r>
        <w:rPr>
          <w:rFonts w:hint="eastAsia" w:ascii="宋体" w:hAnsi="宋体" w:eastAsia="宋体" w:cs="宋体"/>
          <w:sz w:val="28"/>
          <w:szCs w:val="28"/>
        </w:rPr>
        <w:t>根据对</w:t>
      </w:r>
      <w:r>
        <w:rPr>
          <w:rFonts w:hint="eastAsia" w:ascii="宋体" w:hAnsi="宋体" w:eastAsia="宋体" w:cs="宋体"/>
          <w:sz w:val="28"/>
          <w:szCs w:val="28"/>
          <w:lang w:val="en-US" w:eastAsia="zh-CN"/>
        </w:rPr>
        <w:t>玉溪市明哲数控科技有限公司</w:t>
      </w:r>
      <w:r>
        <w:rPr>
          <w:rFonts w:hint="eastAsia" w:ascii="宋体" w:hAnsi="宋体" w:eastAsia="宋体" w:cs="宋体"/>
          <w:sz w:val="28"/>
          <w:szCs w:val="28"/>
        </w:rPr>
        <w:t>原辅材料及产品的特性、有关资料的分析，参照《</w:t>
      </w:r>
      <w:r>
        <w:rPr>
          <w:rFonts w:hint="eastAsia" w:ascii="宋体" w:hAnsi="宋体" w:eastAsia="宋体" w:cs="宋体"/>
          <w:sz w:val="28"/>
          <w:szCs w:val="28"/>
          <w:lang w:eastAsia="zh-CN"/>
        </w:rPr>
        <w:t>生产过程危险和有害因素分类与代码</w:t>
      </w:r>
      <w:r>
        <w:rPr>
          <w:rFonts w:hint="eastAsia" w:ascii="宋体" w:hAnsi="宋体" w:eastAsia="宋体" w:cs="宋体"/>
          <w:sz w:val="28"/>
          <w:szCs w:val="28"/>
        </w:rPr>
        <w:t>》（GB/T13</w:t>
      </w:r>
      <w:r>
        <w:rPr>
          <w:rFonts w:hint="eastAsia" w:ascii="宋体" w:hAnsi="宋体" w:eastAsia="宋体" w:cs="宋体"/>
          <w:sz w:val="28"/>
          <w:szCs w:val="28"/>
          <w:lang w:val="en-US" w:eastAsia="zh-CN"/>
        </w:rPr>
        <w:t>861</w:t>
      </w:r>
      <w:r>
        <w:rPr>
          <w:rFonts w:hint="eastAsia" w:ascii="宋体" w:hAnsi="宋体" w:eastAsia="宋体" w:cs="宋体"/>
          <w:sz w:val="28"/>
          <w:szCs w:val="28"/>
        </w:rPr>
        <w:t>-20</w:t>
      </w:r>
      <w:r>
        <w:rPr>
          <w:rFonts w:hint="eastAsia" w:ascii="宋体" w:hAnsi="宋体" w:eastAsia="宋体" w:cs="宋体"/>
          <w:sz w:val="28"/>
          <w:szCs w:val="28"/>
          <w:lang w:val="en-US" w:eastAsia="zh-CN"/>
        </w:rPr>
        <w:t>22</w:t>
      </w:r>
      <w:r>
        <w:rPr>
          <w:rFonts w:hint="eastAsia" w:ascii="宋体" w:hAnsi="宋体" w:eastAsia="宋体" w:cs="宋体"/>
          <w:sz w:val="28"/>
          <w:szCs w:val="28"/>
        </w:rPr>
        <w:t>）、《企业</w:t>
      </w:r>
      <w:r>
        <w:rPr>
          <w:rFonts w:hint="eastAsia" w:ascii="宋体" w:hAnsi="宋体" w:eastAsia="宋体" w:cs="宋体"/>
          <w:sz w:val="28"/>
          <w:szCs w:val="28"/>
          <w:lang w:val="en-US" w:eastAsia="zh-CN"/>
        </w:rPr>
        <w:t>职工</w:t>
      </w:r>
      <w:r>
        <w:rPr>
          <w:rFonts w:hint="eastAsia" w:ascii="宋体" w:hAnsi="宋体" w:eastAsia="宋体" w:cs="宋体"/>
          <w:sz w:val="28"/>
          <w:szCs w:val="28"/>
        </w:rPr>
        <w:t>伤亡事故分类》（GB6441-86）中对事故类别的划分方法，以及项目的生产工艺特点，按照生产工序中设施、装置的特点，结合生产作业区域操作人员巡检及其生产活动范围，对</w:t>
      </w:r>
      <w:r>
        <w:rPr>
          <w:rFonts w:hint="eastAsia" w:ascii="宋体" w:hAnsi="宋体" w:eastAsia="宋体" w:cs="宋体"/>
          <w:sz w:val="28"/>
          <w:szCs w:val="28"/>
          <w:lang w:eastAsia="zh-CN"/>
        </w:rPr>
        <w:t>该</w:t>
      </w:r>
      <w:r>
        <w:rPr>
          <w:rFonts w:hint="eastAsia" w:ascii="宋体" w:hAnsi="宋体" w:eastAsia="宋体" w:cs="宋体"/>
          <w:sz w:val="28"/>
          <w:szCs w:val="28"/>
        </w:rPr>
        <w:t>项目生产工艺系统可能存在的危险、有害因素进行分析。</w:t>
      </w:r>
    </w:p>
    <w:p w14:paraId="35FB60B2">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386" w:name="_Toc8961"/>
      <w:bookmarkStart w:id="387" w:name="_Toc10424"/>
      <w:bookmarkStart w:id="388" w:name="_Toc8610"/>
      <w:bookmarkStart w:id="389" w:name="_Toc400308681"/>
      <w:r>
        <w:rPr>
          <w:rFonts w:hint="eastAsia" w:ascii="宋体" w:hAnsi="宋体" w:eastAsia="宋体" w:cs="宋体"/>
          <w:color w:val="000000" w:themeColor="text1"/>
          <w:lang w:val="en-US" w:eastAsia="zh-CN"/>
          <w14:textFill>
            <w14:solidFill>
              <w14:schemeClr w14:val="tx1"/>
            </w14:solidFill>
          </w14:textFill>
        </w:rPr>
        <w:t>3.6.1火灾危险性分析</w:t>
      </w:r>
      <w:bookmarkEnd w:id="386"/>
      <w:bookmarkEnd w:id="387"/>
      <w:bookmarkEnd w:id="388"/>
    </w:p>
    <w:p w14:paraId="14ACC26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公司</w:t>
      </w:r>
      <w:r>
        <w:rPr>
          <w:rFonts w:hint="eastAsia" w:ascii="宋体" w:hAnsi="宋体" w:eastAsia="宋体" w:cs="宋体"/>
          <w:sz w:val="28"/>
          <w:szCs w:val="28"/>
          <w:lang w:val="en-US" w:eastAsia="zh-CN"/>
        </w:rPr>
        <w:t>成品</w:t>
      </w:r>
      <w:r>
        <w:rPr>
          <w:rFonts w:hint="eastAsia" w:ascii="宋体" w:hAnsi="宋体" w:eastAsia="宋体" w:cs="宋体"/>
          <w:sz w:val="28"/>
          <w:szCs w:val="28"/>
        </w:rPr>
        <w:t>包装</w:t>
      </w:r>
      <w:r>
        <w:rPr>
          <w:rFonts w:hint="eastAsia" w:ascii="宋体" w:hAnsi="宋体" w:eastAsia="宋体" w:cs="宋体"/>
          <w:sz w:val="28"/>
          <w:szCs w:val="28"/>
          <w:lang w:val="en-US" w:eastAsia="zh-CN"/>
        </w:rPr>
        <w:t>木</w:t>
      </w:r>
      <w:r>
        <w:rPr>
          <w:rFonts w:hint="eastAsia" w:ascii="宋体" w:hAnsi="宋体" w:eastAsia="宋体" w:cs="宋体"/>
          <w:sz w:val="28"/>
          <w:szCs w:val="28"/>
          <w:lang w:val="en-US" w:eastAsia="zh-CN"/>
        </w:rPr>
        <w:t>箱</w:t>
      </w:r>
      <w:r>
        <w:rPr>
          <w:rFonts w:hint="eastAsia" w:ascii="宋体" w:hAnsi="宋体" w:eastAsia="宋体" w:cs="宋体"/>
          <w:sz w:val="28"/>
          <w:szCs w:val="28"/>
        </w:rPr>
        <w:t>为可燃物，若不严格执行消防安全管理制度，加强火源管理，严格动火作业，包装材料遇火源会发生燃烧。</w:t>
      </w:r>
    </w:p>
    <w:p w14:paraId="28AB36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生产过程中还可能发生电气火灾，电气设备或电气线路发生短路、接触不良、严重过载、散热失效、接地及漏电、机械故障、电压波动太大的情况下可能使温度升高，发生电气火灾，另外，正常工作或正常操作过程中以及事故状态下产生的电火花可能使可燃物发生燃烧</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引起火灾</w:t>
      </w:r>
      <w:r>
        <w:rPr>
          <w:rFonts w:hint="eastAsia" w:ascii="宋体" w:hAnsi="宋体" w:eastAsia="宋体" w:cs="宋体"/>
          <w:sz w:val="28"/>
          <w:szCs w:val="28"/>
        </w:rPr>
        <w:t>。</w:t>
      </w:r>
    </w:p>
    <w:p w14:paraId="7B8EF97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电气火灾</w:t>
      </w:r>
    </w:p>
    <w:p w14:paraId="5D437F52">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一般电气火灾大多数皆因电气线路发生火灾造成，下面主要对造成电气线路发生短路的主要原因进行分析：</w:t>
      </w:r>
    </w:p>
    <w:p w14:paraId="10E6C61F">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电气线路中的导线由于各种原因造成相线与相线，相线与零线(地线)的连接，在回路中引起电流的瞬间骤然增大的现象叫短路。</w:t>
      </w:r>
    </w:p>
    <w:p w14:paraId="050164E7">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短路时由于电阻突然减小则电流将突然增大。因此，线路短路时在极短的时间内会发出很大的热量，这个热量不仅能使绝缘层燃烧而且能使金属熔化，引起邻近的易燃、可燃物质燃烧，从而造成火灾。</w:t>
      </w:r>
    </w:p>
    <w:p w14:paraId="6435F720">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发生短路的主要原因有：</w:t>
      </w:r>
    </w:p>
    <w:p w14:paraId="61FA7043">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（1）使用绝缘电线、电缆时，没有按具体环境选用，使绝缘受高温、潮湿或腐蚀等作用，失去了绝缘能力；</w:t>
      </w:r>
    </w:p>
    <w:p w14:paraId="40126A7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（2）线路年久失修，绝缘层陈旧老化或受损，使线芯裸露；</w:t>
      </w:r>
    </w:p>
    <w:p w14:paraId="0F52F76C">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（3）电源过电压，使电线绝缘被击穿；</w:t>
      </w:r>
    </w:p>
    <w:p w14:paraId="32744D9C">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（4）安装、修理人员接错线路，或带电作业时造成人为碰线短路；</w:t>
      </w:r>
    </w:p>
    <w:p w14:paraId="1DC37BD5">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（5）裸电线安装位置不当，导电物体碰在电线上；线路上有金属物件或小动物跌落，发生电线之间的跨接；</w:t>
      </w:r>
    </w:p>
    <w:p w14:paraId="05EE0FA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（6）架空线路电线间距太小，档距过大，电线松弛，有可能发生两线相碰；架空电线与建筑物、树木距离太近，使电线与建筑物或树木接触；</w:t>
      </w:r>
    </w:p>
    <w:p w14:paraId="5B03348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（7）电线机械强度不够，导致电线断落接触大地，或断落在另一根电线上；</w:t>
      </w:r>
    </w:p>
    <w:p w14:paraId="79585457">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（8）临时用电管理不善，维护不当造成过载、短路；</w:t>
      </w:r>
    </w:p>
    <w:p w14:paraId="2E1E7AED">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（9）高压架空线路的绝缘子耐压程度过低，引起线路的对地短路。</w:t>
      </w:r>
    </w:p>
    <w:p w14:paraId="714F006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2.公司原材料、产成品运输车辆</w:t>
      </w:r>
      <w:r>
        <w:rPr>
          <w:rFonts w:hint="eastAsia" w:ascii="宋体" w:hAnsi="宋体" w:eastAsia="宋体" w:cs="宋体"/>
          <w:color w:val="000000" w:themeColor="text1"/>
          <w:spacing w:val="8"/>
          <w:sz w:val="28"/>
          <w:szCs w:val="28"/>
          <w14:textFill>
            <w14:solidFill>
              <w14:schemeClr w14:val="tx1"/>
            </w14:solidFill>
          </w14:textFill>
        </w:rPr>
        <w:t>使用的柴油，若发生泄露，遇到点火源，也可能发生火灾事故。</w:t>
      </w:r>
    </w:p>
    <w:p w14:paraId="3C26CA77">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390" w:name="_Toc17724"/>
      <w:bookmarkStart w:id="391" w:name="_Toc21829"/>
      <w:r>
        <w:rPr>
          <w:rFonts w:hint="eastAsia" w:ascii="宋体" w:hAnsi="宋体" w:eastAsia="宋体" w:cs="宋体"/>
          <w:color w:val="000000" w:themeColor="text1"/>
          <w:lang w:val="en-US" w:eastAsia="zh-CN"/>
          <w14:textFill>
            <w14:solidFill>
              <w14:schemeClr w14:val="tx1"/>
            </w14:solidFill>
          </w14:textFill>
        </w:rPr>
        <w:t>3.6.2容器爆炸危险性分析</w:t>
      </w:r>
      <w:bookmarkEnd w:id="390"/>
      <w:bookmarkEnd w:id="391"/>
    </w:p>
    <w:p w14:paraId="7561EDED">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该项目可能发生容器爆炸的设备有空压机、储气罐，引发事故的原因主要有：</w:t>
      </w:r>
    </w:p>
    <w:p w14:paraId="475B97C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设计缺陷，如压力容器、设备材质不合理、耐压强度不足，抗震设防不足、安全附件不齐全或安全阀泄放能力不足等；</w:t>
      </w:r>
    </w:p>
    <w:p w14:paraId="631C288F">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制造缺陷，如制造单位不具备相应资质或质量不合格，特别是焊接质量差；</w:t>
      </w:r>
    </w:p>
    <w:p w14:paraId="2FB7B93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施工、安装缺陷，如施工、安装单位不具备相应资质，未严格按设计要求施工，施工质量差，未进行耐压试验等；</w:t>
      </w:r>
    </w:p>
    <w:p w14:paraId="30C5EC42">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压力容器、设备长期使用后未按规定检修期进行检修、质量检测，或检修质量差造成强度下降；</w:t>
      </w:r>
    </w:p>
    <w:p w14:paraId="0973C191">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超过年限使用压力容器、设备；</w:t>
      </w:r>
    </w:p>
    <w:p w14:paraId="1AC0FC3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未定时排水，导致储罐超压，引起超压爆炸；</w:t>
      </w:r>
    </w:p>
    <w:p w14:paraId="054475B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7</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压力容器、设备因腐蚀而使壁厚减薄，继续运行而强度不足；</w:t>
      </w:r>
    </w:p>
    <w:p w14:paraId="04FADD90">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8</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设备上安装的安全附件不全或失效，引起爆炸事故；</w:t>
      </w:r>
    </w:p>
    <w:p w14:paraId="1D7017F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9</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周围建筑、设备、设施起火或自身附件起火，使压力容器设备储罐受热，导致储罐发生物理爆炸。</w:t>
      </w:r>
    </w:p>
    <w:p w14:paraId="0CA84AFD">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392" w:name="_Toc9776"/>
      <w:bookmarkStart w:id="393" w:name="_Toc18104"/>
      <w:bookmarkStart w:id="394" w:name="_Toc10262"/>
      <w:r>
        <w:rPr>
          <w:rFonts w:hint="eastAsia" w:ascii="宋体" w:hAnsi="宋体" w:eastAsia="宋体" w:cs="宋体"/>
          <w:color w:val="000000" w:themeColor="text1"/>
          <w:lang w:val="en-US" w:eastAsia="zh-CN"/>
          <w14:textFill>
            <w14:solidFill>
              <w14:schemeClr w14:val="tx1"/>
            </w14:solidFill>
          </w14:textFill>
        </w:rPr>
        <w:t>3.6.3机械伤害危险性分析</w:t>
      </w:r>
      <w:bookmarkEnd w:id="392"/>
      <w:bookmarkEnd w:id="393"/>
      <w:bookmarkEnd w:id="394"/>
    </w:p>
    <w:p w14:paraId="621CA41A">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机械伤害指机械设备运动（静止）部件、工具直接与人体接触引起的夹击、碰撞、剪切、卷入、绞、碾、割、刺等伤害。当作业人员身体部位或衣物角或头发被卷入机械中，如无紧急停车装置或设备高速运转，人体很可能迅速被卷入设备，造成人员伤亡。</w:t>
      </w:r>
    </w:p>
    <w:p w14:paraId="03B52F42">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该项目在正常生产过程中，使用的机械设备</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如果传动部位没有可靠的安全防护装置，或设备有缺陷，违章作业等，易发生作业人员被切、绞、轧、挤、压、撞击等事故。在事故及检修等特殊情况下，也存在机械伤害的可能性。可能因为机械设备零、部件做旋转运动、直线运动等造成机械伤害，可能发生机械伤害的原因分析如下：</w:t>
      </w:r>
    </w:p>
    <w:p w14:paraId="40D9F17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无防护：如无防护罩、安全保护装置、报警装置、安全警示标志、护栏等安全防护措施或防护措施失；</w:t>
      </w:r>
    </w:p>
    <w:p w14:paraId="1447023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防护不当：如防护罩未在适当位置，防护装置调整不当，安全距离不够等；</w:t>
      </w:r>
    </w:p>
    <w:p w14:paraId="6C4197E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机械设备设施存在缺陷：如设计不合理，结构不符合安全要求，制动装置有缺陷，安全间距不够，设备上有锋利倒棱等；</w:t>
      </w:r>
    </w:p>
    <w:p w14:paraId="2DF937A4">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人员违章作业或操作失误造成机械伤害；</w:t>
      </w:r>
    </w:p>
    <w:p w14:paraId="29600D2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人员不按规定穿戴劳动保护用品；</w:t>
      </w:r>
    </w:p>
    <w:p w14:paraId="64FFC59C">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机械强度不够：如联轴器连接螺栓强度不够等；</w:t>
      </w:r>
    </w:p>
    <w:p w14:paraId="76D9BE67">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7</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设备带“病”运转，超负荷运转等；</w:t>
      </w:r>
    </w:p>
    <w:p w14:paraId="5BC4D73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8</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在停车检修时，机器突然被误启动。</w:t>
      </w:r>
    </w:p>
    <w:p w14:paraId="5EF1D95A">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395" w:name="_Toc1676"/>
      <w:bookmarkStart w:id="396" w:name="_Toc27502"/>
      <w:bookmarkStart w:id="397" w:name="_Toc24951"/>
      <w:r>
        <w:rPr>
          <w:rFonts w:hint="eastAsia" w:ascii="宋体" w:hAnsi="宋体" w:eastAsia="宋体" w:cs="宋体"/>
          <w:color w:val="000000" w:themeColor="text1"/>
          <w:lang w:val="en-US" w:eastAsia="zh-CN"/>
          <w14:textFill>
            <w14:solidFill>
              <w14:schemeClr w14:val="tx1"/>
            </w14:solidFill>
          </w14:textFill>
        </w:rPr>
        <w:t>3.6.4高处坠落危险性分析</w:t>
      </w:r>
      <w:bookmarkEnd w:id="395"/>
      <w:bookmarkEnd w:id="396"/>
      <w:bookmarkEnd w:id="397"/>
    </w:p>
    <w:p w14:paraId="757A81C3">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bookmarkStart w:id="398" w:name="_Toc45677439"/>
      <w:bookmarkStart w:id="399" w:name="_Toc45700536"/>
      <w:bookmarkStart w:id="400" w:name="_Toc45703696"/>
      <w:bookmarkStart w:id="401" w:name="_Toc45511300"/>
      <w:bookmarkStart w:id="402" w:name="_Toc45510934"/>
      <w:bookmarkStart w:id="403" w:name="_Toc120607114"/>
      <w:bookmarkStart w:id="404" w:name="_Toc60128294"/>
      <w:r>
        <w:rPr>
          <w:rFonts w:hint="eastAsia" w:ascii="宋体" w:hAnsi="宋体" w:eastAsia="宋体" w:cs="宋体"/>
          <w:color w:val="000000" w:themeColor="text1"/>
          <w:spacing w:val="8"/>
          <w:sz w:val="28"/>
          <w:szCs w:val="28"/>
          <w14:textFill>
            <w14:solidFill>
              <w14:schemeClr w14:val="tx1"/>
            </w14:solidFill>
          </w14:textFill>
        </w:rPr>
        <w:t>在本项目中，凡在距离基准面垂直距离为2m以上的作业平台、巡视通道、楼梯等，在检修及巡视这些设备设施过程中，可能因下述原因，造成高处坠落。造成高处坠落事故的主要因素为：</w:t>
      </w:r>
    </w:p>
    <w:p w14:paraId="28D30465">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高处平台等处无安全防护栏等防护设施，或安全防护设施安装高度、承载力等不符合要求；</w:t>
      </w:r>
    </w:p>
    <w:p w14:paraId="0383F3D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高处作业时没有按要求佩戴安全带（绳）、安全帽或采取其他有效的安全保护措施；</w:t>
      </w:r>
    </w:p>
    <w:p w14:paraId="4802670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高处作业立足处不是平面或只有很小的平面，致使作业者无法维持正常姿势；</w:t>
      </w:r>
    </w:p>
    <w:p w14:paraId="4C2E8C8E">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作业人员在高处进行作业时违章作业；</w:t>
      </w:r>
    </w:p>
    <w:p w14:paraId="1005D3F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作业人员疏忽大意，疲劳过度或酒后作业；</w:t>
      </w:r>
    </w:p>
    <w:p w14:paraId="226C0610">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在进行高处作业时，安全管理不到位；</w:t>
      </w:r>
    </w:p>
    <w:p w14:paraId="438CF1AE">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7</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在雷暴雨、浓雾、六级以上大风等恶劣天气进行室外高处作业。</w:t>
      </w:r>
    </w:p>
    <w:p w14:paraId="2DD8F996">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405" w:name="_Toc7357"/>
      <w:bookmarkStart w:id="406" w:name="_Toc22751"/>
      <w:bookmarkStart w:id="407" w:name="_Toc6721"/>
      <w:r>
        <w:rPr>
          <w:rFonts w:hint="eastAsia" w:ascii="宋体" w:hAnsi="宋体" w:eastAsia="宋体" w:cs="宋体"/>
          <w:color w:val="000000" w:themeColor="text1"/>
          <w:lang w:val="en-US" w:eastAsia="zh-CN"/>
          <w14:textFill>
            <w14:solidFill>
              <w14:schemeClr w14:val="tx1"/>
            </w14:solidFill>
          </w14:textFill>
        </w:rPr>
        <w:t>3.6.5触电事故危险性素分析</w:t>
      </w:r>
      <w:bookmarkEnd w:id="405"/>
      <w:bookmarkEnd w:id="406"/>
      <w:bookmarkEnd w:id="407"/>
    </w:p>
    <w:p w14:paraId="6EE0CF41">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触电事故是指人体直接、间接和跨步电压触电（电击、电伤）所造成的伤害。该项目设置</w:t>
      </w:r>
      <w:r>
        <w:rPr>
          <w:rFonts w:hint="eastAsia" w:ascii="宋体" w:hAnsi="宋体" w:eastAsia="宋体" w:cs="宋体"/>
          <w:color w:val="000000" w:themeColor="text1"/>
          <w:spacing w:val="8"/>
          <w:sz w:val="28"/>
          <w:szCs w:val="28"/>
          <w:lang w:val="en-US" w:eastAsia="zh-CN"/>
          <w14:textFill>
            <w14:solidFill>
              <w14:schemeClr w14:val="tx1"/>
            </w14:solidFill>
          </w14:textFill>
        </w:rPr>
        <w:t>了</w:t>
      </w:r>
      <w:r>
        <w:rPr>
          <w:rFonts w:hint="eastAsia" w:ascii="宋体" w:hAnsi="宋体" w:eastAsia="宋体" w:cs="宋体"/>
          <w:color w:val="000000" w:themeColor="text1"/>
          <w:spacing w:val="8"/>
          <w:sz w:val="28"/>
          <w:szCs w:val="28"/>
          <w14:textFill>
            <w14:solidFill>
              <w14:schemeClr w14:val="tx1"/>
            </w14:solidFill>
          </w14:textFill>
        </w:rPr>
        <w:t>配电</w:t>
      </w:r>
      <w:r>
        <w:rPr>
          <w:rFonts w:hint="eastAsia" w:ascii="宋体" w:hAnsi="宋体" w:eastAsia="宋体" w:cs="宋体"/>
          <w:color w:val="000000" w:themeColor="text1"/>
          <w:spacing w:val="8"/>
          <w:sz w:val="28"/>
          <w:szCs w:val="28"/>
          <w:lang w:val="en-US" w:eastAsia="zh-CN"/>
          <w14:textFill>
            <w14:solidFill>
              <w14:schemeClr w14:val="tx1"/>
            </w14:solidFill>
          </w14:textFill>
        </w:rPr>
        <w:t>柜</w:t>
      </w:r>
      <w:r>
        <w:rPr>
          <w:rFonts w:hint="eastAsia" w:ascii="宋体" w:hAnsi="宋体" w:eastAsia="宋体" w:cs="宋体"/>
          <w:color w:val="000000" w:themeColor="text1"/>
          <w:spacing w:val="8"/>
          <w:sz w:val="28"/>
          <w:szCs w:val="28"/>
          <w14:textFill>
            <w14:solidFill>
              <w14:schemeClr w14:val="tx1"/>
            </w14:solidFill>
          </w14:textFill>
        </w:rPr>
        <w:t>、现场控制柜及各种电气设备（如变压器、电缆、开关、闸刀、插座）、用电设备，这些电器设备漏电易引发触电伤害事故，另外自动控制系统也可能引发触电事故。造成触电事故的主要因素：</w:t>
      </w:r>
    </w:p>
    <w:p w14:paraId="40E7C52F">
      <w:pPr>
        <w:numPr>
          <w:ilvl w:val="0"/>
          <w:numId w:val="12"/>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未办理操作票或不执行监护制度，不使用或使用不合格的绝缘工具和电器工具；</w:t>
      </w:r>
    </w:p>
    <w:p w14:paraId="454DD11A">
      <w:pPr>
        <w:numPr>
          <w:ilvl w:val="0"/>
          <w:numId w:val="12"/>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所有电器设备没有接零或接地保护；</w:t>
      </w:r>
    </w:p>
    <w:p w14:paraId="0002A744">
      <w:pPr>
        <w:numPr>
          <w:ilvl w:val="0"/>
          <w:numId w:val="12"/>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线路或电气设备工作完毕，未办理工作终结手续就对停电设备恢复送电；</w:t>
      </w:r>
    </w:p>
    <w:p w14:paraId="5687B253">
      <w:pPr>
        <w:numPr>
          <w:ilvl w:val="0"/>
          <w:numId w:val="12"/>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在带电设备附近作业，不符合安全间距或无监护措施；</w:t>
      </w:r>
    </w:p>
    <w:p w14:paraId="0B0145EA">
      <w:pPr>
        <w:numPr>
          <w:ilvl w:val="0"/>
          <w:numId w:val="12"/>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配电箱不符合安全要求；</w:t>
      </w:r>
    </w:p>
    <w:p w14:paraId="79E5D60F">
      <w:pPr>
        <w:numPr>
          <w:ilvl w:val="0"/>
          <w:numId w:val="12"/>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倒闸操作不核对设备名称、编号、位置状态；</w:t>
      </w:r>
    </w:p>
    <w:p w14:paraId="01F22009">
      <w:pPr>
        <w:numPr>
          <w:ilvl w:val="0"/>
          <w:numId w:val="12"/>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跨越安全围栏或超越安全警戒线；工作人员误碰带电设备；以及在带电设备附近使用钢卷尺等测量工具或携带金属超高物体在带电设备下行走；</w:t>
      </w:r>
    </w:p>
    <w:p w14:paraId="491EA77A">
      <w:pPr>
        <w:numPr>
          <w:ilvl w:val="0"/>
          <w:numId w:val="12"/>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私拉、乱拉电线；</w:t>
      </w:r>
    </w:p>
    <w:p w14:paraId="3C97EBF6">
      <w:pPr>
        <w:numPr>
          <w:ilvl w:val="0"/>
          <w:numId w:val="12"/>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用电保护系统失灵；</w:t>
      </w:r>
    </w:p>
    <w:p w14:paraId="1D01DA6D">
      <w:pPr>
        <w:numPr>
          <w:ilvl w:val="0"/>
          <w:numId w:val="12"/>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设备线路短路，机壳带电；</w:t>
      </w:r>
    </w:p>
    <w:p w14:paraId="6EA8A5A8">
      <w:pPr>
        <w:numPr>
          <w:ilvl w:val="0"/>
          <w:numId w:val="12"/>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在电缆沟、夹层或金属容器内工作不使用安全电压行灯照明；</w:t>
      </w:r>
    </w:p>
    <w:p w14:paraId="540EADC7">
      <w:pPr>
        <w:numPr>
          <w:ilvl w:val="0"/>
          <w:numId w:val="12"/>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在潮湿地区、金属容器内工作不穿绝缘鞋，无绝缘垫、无监护人等。</w:t>
      </w:r>
    </w:p>
    <w:p w14:paraId="4765AF05">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408" w:name="_Toc6569"/>
      <w:bookmarkStart w:id="409" w:name="_Toc20134"/>
      <w:bookmarkStart w:id="410" w:name="_Toc19953"/>
      <w:r>
        <w:rPr>
          <w:rFonts w:hint="eastAsia" w:ascii="宋体" w:hAnsi="宋体" w:eastAsia="宋体" w:cs="宋体"/>
          <w:color w:val="000000" w:themeColor="text1"/>
          <w:lang w:val="en-US" w:eastAsia="zh-CN"/>
          <w14:textFill>
            <w14:solidFill>
              <w14:schemeClr w14:val="tx1"/>
            </w14:solidFill>
          </w14:textFill>
        </w:rPr>
        <w:t>3.6.6物体打击危险性分析</w:t>
      </w:r>
      <w:bookmarkEnd w:id="408"/>
      <w:bookmarkEnd w:id="409"/>
      <w:bookmarkEnd w:id="410"/>
    </w:p>
    <w:p w14:paraId="10D476BD">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物体打击，是指物体在重力或其他外力的作用下产生运动，打击人体造成人身伤亡事故。对其导致物体打击的主要原因分析如下：</w:t>
      </w:r>
    </w:p>
    <w:p w14:paraId="3D6C72B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若高处的防护栏、安全盖板等安全设施缺失，在生产过程中、对设备进行维护和检修过程中，在高处的工具和材料从高处跌落，或人为向下抛掷物件，均易造成对人员的物体打击伤害。</w:t>
      </w:r>
    </w:p>
    <w:p w14:paraId="7D083012">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物料、物件摆放不稳，倾覆，也会对人体造成物体打击，造成人员伤亡事故。</w:t>
      </w:r>
    </w:p>
    <w:p w14:paraId="195E1424">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如果在高空平台、通道上堆物或者高空装置零件破损，可能会造成物料或装置部件坠落。</w:t>
      </w:r>
    </w:p>
    <w:p w14:paraId="0F52CF8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高空抛物，未划定警戒线，无人监护。</w:t>
      </w:r>
    </w:p>
    <w:p w14:paraId="3ADDB63E">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411" w:name="_Toc22305"/>
      <w:bookmarkStart w:id="412" w:name="_Toc12404"/>
      <w:bookmarkStart w:id="413" w:name="_Toc7275"/>
      <w:r>
        <w:rPr>
          <w:rFonts w:hint="eastAsia" w:ascii="宋体" w:hAnsi="宋体" w:eastAsia="宋体" w:cs="宋体"/>
          <w:color w:val="000000" w:themeColor="text1"/>
          <w:lang w:val="en-US" w:eastAsia="zh-CN"/>
          <w14:textFill>
            <w14:solidFill>
              <w14:schemeClr w14:val="tx1"/>
            </w14:solidFill>
          </w14:textFill>
        </w:rPr>
        <w:t>3.6.7车辆伤害危险性分析</w:t>
      </w:r>
      <w:bookmarkEnd w:id="411"/>
      <w:bookmarkEnd w:id="412"/>
      <w:bookmarkEnd w:id="413"/>
    </w:p>
    <w:p w14:paraId="3FCF77B1">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该项目中的原料及成品主要通过车辆运输</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运输量较大，运送产品的机动车辆、货物运输的车辆如没有严格的交通管理措施，可能发生造成车辆伤害。车辆伤害事故的原因是多方面的，但主要是涉及人（驾驶员、行人、装卸工）、车（机动车与非机动车）、道路环境这三个综合因素。对产生车辆伤害的主要原因分析如下：</w:t>
      </w:r>
    </w:p>
    <w:p w14:paraId="4FFAB092">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违章驾车</w:t>
      </w:r>
    </w:p>
    <w:p w14:paraId="30D846E7">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指事故的当事人，由于思想方面的原因而导致的错误操作行为，不按有关规定行驶，扰乱正常的企业内搬运秩序，致使事故发生。如酒后驾车，疲劳驾车，非驾驶员驾车，超速行驶，争道抢行，违章超车，违章装载等原因造成的车辆伤害事故。</w:t>
      </w:r>
    </w:p>
    <w:p w14:paraId="19351D8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疏忽大意</w:t>
      </w:r>
    </w:p>
    <w:p w14:paraId="42A0CD8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指当事人由于心理或生理方面的原因，没有及时、正确的观察和判断道路情况，而造成失误，如情绪急躁、精神分散、心理烦乱、身体不适等都可能造成注意力下降，反应迟钝，表现出嘹望观察不周，遇到情况采取措施不及时或不当；也有的只凭主观想象判断情况，或过高地估计自己的经验技术，过分自信，引起操作失误导致事故。</w:t>
      </w:r>
    </w:p>
    <w:p w14:paraId="19061075">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车况不良</w:t>
      </w:r>
    </w:p>
    <w:p w14:paraId="3453D9F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车辆的安全装置如转向、制动、喇叭、照明；后视镜和转向指示灯等不齐全有效；车辆维护修理不及时，带“病”行驶。</w:t>
      </w:r>
    </w:p>
    <w:p w14:paraId="35F9A201">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道路环境</w:t>
      </w:r>
    </w:p>
    <w:p w14:paraId="237C0131">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道路条件差、因建筑物或自然环境影响造成视线不良等。</w:t>
      </w:r>
    </w:p>
    <w:p w14:paraId="404604EF">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高位原料堆场斜坡、弯道等处未设置防滑措施和挡车装置，导致车辆倒退过界，发生翻车事故。</w:t>
      </w:r>
    </w:p>
    <w:p w14:paraId="67574487">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管理因素</w:t>
      </w:r>
    </w:p>
    <w:p w14:paraId="643ED4D0">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车辆安全行驶制度不落实，管理规章制度或操作规程不健全，非驾驶员驾车，车辆维修不及时，交通信号、标志、设施缺陷。</w:t>
      </w:r>
    </w:p>
    <w:bookmarkEnd w:id="389"/>
    <w:bookmarkEnd w:id="398"/>
    <w:bookmarkEnd w:id="399"/>
    <w:bookmarkEnd w:id="400"/>
    <w:bookmarkEnd w:id="401"/>
    <w:bookmarkEnd w:id="402"/>
    <w:bookmarkEnd w:id="403"/>
    <w:bookmarkEnd w:id="404"/>
    <w:p w14:paraId="7A5A902E">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414" w:name="_Toc31207"/>
      <w:bookmarkStart w:id="415" w:name="_Toc21061"/>
      <w:bookmarkStart w:id="416" w:name="_Toc10579"/>
      <w:r>
        <w:rPr>
          <w:rFonts w:hint="eastAsia" w:ascii="宋体" w:hAnsi="宋体" w:eastAsia="宋体" w:cs="宋体"/>
          <w:color w:val="000000" w:themeColor="text1"/>
          <w:lang w:val="en-US" w:eastAsia="zh-CN"/>
          <w14:textFill>
            <w14:solidFill>
              <w14:schemeClr w14:val="tx1"/>
            </w14:solidFill>
          </w14:textFill>
        </w:rPr>
        <w:t>3.6.8坍塌危险性分析</w:t>
      </w:r>
      <w:bookmarkEnd w:id="414"/>
      <w:bookmarkEnd w:id="415"/>
      <w:bookmarkEnd w:id="416"/>
    </w:p>
    <w:p w14:paraId="6C2D4355">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厂区工程地质不符合要求，会造成建成的建、构筑物坍塌；建、构筑物设计不合理，或施工质量不合格，可能造成建、构筑物坍塌。该项目车间、仓库、原料堆场等场所若堆放的原料或成品过高，堆放不整齐，未划分相应的定置管理区域，则在周围作业时会发生坍塌事故；另外若物料靠墙堆放可能会导致建筑物坍塌。若人员被物料掩埋，甚至可能发生人员伤亡事故。</w:t>
      </w:r>
    </w:p>
    <w:p w14:paraId="714439BB">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417" w:name="_Toc30161"/>
      <w:bookmarkStart w:id="418" w:name="_Toc15047"/>
      <w:r>
        <w:rPr>
          <w:rFonts w:hint="eastAsia" w:ascii="宋体" w:hAnsi="宋体" w:eastAsia="宋体" w:cs="宋体"/>
          <w:color w:val="000000" w:themeColor="text1"/>
          <w:lang w:val="en-US" w:eastAsia="zh-CN"/>
          <w14:textFill>
            <w14:solidFill>
              <w14:schemeClr w14:val="tx1"/>
            </w14:solidFill>
          </w14:textFill>
        </w:rPr>
        <w:t>3.6.9 起重伤害危险性分析</w:t>
      </w:r>
      <w:bookmarkEnd w:id="417"/>
      <w:bookmarkEnd w:id="418"/>
    </w:p>
    <w:p w14:paraId="372FB3E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起重伤害是指从事各种起重作业时发生的伤害事故。生产过程中所用到的叉车、</w:t>
      </w:r>
      <w:r>
        <w:rPr>
          <w:rFonts w:hint="eastAsia" w:ascii="宋体" w:hAnsi="宋体" w:eastAsia="宋体" w:cs="宋体"/>
          <w:color w:val="000000" w:themeColor="text1"/>
          <w:sz w:val="28"/>
          <w:szCs w:val="28"/>
          <w:lang w:val="en-US" w:eastAsia="zh-CN"/>
          <w14:textFill>
            <w14:solidFill>
              <w14:schemeClr w14:val="tx1"/>
            </w14:solidFill>
          </w14:textFill>
        </w:rPr>
        <w:t>起重机</w:t>
      </w:r>
      <w:r>
        <w:rPr>
          <w:rFonts w:hint="eastAsia" w:ascii="宋体" w:hAnsi="宋体" w:eastAsia="宋体" w:cs="宋体"/>
          <w:color w:val="000000" w:themeColor="text1"/>
          <w:sz w:val="28"/>
          <w:szCs w:val="28"/>
          <w:lang w:val="zh-CN" w:eastAsia="zh-CN"/>
          <w14:textFill>
            <w14:solidFill>
              <w14:schemeClr w14:val="tx1"/>
            </w14:solidFill>
          </w14:textFill>
        </w:rPr>
        <w:t>会因自身缺陷、操作不当、架设不牢、联系不当等原因，发生吊物坠落、撞击、挤压等伤及人身的事故。</w:t>
      </w:r>
    </w:p>
    <w:p w14:paraId="754DE37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本项目车间内设置有行车。</w:t>
      </w:r>
      <w:r>
        <w:rPr>
          <w:rFonts w:hint="eastAsia" w:ascii="宋体" w:hAnsi="宋体" w:eastAsia="宋体" w:cs="宋体"/>
          <w:color w:val="000000" w:themeColor="text1"/>
          <w:sz w:val="28"/>
          <w:szCs w:val="28"/>
          <w:lang w:val="zh-CN" w:eastAsia="zh-CN"/>
          <w14:textFill>
            <w14:solidFill>
              <w14:schemeClr w14:val="tx1"/>
            </w14:solidFill>
          </w14:textFill>
        </w:rPr>
        <w:t>发生起重伤害事故的原因主要有以下几点：</w:t>
      </w:r>
    </w:p>
    <w:p w14:paraId="4391D1F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lang w:val="zh-CN" w:eastAsia="zh-CN"/>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1.</w:t>
      </w:r>
      <w:r>
        <w:rPr>
          <w:rFonts w:hint="eastAsia" w:ascii="宋体" w:hAnsi="宋体" w:eastAsia="宋体" w:cs="宋体"/>
          <w:color w:val="000000" w:themeColor="text1"/>
          <w:spacing w:val="8"/>
          <w:sz w:val="28"/>
          <w:szCs w:val="28"/>
          <w:lang w:val="zh-CN" w:eastAsia="zh-CN"/>
          <w14:textFill>
            <w14:solidFill>
              <w14:schemeClr w14:val="tx1"/>
            </w14:solidFill>
          </w14:textFill>
        </w:rPr>
        <w:t>脱钩</w:t>
      </w:r>
    </w:p>
    <w:p w14:paraId="168E5C8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（1）起重工在吊运物体时，因现场无人指挥，吊物下降过快造成脱钩；</w:t>
      </w:r>
    </w:p>
    <w:p w14:paraId="6E803FC4">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lang w:val="en-US" w:eastAsia="zh-CN"/>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（2）吊运时起吊物体不稳，致使吊钩在空中悠荡，在悠荡过程中</w:t>
      </w:r>
      <w:r>
        <w:rPr>
          <w:rFonts w:hint="eastAsia" w:ascii="宋体" w:hAnsi="宋体" w:eastAsia="宋体" w:cs="宋体"/>
          <w:color w:val="000000" w:themeColor="text1"/>
          <w:spacing w:val="8"/>
          <w:sz w:val="28"/>
          <w:szCs w:val="28"/>
          <w:lang w:val="en-US" w:eastAsia="zh-CN"/>
          <w14:textFill>
            <w14:solidFill>
              <w14:schemeClr w14:val="tx1"/>
            </w14:solidFill>
          </w14:textFill>
        </w:rPr>
        <w:t>钩头由于离心惯性力甩出而引起脱钩；</w:t>
      </w:r>
    </w:p>
    <w:p w14:paraId="491B402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lang w:val="en-US" w:eastAsia="zh-CN"/>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（3）行车因操作不稳，紧急起动、制动可能引起钩头惯性飞出；</w:t>
      </w:r>
    </w:p>
    <w:p w14:paraId="5C525B23">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lang w:val="en-US" w:eastAsia="zh-CN"/>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（4）具有主、副钩头的行车吊运重物时，当另一不用钩头挂在吊索的小圈上时，因钩头粗不容易插牢在圈环内，在操作和振动、摆动时，由于离心惯性力的作用，而引起钩头脱出坠落伤人。</w:t>
      </w:r>
    </w:p>
    <w:p w14:paraId="3E42D46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lang w:val="zh-CN" w:eastAsia="zh-CN"/>
          <w14:textFill>
            <w14:solidFill>
              <w14:schemeClr w14:val="tx1"/>
            </w14:solidFill>
          </w14:textFill>
        </w:rPr>
        <w:t>钢丝绳折断</w:t>
      </w:r>
    </w:p>
    <w:p w14:paraId="38CDDC8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钢丝绳发生折断的原因很多，其主要和常见的原因是：操作前没有对钢丝绳进行安全技术检验或认真检查，对已断丝的钢丝绳没有按钢丝绳报废标准处理或降低负荷使用，吊运作业时严重超负荷等。</w:t>
      </w:r>
    </w:p>
    <w:p w14:paraId="36D064B3">
      <w:pPr>
        <w:numPr>
          <w:ilvl w:val="0"/>
          <w:numId w:val="0"/>
        </w:numPr>
        <w:snapToGrid w:val="0"/>
        <w:spacing w:line="500" w:lineRule="exact"/>
        <w:ind w:leftChars="200"/>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安全防护装置缺乏或失灵</w:t>
      </w:r>
    </w:p>
    <w:p w14:paraId="048CC16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起重机械的安全装置（制动器、缓冲器、行程限位器、起重量限制器、防护罩等）是各类起重机不可缺少的安全防护装置，当安全装置缺乏或失灵又未检修时，因操作不慎和超负荷等原因，将发生翻车、碰撞、钢丝绳折断等事故。起重机械上的齿轮和传动轴，没有设置安全罩或其它安全设施，会将人的衣服卷入。</w:t>
      </w:r>
    </w:p>
    <w:p w14:paraId="79F1348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lang w:val="zh-CN" w:eastAsia="zh-CN"/>
          <w14:textFill>
            <w14:solidFill>
              <w14:schemeClr w14:val="tx1"/>
            </w14:solidFill>
          </w14:textFill>
        </w:rPr>
        <w:t>吊物坠落</w:t>
      </w:r>
    </w:p>
    <w:p w14:paraId="4DE9346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起重机吊运物体时，由于其他原因，物体突然坠落，将地面的人员砸伤，造成严重人员伤亡事故，因为坠落的重物一般都是击中人的头部（立姿）或腰部（蹲姿）。</w:t>
      </w:r>
    </w:p>
    <w:p w14:paraId="4AE9EBD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lang w:val="zh-CN" w:eastAsia="zh-CN"/>
          <w14:textFill>
            <w14:solidFill>
              <w14:schemeClr w14:val="tx1"/>
            </w14:solidFill>
          </w14:textFill>
        </w:rPr>
        <w:t>碰撞致伤</w:t>
      </w:r>
    </w:p>
    <w:p w14:paraId="097A203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物体在吊运中，因碰撞或刹车等原因，使吊件在空中悠荡，吊件撞倒设备或积物而引起事故。</w:t>
      </w:r>
    </w:p>
    <w:p w14:paraId="38895F5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6.</w:t>
      </w:r>
      <w:r>
        <w:rPr>
          <w:rFonts w:hint="eastAsia" w:ascii="宋体" w:hAnsi="宋体" w:eastAsia="宋体" w:cs="宋体"/>
          <w:color w:val="000000" w:themeColor="text1"/>
          <w:sz w:val="28"/>
          <w:szCs w:val="28"/>
          <w:lang w:val="zh-CN" w:eastAsia="zh-CN"/>
          <w14:textFill>
            <w14:solidFill>
              <w14:schemeClr w14:val="tx1"/>
            </w14:solidFill>
          </w14:textFill>
        </w:rPr>
        <w:t>指挥信号不明或乱指挥</w:t>
      </w:r>
    </w:p>
    <w:p w14:paraId="566C680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现场起吊时，指挥者乱指挥或指挥信号不明，易使现场起重人员产生错误判断或错误操作，尤其当几台起重设备在同一场所操作时，因各自的指挥信号不同引起的错误操作往往会产生严重后果。</w:t>
      </w:r>
    </w:p>
    <w:p w14:paraId="0FEB3B4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工件紧固不牢</w:t>
      </w:r>
    </w:p>
    <w:p w14:paraId="41319A1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当起吊散装金属物体或工件时，若没有捆扎牢固，吊运或搬运过程中零星小件会脱落坠下，极易伤人</w:t>
      </w:r>
      <w:r>
        <w:rPr>
          <w:rFonts w:hint="eastAsia" w:ascii="宋体" w:hAnsi="宋体" w:eastAsia="宋体" w:cs="宋体"/>
          <w:sz w:val="28"/>
          <w:szCs w:val="28"/>
          <w:lang w:eastAsia="zh-CN"/>
        </w:rPr>
        <w:t>。</w:t>
      </w:r>
    </w:p>
    <w:p w14:paraId="2AFE047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8．光线阴暗看不清物体</w:t>
      </w:r>
    </w:p>
    <w:p w14:paraId="6DFDBC4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如起重现场粉尘大，能见度差，晚间光线太暗或眩目刺眼，看不清物体和周围障碍物，可能导致指挥或操作失误而造成起重伤害事故的发生。</w:t>
      </w:r>
    </w:p>
    <w:p w14:paraId="3A2C6CA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9．起重设备带病运转</w:t>
      </w:r>
    </w:p>
    <w:p w14:paraId="5550DE2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起重设备带病运转，未定期进行检测检验或检测检验不合格，使用这类起重设备作业时极易导致设备和人身事故的发生。</w:t>
      </w:r>
    </w:p>
    <w:p w14:paraId="1A67E48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10．开车前未发开车信号</w:t>
      </w:r>
    </w:p>
    <w:p w14:paraId="1EB5C3E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起重设备在开车前未预先发出开车信号，而导致起重伤害事故的发生。</w:t>
      </w:r>
    </w:p>
    <w:p w14:paraId="3E29B17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11．人为事故因素</w:t>
      </w:r>
    </w:p>
    <w:p w14:paraId="7D891D1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起重机械作业人员在操作时违规操作或作业人员未经专业技术培训取得相应的资证持证上岗，不具备操作的技能和安全知识，导致起重伤害事故的发生。</w:t>
      </w:r>
    </w:p>
    <w:p w14:paraId="0097B81F">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419" w:name="_Toc3634"/>
      <w:bookmarkStart w:id="420" w:name="_Toc14933"/>
      <w:bookmarkStart w:id="421" w:name="_Toc12571"/>
      <w:r>
        <w:rPr>
          <w:rFonts w:hint="eastAsia" w:ascii="宋体" w:hAnsi="宋体" w:eastAsia="宋体" w:cs="宋体"/>
          <w:color w:val="000000" w:themeColor="text1"/>
          <w:lang w:val="en-US" w:eastAsia="zh-CN"/>
          <w14:textFill>
            <w14:solidFill>
              <w14:schemeClr w14:val="tx1"/>
            </w14:solidFill>
          </w14:textFill>
        </w:rPr>
        <w:t>3.6.10静电、雷电危险性分析</w:t>
      </w:r>
      <w:bookmarkEnd w:id="419"/>
      <w:bookmarkEnd w:id="420"/>
    </w:p>
    <w:p w14:paraId="176BE98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静电危害</w:t>
      </w:r>
    </w:p>
    <w:p w14:paraId="107D338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生产过程中，在配电</w:t>
      </w:r>
      <w:r>
        <w:rPr>
          <w:rFonts w:hint="eastAsia" w:ascii="宋体" w:hAnsi="宋体" w:eastAsia="宋体" w:cs="宋体"/>
          <w:color w:val="000000" w:themeColor="text1"/>
          <w:spacing w:val="8"/>
          <w:sz w:val="28"/>
          <w:szCs w:val="28"/>
          <w:lang w:val="en-US" w:eastAsia="zh-CN"/>
          <w14:textFill>
            <w14:solidFill>
              <w14:schemeClr w14:val="tx1"/>
            </w14:solidFill>
          </w14:textFill>
        </w:rPr>
        <w:t>柜</w:t>
      </w:r>
      <w:r>
        <w:rPr>
          <w:rFonts w:hint="eastAsia" w:ascii="宋体" w:hAnsi="宋体" w:eastAsia="宋体" w:cs="宋体"/>
          <w:color w:val="000000" w:themeColor="text1"/>
          <w:spacing w:val="8"/>
          <w:sz w:val="28"/>
          <w:szCs w:val="28"/>
          <w14:textFill>
            <w14:solidFill>
              <w14:schemeClr w14:val="tx1"/>
            </w14:solidFill>
          </w14:textFill>
        </w:rPr>
        <w:t>、厂房等有弱电、强电操作的环境处，都可能会出现静电放电和雷电放电现象，均可成为引起燃烧的点火源，导致火灾或其他因控制失灵产生的事故。</w:t>
      </w:r>
    </w:p>
    <w:p w14:paraId="32D04B95">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雷电的危害</w:t>
      </w:r>
    </w:p>
    <w:p w14:paraId="3E229084">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雷电的破坏作用主要为三种：直接雷击破坏、感应雷破坏和雷电波侵入破坏。</w:t>
      </w:r>
    </w:p>
    <w:p w14:paraId="429720C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（1）直接雷击破坏</w:t>
      </w:r>
    </w:p>
    <w:p w14:paraId="21B2E84C">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lang w:eastAsia="zh-CN"/>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当雷电直接击在建筑物上，强大的雷电流使建 (构) 筑物水分受热汽化膨胀，从而产生很大的机械力，导致建筑物燃烧或爆炸。另外，当雷电击中接闪器，电流沿引下线向大地泻放时，这时对地电位升高，有可能向临近的物体跳击，称为雷电“反击”，从而造成火灾或人身伤亡</w:t>
      </w:r>
      <w:r>
        <w:rPr>
          <w:rFonts w:hint="eastAsia" w:ascii="宋体" w:hAnsi="宋体" w:eastAsia="宋体" w:cs="宋体"/>
          <w:color w:val="000000" w:themeColor="text1"/>
          <w:spacing w:val="8"/>
          <w:sz w:val="28"/>
          <w:szCs w:val="28"/>
          <w:lang w:eastAsia="zh-CN"/>
          <w14:textFill>
            <w14:solidFill>
              <w14:schemeClr w14:val="tx1"/>
            </w14:solidFill>
          </w14:textFill>
        </w:rPr>
        <w:t>。</w:t>
      </w:r>
    </w:p>
    <w:p w14:paraId="500F7E0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（2）感应雷破坏</w:t>
      </w:r>
    </w:p>
    <w:p w14:paraId="1A0E023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感应雷破坏也称为二次破坏。由于雷电流变化梯度很大，会产生强大的交变磁场，使得周围的金属构件产生感应电流，这种电流可能向周围物体放电，如附近有可燃物就会引发火灾和爆炸，而感应到正在联机的导线上就会对设备产生强烈的破坏性。</w:t>
      </w:r>
    </w:p>
    <w:p w14:paraId="5ECCC111">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（3）雷电波侵入破坏</w:t>
      </w:r>
    </w:p>
    <w:p w14:paraId="1B8B2B41">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当雷电接近架空管线时，高压冲击波会沿架空管线侵入室内，造成高电流引入，这样可能引起设备损坏或人身伤亡事故。如果附近有可燃物，容易酿成火灾。</w:t>
      </w:r>
    </w:p>
    <w:p w14:paraId="787A9555">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当遇到雷雨天气时，全厂各建、构筑物、设备、管道和人员均可能受到雷击伤害。</w:t>
      </w:r>
    </w:p>
    <w:bookmarkEnd w:id="421"/>
    <w:p w14:paraId="404C74E0">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422" w:name="_Toc19873"/>
      <w:bookmarkStart w:id="423" w:name="_Toc7721"/>
      <w:bookmarkStart w:id="424" w:name="_Toc19098"/>
      <w:r>
        <w:rPr>
          <w:rFonts w:hint="eastAsia" w:ascii="宋体" w:hAnsi="宋体" w:eastAsia="宋体" w:cs="宋体"/>
          <w:color w:val="000000" w:themeColor="text1"/>
          <w:lang w:val="en-US" w:eastAsia="zh-CN"/>
          <w14:textFill>
            <w14:solidFill>
              <w14:schemeClr w14:val="tx1"/>
            </w14:solidFill>
          </w14:textFill>
        </w:rPr>
        <w:t>3.6.11其他伤害危险性分析</w:t>
      </w:r>
      <w:bookmarkEnd w:id="422"/>
      <w:bookmarkEnd w:id="423"/>
      <w:bookmarkEnd w:id="424"/>
    </w:p>
    <w:p w14:paraId="00779A44">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噪声危害</w:t>
      </w:r>
    </w:p>
    <w:p w14:paraId="106814DD">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噪声就是各种不同频率和强度的声音，呈无规律的杂乱组合，其波形呈无规则变化，听起来使人感到厌烦或音量过强而危害人体健康的声音。可分为：机械噪声、空气动力性噪声和电磁噪声。该项目产生的噪声主要是由空压机运行发出的声音，其次是电磁噪声。</w:t>
      </w:r>
    </w:p>
    <w:p w14:paraId="2EC43A37">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噪声能引起听觉功能敏感度下降甚至造成耳聋，或引起神经衰弱心血管疾病及消化系统等疾病的高发，使误操作率上升。其主要危害是对听力系统的损害，强噪声作用下，可导致永久性听力下降，内耳感音细胞遭损伤，引起噪声性耳聋。引发噪声危害的原因主要有：</w:t>
      </w:r>
    </w:p>
    <w:p w14:paraId="2AD76ED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（1）机械设备运转不正常，造成噪声超标；</w:t>
      </w:r>
    </w:p>
    <w:p w14:paraId="0B313B7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（2）工作环境中噪声超标；</w:t>
      </w:r>
    </w:p>
    <w:p w14:paraId="2D11FC1A">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（3）人员未采取防护措施或防护措施失效；</w:t>
      </w:r>
    </w:p>
    <w:p w14:paraId="32EAB66A">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（4）高噪声设备未采取隔声、消声、吸声、隔振等安全措施；</w:t>
      </w:r>
    </w:p>
    <w:p w14:paraId="0DB8C74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（5）人员长时间在噪声环境中劳动；</w:t>
      </w:r>
    </w:p>
    <w:p w14:paraId="4E4B7C93">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（6）安全资金投入不足、安全教育培训不够、个体防护不到位等。</w:t>
      </w:r>
    </w:p>
    <w:p w14:paraId="03108DEA">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bookmarkStart w:id="425" w:name="_Toc4617"/>
      <w:bookmarkStart w:id="426" w:name="_Toc10588"/>
      <w:r>
        <w:rPr>
          <w:rFonts w:hint="eastAsia" w:ascii="宋体" w:hAnsi="宋体" w:eastAsia="宋体" w:cs="宋体"/>
          <w:color w:val="000000" w:themeColor="text1"/>
          <w:spacing w:val="8"/>
          <w:sz w:val="28"/>
          <w:szCs w:val="28"/>
          <w:lang w:val="en-US" w:eastAsia="zh-CN"/>
          <w14:textFill>
            <w14:solidFill>
              <w14:schemeClr w14:val="tx1"/>
            </w14:solidFill>
          </w14:textFill>
        </w:rPr>
        <w:t>2.</w:t>
      </w:r>
      <w:r>
        <w:rPr>
          <w:rFonts w:hint="eastAsia" w:ascii="宋体" w:hAnsi="宋体" w:eastAsia="宋体" w:cs="宋体"/>
          <w:color w:val="000000" w:themeColor="text1"/>
          <w:spacing w:val="8"/>
          <w:sz w:val="28"/>
          <w:szCs w:val="28"/>
          <w14:textFill>
            <w14:solidFill>
              <w14:schemeClr w14:val="tx1"/>
            </w14:solidFill>
          </w14:textFill>
        </w:rPr>
        <w:t>其它</w:t>
      </w:r>
      <w:bookmarkEnd w:id="425"/>
      <w:bookmarkEnd w:id="426"/>
    </w:p>
    <w:p w14:paraId="46C26CE0">
      <w:pPr>
        <w:adjustRightInd w:val="0"/>
        <w:snapToGrid w:val="0"/>
        <w:spacing w:line="500" w:lineRule="exact"/>
        <w:ind w:firstLine="560" w:firstLineChars="200"/>
        <w:contextualSpacing/>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本项目在生产过程中，还存在着其它危险、有害因素，例如地震等自然灾害。其主要危险性如下：</w:t>
      </w:r>
    </w:p>
    <w:p w14:paraId="4CEF991E">
      <w:pPr>
        <w:adjustRightInd w:val="0"/>
        <w:snapToGrid w:val="0"/>
        <w:spacing w:line="500" w:lineRule="exact"/>
        <w:ind w:firstLine="560" w:firstLineChars="200"/>
        <w:contextualSpacing/>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地震是一种自然灾害，是不可抗拒的，甚至是毁灭性的因素。其对人造成伤亡或对建筑物及设备造成突发损害的因素；有害因素直接或间接影响人的身体健康，导致疾病或对建筑物和设备、环境造成损害的因素；</w:t>
      </w:r>
    </w:p>
    <w:p w14:paraId="383FB032">
      <w:pPr>
        <w:adjustRightInd w:val="0"/>
        <w:snapToGrid w:val="0"/>
        <w:spacing w:line="500" w:lineRule="exact"/>
        <w:ind w:firstLine="560" w:firstLineChars="200"/>
        <w:contextualSpacing/>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（2）不良地质：由于地质构造、岩浆活动等地质异常活动现象，易产生地震自然灾害；</w:t>
      </w:r>
    </w:p>
    <w:p w14:paraId="43EB98C8">
      <w:pPr>
        <w:adjustRightInd w:val="0"/>
        <w:snapToGrid w:val="0"/>
        <w:spacing w:line="500" w:lineRule="exact"/>
        <w:ind w:firstLine="560" w:firstLineChars="200"/>
        <w:contextualSpacing/>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（3）气温：人体有最适宜的环境温度，当其超过一定范围时，会产生不舒服感，气温极端会使人发生中暑和冻伤；</w:t>
      </w:r>
    </w:p>
    <w:p w14:paraId="379A0B45">
      <w:pPr>
        <w:adjustRightInd w:val="0"/>
        <w:snapToGrid w:val="0"/>
        <w:spacing w:line="500" w:lineRule="exact"/>
        <w:ind w:firstLine="560" w:firstLineChars="200"/>
        <w:contextualSpacing/>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（4）其他：暴雨和洪水威胁工厂安全，其作用范围大。</w:t>
      </w:r>
    </w:p>
    <w:p w14:paraId="047A6086">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427" w:name="_Toc13018"/>
      <w:bookmarkStart w:id="428" w:name="_Toc186"/>
      <w:bookmarkStart w:id="429" w:name="_Toc11502"/>
      <w:bookmarkStart w:id="430" w:name="_Toc30001402"/>
      <w:bookmarkStart w:id="431" w:name="_Toc61474425"/>
      <w:r>
        <w:rPr>
          <w:rFonts w:hint="eastAsia" w:ascii="宋体" w:hAnsi="宋体" w:eastAsia="宋体" w:cs="宋体"/>
          <w:color w:val="000000" w:themeColor="text1"/>
          <w14:textFill>
            <w14:solidFill>
              <w14:schemeClr w14:val="tx1"/>
            </w14:solidFill>
          </w14:textFill>
        </w:rPr>
        <w:t>3.7特殊作业危险性分析</w:t>
      </w:r>
      <w:bookmarkEnd w:id="427"/>
      <w:bookmarkEnd w:id="428"/>
      <w:bookmarkEnd w:id="429"/>
    </w:p>
    <w:p w14:paraId="0BC63F59">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432" w:name="_Toc11966"/>
      <w:bookmarkStart w:id="433" w:name="_Toc31820"/>
      <w:bookmarkStart w:id="434" w:name="_Toc19644"/>
      <w:r>
        <w:rPr>
          <w:rFonts w:hint="eastAsia" w:ascii="宋体" w:hAnsi="宋体" w:eastAsia="宋体" w:cs="宋体"/>
          <w:color w:val="000000" w:themeColor="text1"/>
          <w:lang w:val="en-US" w:eastAsia="zh-CN"/>
          <w14:textFill>
            <w14:solidFill>
              <w14:schemeClr w14:val="tx1"/>
            </w14:solidFill>
          </w14:textFill>
        </w:rPr>
        <w:t>3.7.1临时用电作业危险、有害因素分析</w:t>
      </w:r>
      <w:bookmarkEnd w:id="432"/>
      <w:bookmarkEnd w:id="433"/>
      <w:bookmarkEnd w:id="434"/>
    </w:p>
    <w:p w14:paraId="201C8A4A">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该项目在施工或检维修过程中会涉及临时用电作业，在此过程中可能因违章操作等原因而引发触电、电气火灾等危险。其引发事故主要原因分析如下：</w:t>
      </w:r>
    </w:p>
    <w:p w14:paraId="67AEE68F">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临时用电线路未设置保护开关，或使用前未检查电气装置和保护设施的可靠性或为接地。</w:t>
      </w:r>
    </w:p>
    <w:p w14:paraId="11A39D8A">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临时用电线路经过有高温、振动、腐蚀、积水等区域时有接头，且未采取相应的保护措施。</w:t>
      </w:r>
    </w:p>
    <w:p w14:paraId="2496715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临时用电架空线设置不规范，未采用绝缘铜芯线，且未架设在专用电杆或支架上。</w:t>
      </w:r>
    </w:p>
    <w:p w14:paraId="1C2202C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在特别潮湿的场所或罐内等金属设备内作业时，临时照明行灯的电压不符合规范要求，超过12V。</w:t>
      </w:r>
    </w:p>
    <w:p w14:paraId="0F71B70E">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用电结束后，未及时拆除临时用电线路。</w:t>
      </w:r>
    </w:p>
    <w:p w14:paraId="3BDBE990">
      <w:pPr>
        <w:adjustRightInd w:val="0"/>
        <w:snapToGrid w:val="0"/>
        <w:spacing w:line="500" w:lineRule="exact"/>
        <w:ind w:firstLine="592" w:firstLineChars="200"/>
        <w:contextualSpacing/>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作业人员未持证上岗，违章作业等其他原因。</w:t>
      </w:r>
    </w:p>
    <w:p w14:paraId="58800378">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435" w:name="_Toc4657"/>
      <w:bookmarkStart w:id="436" w:name="_Toc14572"/>
      <w:bookmarkStart w:id="437" w:name="_Toc22629"/>
      <w:r>
        <w:rPr>
          <w:rFonts w:hint="eastAsia" w:ascii="宋体" w:hAnsi="宋体" w:eastAsia="宋体" w:cs="宋体"/>
          <w:color w:val="000000" w:themeColor="text1"/>
          <w:lang w:val="en-US" w:eastAsia="zh-CN"/>
          <w14:textFill>
            <w14:solidFill>
              <w14:schemeClr w14:val="tx1"/>
            </w14:solidFill>
          </w14:textFill>
        </w:rPr>
        <w:t>3.7.</w:t>
      </w:r>
      <w:r>
        <w:rPr>
          <w:rFonts w:hint="eastAsia" w:ascii="宋体" w:hAnsi="宋体" w:eastAsia="宋体" w:cs="宋体"/>
          <w:color w:val="000000" w:themeColor="text1"/>
          <w:lang w:val="en-US" w:eastAsia="zh-CN"/>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动火作业危险、有害因素分析</w:t>
      </w:r>
      <w:bookmarkEnd w:id="435"/>
      <w:bookmarkEnd w:id="436"/>
      <w:bookmarkEnd w:id="437"/>
    </w:p>
    <w:p w14:paraId="1296E95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在进行设备检修、安装过程常常需要进行电焊、气焊（割）、电钻、砂轮等进行可能产生火焰、火花和炽热表面的动火作业。本项目中，动火作业可能造成火灾、其他爆炸、灼烫等危险。</w:t>
      </w:r>
    </w:p>
    <w:p w14:paraId="734C7E4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动火作业未办理动火安全作业证，未对动火作业存在的危险有害因素进行充分辨识，未制定相应处理措施。</w:t>
      </w:r>
    </w:p>
    <w:p w14:paraId="5F2F2F6C">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未配备监护人员或监护人员脱岗。</w:t>
      </w:r>
    </w:p>
    <w:p w14:paraId="4341AA5D">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未设警戒线，未设监护人员，未设安全警示标志。</w:t>
      </w:r>
    </w:p>
    <w:p w14:paraId="567EEAA1">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动火前未清除动火现场及周围的易燃物品，未配备足够适用的消防器材。</w:t>
      </w:r>
    </w:p>
    <w:p w14:paraId="6A9B9AD3">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对于涉及液压油、真空泵油等易燃物、可燃物的管路、容器等在动火前未经过隔离、清洗、置换，取样分析。</w:t>
      </w:r>
    </w:p>
    <w:p w14:paraId="78D6F4D0">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在有限空间动火时，未采取排风措施，有毒烟气聚集导致人员中毒。</w:t>
      </w:r>
    </w:p>
    <w:p w14:paraId="776A83AF">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7</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使用气焊、气割动火作业时，乙炔瓶、氧气瓶使用不规范。</w:t>
      </w:r>
    </w:p>
    <w:p w14:paraId="7E849F2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8</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人员违章作业等。</w:t>
      </w:r>
    </w:p>
    <w:p w14:paraId="0A09F815">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438" w:name="_Toc6208"/>
      <w:bookmarkStart w:id="439" w:name="_Toc30904"/>
      <w:bookmarkStart w:id="440" w:name="_Toc30172"/>
      <w:r>
        <w:rPr>
          <w:rFonts w:hint="eastAsia" w:ascii="宋体" w:hAnsi="宋体" w:eastAsia="宋体" w:cs="宋体"/>
          <w:color w:val="000000" w:themeColor="text1"/>
          <w:lang w:val="en-US" w:eastAsia="zh-CN"/>
          <w14:textFill>
            <w14:solidFill>
              <w14:schemeClr w14:val="tx1"/>
            </w14:solidFill>
          </w14:textFill>
        </w:rPr>
        <w:t>3.7.</w:t>
      </w:r>
      <w:r>
        <w:rPr>
          <w:rFonts w:hint="eastAsia" w:ascii="宋体" w:hAnsi="宋体" w:eastAsia="宋体" w:cs="宋体"/>
          <w:color w:val="000000" w:themeColor="text1"/>
          <w:lang w:val="en-US" w:eastAsia="zh-CN"/>
          <w14:textFill>
            <w14:solidFill>
              <w14:schemeClr w14:val="tx1"/>
            </w14:solidFill>
          </w14:textFill>
        </w:rPr>
        <w:t>3</w:t>
      </w:r>
      <w:r>
        <w:rPr>
          <w:rFonts w:hint="eastAsia" w:ascii="宋体" w:hAnsi="宋体" w:eastAsia="宋体" w:cs="宋体"/>
          <w:color w:val="000000" w:themeColor="text1"/>
          <w:lang w:val="en-US" w:eastAsia="zh-CN"/>
          <w14:textFill>
            <w14:solidFill>
              <w14:schemeClr w14:val="tx1"/>
            </w14:solidFill>
          </w14:textFill>
        </w:rPr>
        <w:t>高处作业危险、有害因素分析</w:t>
      </w:r>
      <w:bookmarkEnd w:id="438"/>
      <w:bookmarkEnd w:id="439"/>
      <w:bookmarkEnd w:id="440"/>
    </w:p>
    <w:p w14:paraId="2B1F3F10">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该项目在生产、运行过程中需要高处作业时，有可能发生高处坠落、物体打击等危险。其主要引发原因分析如下：</w:t>
      </w:r>
    </w:p>
    <w:p w14:paraId="638985FA">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作业前未办理高处作业安全作业证，未对作业存在的危险有害因素进行充分辨识，未制定相应处理措施。</w:t>
      </w:r>
    </w:p>
    <w:p w14:paraId="6CAC0947">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作业区未划分警戒区，未设监护人员，未设警示标志。</w:t>
      </w:r>
    </w:p>
    <w:p w14:paraId="669364E2">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高处作业脚手架、梯子、防护围栏等质量不良，使用前未经检查。</w:t>
      </w:r>
    </w:p>
    <w:p w14:paraId="57346FC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高处作业时作业人员未按要求佩戴安全带（绳）、疲劳过度或酒后作业、未采取安全防护措施和使用可靠的安全保护装置等。</w:t>
      </w:r>
    </w:p>
    <w:p w14:paraId="06981723">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在6级以上大风、大雾天气进行高处作业。</w:t>
      </w:r>
    </w:p>
    <w:p w14:paraId="4123BAF2">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高处作业人员患有职业禁忌，如高血压、心脏病、贫血病、疲劳过度、视力不佳等。</w:t>
      </w:r>
    </w:p>
    <w:p w14:paraId="25EC367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7</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高处作业下方未设防坠物措施，工具、零件、螺丝等坠下造成物体，高空抛物、物件设备摆放不稳，倾覆等易造成物体打击事故。</w:t>
      </w:r>
    </w:p>
    <w:p w14:paraId="68B1A4C4">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lang w:val="en-US" w:eastAsia="zh-CN"/>
        </w:rPr>
      </w:pPr>
      <w:bookmarkStart w:id="441" w:name="_Toc20771"/>
      <w:bookmarkStart w:id="442" w:name="_Toc5906"/>
      <w:r>
        <w:rPr>
          <w:rFonts w:hint="eastAsia" w:ascii="宋体" w:hAnsi="宋体" w:eastAsia="宋体" w:cs="宋体"/>
          <w:color w:val="000000" w:themeColor="text1"/>
          <w:lang w:val="en-US" w:eastAsia="zh-CN"/>
          <w14:textFill>
            <w14:solidFill>
              <w14:schemeClr w14:val="tx1"/>
            </w14:solidFill>
          </w14:textFill>
        </w:rPr>
        <w:t>3.7.</w:t>
      </w:r>
      <w:r>
        <w:rPr>
          <w:rFonts w:hint="eastAsia" w:ascii="宋体" w:hAnsi="宋体" w:eastAsia="宋体" w:cs="宋体"/>
          <w:color w:val="000000" w:themeColor="text1"/>
          <w:lang w:val="en-US" w:eastAsia="zh-CN"/>
          <w14:textFill>
            <w14:solidFill>
              <w14:schemeClr w14:val="tx1"/>
            </w14:solidFill>
          </w14:textFill>
        </w:rPr>
        <w:t>4</w:t>
      </w:r>
      <w:r>
        <w:rPr>
          <w:rFonts w:hint="eastAsia" w:ascii="宋体" w:hAnsi="宋体" w:eastAsia="宋体" w:cs="宋体"/>
        </w:rPr>
        <w:t>吊装作业</w:t>
      </w:r>
      <w:bookmarkEnd w:id="441"/>
      <w:r>
        <w:rPr>
          <w:rFonts w:hint="eastAsia" w:ascii="宋体" w:hAnsi="宋体" w:eastAsia="宋体" w:cs="宋体"/>
          <w:color w:val="000000" w:themeColor="text1"/>
          <w:lang w:val="en-US" w:eastAsia="zh-CN"/>
          <w14:textFill>
            <w14:solidFill>
              <w14:schemeClr w14:val="tx1"/>
            </w14:solidFill>
          </w14:textFill>
        </w:rPr>
        <w:t>危险、有害因素分析</w:t>
      </w:r>
      <w:bookmarkEnd w:id="442"/>
    </w:p>
    <w:p w14:paraId="35B2CFF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项目进行检修、设备安装等工程时需要进行吊装作业，在进行吊装作业时，可能发生起重伤害。</w:t>
      </w:r>
    </w:p>
    <w:p w14:paraId="5BFA25F5">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1.</w:t>
      </w:r>
      <w:r>
        <w:rPr>
          <w:rFonts w:hint="eastAsia" w:ascii="宋体" w:hAnsi="宋体" w:eastAsia="宋体" w:cs="宋体"/>
          <w:color w:val="000000" w:themeColor="text1"/>
          <w:spacing w:val="8"/>
          <w:sz w:val="28"/>
          <w:szCs w:val="28"/>
          <w14:textFill>
            <w14:solidFill>
              <w14:schemeClr w14:val="tx1"/>
            </w14:solidFill>
          </w14:textFill>
        </w:rPr>
        <w:t>未对吊装作业场所、环境进行充分的危险因素辨识，未经过办证审批；</w:t>
      </w:r>
    </w:p>
    <w:p w14:paraId="190D3C3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2.</w:t>
      </w:r>
      <w:r>
        <w:rPr>
          <w:rFonts w:hint="eastAsia" w:ascii="宋体" w:hAnsi="宋体" w:eastAsia="宋体" w:cs="宋体"/>
          <w:color w:val="000000" w:themeColor="text1"/>
          <w:spacing w:val="8"/>
          <w:sz w:val="28"/>
          <w:szCs w:val="28"/>
          <w14:textFill>
            <w14:solidFill>
              <w14:schemeClr w14:val="tx1"/>
            </w14:solidFill>
          </w14:textFill>
        </w:rPr>
        <w:t>吊装作业人员无证作业；</w:t>
      </w:r>
    </w:p>
    <w:p w14:paraId="5CF22147">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3.</w:t>
      </w:r>
      <w:r>
        <w:rPr>
          <w:rFonts w:hint="eastAsia" w:ascii="宋体" w:hAnsi="宋体" w:eastAsia="宋体" w:cs="宋体"/>
          <w:color w:val="000000" w:themeColor="text1"/>
          <w:spacing w:val="8"/>
          <w:sz w:val="28"/>
          <w:szCs w:val="28"/>
          <w14:textFill>
            <w14:solidFill>
              <w14:schemeClr w14:val="tx1"/>
            </w14:solidFill>
          </w14:textFill>
        </w:rPr>
        <w:t>起吊前未对起重吊装机械、吊具等进行安全确认；</w:t>
      </w:r>
    </w:p>
    <w:p w14:paraId="55982725">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4.</w:t>
      </w:r>
      <w:r>
        <w:rPr>
          <w:rFonts w:hint="eastAsia" w:ascii="宋体" w:hAnsi="宋体" w:eastAsia="宋体" w:cs="宋体"/>
          <w:color w:val="000000" w:themeColor="text1"/>
          <w:spacing w:val="8"/>
          <w:sz w:val="28"/>
          <w:szCs w:val="28"/>
          <w14:textFill>
            <w14:solidFill>
              <w14:schemeClr w14:val="tx1"/>
            </w14:solidFill>
          </w14:textFill>
        </w:rPr>
        <w:t xml:space="preserve">吊装区域内未划定警戒区域，未设安全警示标志，未设专人监护； </w:t>
      </w:r>
    </w:p>
    <w:p w14:paraId="1E42BAB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5.</w:t>
      </w:r>
      <w:r>
        <w:rPr>
          <w:rFonts w:hint="eastAsia" w:ascii="宋体" w:hAnsi="宋体" w:eastAsia="宋体" w:cs="宋体"/>
          <w:color w:val="000000" w:themeColor="text1"/>
          <w:spacing w:val="8"/>
          <w:sz w:val="28"/>
          <w:szCs w:val="28"/>
          <w14:textFill>
            <w14:solidFill>
              <w14:schemeClr w14:val="tx1"/>
            </w14:solidFill>
          </w14:textFill>
        </w:rPr>
        <w:t>未设吊运指挥人员，指挥人员站立于起吊区域；</w:t>
      </w:r>
    </w:p>
    <w:p w14:paraId="42B53A33">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6.</w:t>
      </w:r>
      <w:r>
        <w:rPr>
          <w:rFonts w:hint="eastAsia" w:ascii="宋体" w:hAnsi="宋体" w:eastAsia="宋体" w:cs="宋体"/>
          <w:color w:val="000000" w:themeColor="text1"/>
          <w:spacing w:val="8"/>
          <w:sz w:val="28"/>
          <w:szCs w:val="28"/>
          <w14:textFill>
            <w14:solidFill>
              <w14:schemeClr w14:val="tx1"/>
            </w14:solidFill>
          </w14:textFill>
        </w:rPr>
        <w:t>人员违章作业。</w:t>
      </w:r>
    </w:p>
    <w:p w14:paraId="01E29080">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443" w:name="_Toc20142"/>
      <w:bookmarkStart w:id="444" w:name="_Toc12062"/>
      <w:bookmarkStart w:id="445" w:name="_Toc21969"/>
      <w:r>
        <w:rPr>
          <w:rFonts w:hint="eastAsia" w:ascii="宋体" w:hAnsi="宋体" w:eastAsia="宋体" w:cs="宋体"/>
          <w:color w:val="000000" w:themeColor="text1"/>
          <w14:textFill>
            <w14:solidFill>
              <w14:schemeClr w14:val="tx1"/>
            </w14:solidFill>
          </w14:textFill>
        </w:rPr>
        <w:t>3.8设备检维修过程危险、有害因素分析</w:t>
      </w:r>
      <w:bookmarkEnd w:id="443"/>
      <w:bookmarkEnd w:id="444"/>
      <w:bookmarkEnd w:id="445"/>
    </w:p>
    <w:p w14:paraId="0699225C">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该项目检修、安装过程中可能会引发火灾、容器爆炸、高处坠落、物体打击、触电、机械伤害、</w:t>
      </w:r>
      <w:r>
        <w:rPr>
          <w:rFonts w:hint="eastAsia" w:ascii="宋体" w:hAnsi="宋体" w:eastAsia="宋体" w:cs="宋体"/>
          <w:color w:val="000000" w:themeColor="text1"/>
          <w:spacing w:val="8"/>
          <w:sz w:val="28"/>
          <w:szCs w:val="28"/>
          <w:lang w:val="en-US" w:eastAsia="zh-CN"/>
          <w14:textFill>
            <w14:solidFill>
              <w14:schemeClr w14:val="tx1"/>
            </w14:solidFill>
          </w14:textFill>
        </w:rPr>
        <w:t>起重伤害</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噪声危害等危险，其主要引发原因如下：</w:t>
      </w:r>
    </w:p>
    <w:p w14:paraId="029B77E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在使用电钻、砂轮等进行可能产生火焰、火花和炽热表面的动火作业，如果控制不好，可能发生火灾爆炸事故。</w:t>
      </w:r>
      <w:r>
        <w:rPr>
          <w:rFonts w:hint="eastAsia" w:ascii="宋体" w:hAnsi="宋体" w:eastAsia="宋体" w:cs="宋体"/>
          <w:color w:val="000000" w:themeColor="text1"/>
          <w:spacing w:val="8"/>
          <w:sz w:val="28"/>
          <w:szCs w:val="28"/>
          <w:lang w:val="en-US" w:eastAsia="zh-CN"/>
          <w14:textFill>
            <w14:solidFill>
              <w14:schemeClr w14:val="tx1"/>
            </w14:solidFill>
          </w14:textFill>
        </w:rPr>
        <w:t>检维修作业</w:t>
      </w:r>
      <w:r>
        <w:rPr>
          <w:rFonts w:hint="eastAsia" w:ascii="宋体" w:hAnsi="宋体" w:eastAsia="宋体" w:cs="宋体"/>
          <w:sz w:val="28"/>
          <w:szCs w:val="28"/>
        </w:rPr>
        <w:t>过程中还可能发生电气火灾</w:t>
      </w:r>
      <w:r>
        <w:rPr>
          <w:rFonts w:hint="eastAsia" w:ascii="宋体" w:hAnsi="宋体" w:eastAsia="宋体" w:cs="宋体"/>
          <w:color w:val="000000" w:themeColor="text1"/>
          <w:spacing w:val="8"/>
          <w:sz w:val="28"/>
          <w:szCs w:val="28"/>
          <w14:textFill>
            <w14:solidFill>
              <w14:schemeClr w14:val="tx1"/>
            </w14:solidFill>
          </w14:textFill>
        </w:rPr>
        <w:t>。</w:t>
      </w:r>
    </w:p>
    <w:p w14:paraId="11776A44">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检修作业平台未设置安全防护栏或防护网或失效；检修作业平台、脚手架强度不符合规范要求；未设置安全警示标识或失效；安排高处作业禁忌者从事高处作业；原有装置、设备强度与该项目装置不匹配，直接利用原有装置作安装、检修平台，并未对其承载能力进行论证；高处作业的临边、洞口等处未设置有效的防高坠措施；高处作业人员未系安全带或失效；作业人员缺乏安全知识；作业人员未执行检修安全操作规程等可能会引发高处坠落危险。</w:t>
      </w:r>
    </w:p>
    <w:p w14:paraId="154C3910">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检修、安装作业时未设置安全防护网或安全警戒线或失效；未设置有效的安全警示标识；检修作业平台、设施及设备倒塌；作业人员未穿戴有效的劳动防护用品例如安全帽；未制定检修作业安全操作规程等可能会引发物体打击危险。</w:t>
      </w:r>
    </w:p>
    <w:p w14:paraId="1FA3572A">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检修、安装过程时未采取有效的降尘措施或失效；作业人员未穿戴劳动防护用品例如戴防尘口罩、穿防尘服等；检修、安装作业前未清除、原有设备、装置中的粉尘等杂物；未制定安全检修方案或未执行；作业人员缺乏安全知识等可能会引发粉尘危害危险。</w:t>
      </w:r>
    </w:p>
    <w:p w14:paraId="16B20F3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检修过程中的检修用电线路布置混乱；发生漏电；检修作业场所潮湿；检修作业时未按规范要求使用安全电压；检修电工未持证上岗；检修人员缺乏安全知识；检修、安装作业时未将原有装置涉及的电气线路、电气设备理顺、未切断电源；检修作业人员未穿戴劳动防护用品或失效；检修作业人员缺乏安全知识等可能会引发触电危险。</w:t>
      </w:r>
    </w:p>
    <w:p w14:paraId="3670165D">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检修过程中使用的机械、转动设施及设备设计、安装、施工缺陷；未设置机械防护装置或失效；其强度不符合规范要求；未定期进行维护、保养；功能与实际需求不匹配等可能会引发机械伤害危险。</w:t>
      </w:r>
    </w:p>
    <w:p w14:paraId="3E2BB081">
      <w:pPr>
        <w:adjustRightInd w:val="0"/>
        <w:snapToGrid w:val="0"/>
        <w:spacing w:line="500" w:lineRule="exact"/>
        <w:ind w:firstLine="592" w:firstLineChars="200"/>
        <w:contextualSpacing/>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7</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检修、安装作业时，未对原有设施、装置采取有效的防护措施或失效；未考虑原有装置、设施强度直接搭建安装平台；作业人员缺乏安全知识等可能会毁坏原有建构筑物。</w:t>
      </w:r>
    </w:p>
    <w:p w14:paraId="34C60578">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446" w:name="_Toc15256"/>
      <w:bookmarkStart w:id="447" w:name="_Toc17629"/>
      <w:r>
        <w:rPr>
          <w:rFonts w:hint="eastAsia" w:ascii="宋体" w:hAnsi="宋体" w:eastAsia="宋体" w:cs="宋体"/>
          <w:color w:val="000000" w:themeColor="text1"/>
          <w14:textFill>
            <w14:solidFill>
              <w14:schemeClr w14:val="tx1"/>
            </w14:solidFill>
          </w14:textFill>
        </w:rPr>
        <w:t>3.9安全管理危险性分析</w:t>
      </w:r>
      <w:bookmarkEnd w:id="430"/>
      <w:bookmarkEnd w:id="431"/>
      <w:bookmarkEnd w:id="446"/>
      <w:bookmarkEnd w:id="447"/>
    </w:p>
    <w:p w14:paraId="397AC897">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448" w:name="_Toc6549"/>
      <w:bookmarkStart w:id="449" w:name="_Toc17960"/>
      <w:bookmarkStart w:id="450" w:name="_Toc313453508"/>
      <w:bookmarkStart w:id="451" w:name="_Toc331963309"/>
      <w:bookmarkStart w:id="452" w:name="_Toc61474426"/>
      <w:bookmarkStart w:id="453" w:name="_Toc30001403"/>
      <w:bookmarkStart w:id="454" w:name="_Toc32395"/>
      <w:bookmarkStart w:id="455" w:name="_Toc278151404"/>
      <w:bookmarkStart w:id="456" w:name="_Toc202575692"/>
      <w:bookmarkStart w:id="457" w:name="_Toc201767293"/>
      <w:r>
        <w:rPr>
          <w:rFonts w:hint="eastAsia" w:ascii="宋体" w:hAnsi="宋体" w:eastAsia="宋体" w:cs="宋体"/>
          <w:color w:val="000000" w:themeColor="text1"/>
          <w:lang w:val="en-US" w:eastAsia="zh-CN"/>
          <w14:textFill>
            <w14:solidFill>
              <w14:schemeClr w14:val="tx1"/>
            </w14:solidFill>
          </w14:textFill>
        </w:rPr>
        <w:t>3.9.1安全管理组织体系方面危险性分析</w:t>
      </w:r>
      <w:bookmarkEnd w:id="448"/>
      <w:bookmarkEnd w:id="449"/>
      <w:bookmarkEnd w:id="450"/>
      <w:bookmarkEnd w:id="451"/>
      <w:bookmarkEnd w:id="452"/>
      <w:bookmarkEnd w:id="453"/>
      <w:bookmarkEnd w:id="454"/>
    </w:p>
    <w:p w14:paraId="66563E7E">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安全管理组织体系是企业安全生产重要保障，安全生产管理的分级、协调等管理缺陷，可能因为安全管理组织体系缺陷引发事故，或事故进一步扩大。</w:t>
      </w:r>
    </w:p>
    <w:p w14:paraId="6E720095">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1</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未按相关法律法规设置安全管理机构或配置安全管理人员，安全管理人员未参加安全培训，风险评价、事故调查分析、应急处理、安全检测和试验研究、系统安全评价能力不足；</w:t>
      </w:r>
    </w:p>
    <w:p w14:paraId="4336C136">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2</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未定期召开的安全领导小组会议内容，未对企业安全工作进行具体、有效的落实；</w:t>
      </w:r>
    </w:p>
    <w:p w14:paraId="5FB810FA">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3</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对从业人员的安全教育培训不足，如安全管理人员和基层操作人员未经过培训考核或培训学时不足，不具备相应的安全生产知识和上岗能力；员工素质低下，知识陈旧，观念落后，致使人员安全意识差、不安全行为数量增多；</w:t>
      </w:r>
    </w:p>
    <w:p w14:paraId="0C3C9155">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4</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忽视对临时用工、外来参观、学习人员的安全教育培训等；</w:t>
      </w:r>
    </w:p>
    <w:p w14:paraId="1EBE2AEE">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5</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安全管理人员未有效履行安全管理职责，发现问题，置之不理；</w:t>
      </w:r>
    </w:p>
    <w:p w14:paraId="1CF36965">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6</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人员职权交叉，造成管理混乱；</w:t>
      </w:r>
    </w:p>
    <w:p w14:paraId="1A2076B5">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7</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职工日常活动随意，下班后（夜间）随意进入生产区域等；</w:t>
      </w:r>
    </w:p>
    <w:p w14:paraId="5615CA8A">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8</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未与相关方签订安全管理协议，或安全管理协议中未明确双方安全管理职责，权利和义务等内容，造成相关方管理混乱。</w:t>
      </w:r>
    </w:p>
    <w:p w14:paraId="13233242">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458" w:name="_Toc331963310"/>
      <w:bookmarkStart w:id="459" w:name="_Toc4485"/>
      <w:bookmarkStart w:id="460" w:name="_Toc6528"/>
      <w:bookmarkStart w:id="461" w:name="_Toc61474427"/>
      <w:bookmarkStart w:id="462" w:name="_Toc313453509"/>
      <w:bookmarkStart w:id="463" w:name="_Toc30001404"/>
      <w:bookmarkStart w:id="464" w:name="_Toc25343"/>
      <w:r>
        <w:rPr>
          <w:rFonts w:hint="eastAsia" w:ascii="宋体" w:hAnsi="宋体" w:eastAsia="宋体" w:cs="宋体"/>
          <w:color w:val="000000" w:themeColor="text1"/>
          <w:lang w:val="en-US" w:eastAsia="zh-CN"/>
          <w14:textFill>
            <w14:solidFill>
              <w14:schemeClr w14:val="tx1"/>
            </w14:solidFill>
          </w14:textFill>
        </w:rPr>
        <w:t>3.9.2安全管理制度方面危险性分析</w:t>
      </w:r>
      <w:bookmarkEnd w:id="458"/>
      <w:bookmarkEnd w:id="459"/>
      <w:bookmarkEnd w:id="460"/>
      <w:bookmarkEnd w:id="461"/>
      <w:bookmarkEnd w:id="462"/>
      <w:bookmarkEnd w:id="463"/>
      <w:bookmarkEnd w:id="464"/>
    </w:p>
    <w:p w14:paraId="1AEB1849">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安全管理制度是为加强企业生产工作的劳动保护、改善劳动条件，保护劳动者在生产过程中的安全和健康，促进企业的发展，根据有关劳动保护的法令、法规等有关规定，结合企业的实际情况制订的规定；可能因为安全管理制度不健全，引发事故，其主要原因有：</w:t>
      </w:r>
    </w:p>
    <w:p w14:paraId="04CD868F">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1</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未根据自身特点制定、完善安全生产责任制、安全生产管理制度，造成工作中无章可循，生产次序混乱；</w:t>
      </w:r>
    </w:p>
    <w:p w14:paraId="7CD5ADE5">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2</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各岗位或职能部门职责不明确；安全生产责任制未落实到每个环节、每个岗位、每个人；</w:t>
      </w:r>
    </w:p>
    <w:p w14:paraId="6688E591">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3</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不同的安全规章管理制度之间缺少相互配合和促进机制；</w:t>
      </w:r>
    </w:p>
    <w:p w14:paraId="50465DF8">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4</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安全规章管理制度流于形式，内容不完善、不全面；</w:t>
      </w:r>
    </w:p>
    <w:p w14:paraId="7367A274">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5</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安全规章管理制度要求与实际工作脱节等；</w:t>
      </w:r>
    </w:p>
    <w:p w14:paraId="1B3CB5AF">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lang w:eastAsia="zh-CN"/>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6</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特种作业人员未经培训，未掌握专业操作知识进行特种作业等</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根据</w:t>
      </w:r>
      <w:r>
        <w:rPr>
          <w:rFonts w:hint="eastAsia" w:ascii="宋体" w:hAnsi="宋体" w:eastAsia="宋体" w:cs="宋体"/>
          <w:snapToGrid w:val="0"/>
          <w:color w:val="000000" w:themeColor="text1"/>
          <w:kern w:val="0"/>
          <w:sz w:val="28"/>
          <w:szCs w:val="28"/>
          <w14:textFill>
            <w14:solidFill>
              <w14:schemeClr w14:val="tx1"/>
            </w14:solidFill>
          </w14:textFill>
        </w:rPr>
        <w:t>《中华人民共和国安全生产法》第三十条规定:"生产经营单位的特种作业人员必须按照国家有关规定经专门的安全作业培训,取得相应资格,方可上岗作业。"</w:t>
      </w:r>
    </w:p>
    <w:p w14:paraId="151A8457">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7</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作业现场周边有其他企业人员来往，可能由于管理不到位，导致车辆伤害、机械伤害、触电等事故。</w:t>
      </w:r>
    </w:p>
    <w:p w14:paraId="06711864">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465" w:name="_Toc313453510"/>
      <w:bookmarkStart w:id="466" w:name="_Toc26397"/>
      <w:bookmarkStart w:id="467" w:name="_Toc30001405"/>
      <w:bookmarkStart w:id="468" w:name="_Toc20876"/>
      <w:bookmarkStart w:id="469" w:name="_Toc61474428"/>
      <w:bookmarkStart w:id="470" w:name="_Toc331963311"/>
      <w:bookmarkStart w:id="471" w:name="_Toc20313"/>
      <w:r>
        <w:rPr>
          <w:rFonts w:hint="eastAsia" w:ascii="宋体" w:hAnsi="宋体" w:eastAsia="宋体" w:cs="宋体"/>
          <w:color w:val="000000" w:themeColor="text1"/>
          <w:lang w:val="en-US" w:eastAsia="zh-CN"/>
          <w14:textFill>
            <w14:solidFill>
              <w14:schemeClr w14:val="tx1"/>
            </w14:solidFill>
          </w14:textFill>
        </w:rPr>
        <w:t>3.9.3事故应急方面危险性分析</w:t>
      </w:r>
      <w:bookmarkEnd w:id="465"/>
      <w:bookmarkEnd w:id="466"/>
      <w:bookmarkEnd w:id="467"/>
      <w:bookmarkEnd w:id="468"/>
      <w:bookmarkEnd w:id="469"/>
      <w:bookmarkEnd w:id="470"/>
      <w:bookmarkEnd w:id="471"/>
    </w:p>
    <w:p w14:paraId="03C91671">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事故应急是针对可能发生的重大事故，为保证迅速、有效、有序地开展应急救援行动，以便预防、降低事故损失，可能因为事故应急措施不当等引发事故，其主要原因有：</w:t>
      </w:r>
    </w:p>
    <w:p w14:paraId="49D571C5">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1</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企业未编制生产安全事故应急预案，或编制的预案未按照相关要求邀请相关专家组织评审、备案，内容不满足《生产经营单位生产安全事故应急预案编制导则》（GB/T 29639-2020）内容要求；</w:t>
      </w:r>
    </w:p>
    <w:p w14:paraId="1E3C3446">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2</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应急救援时未按照事故应急原则进行处置；</w:t>
      </w:r>
    </w:p>
    <w:p w14:paraId="02826741">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3</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救援人员不服从指挥；</w:t>
      </w:r>
    </w:p>
    <w:p w14:paraId="54FE304C">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4</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事故判断不准确，导致采取的应急救援行动和战术决策不准确；</w:t>
      </w:r>
    </w:p>
    <w:p w14:paraId="0A39541E">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5</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未能配备足够、有效的应急救援物资或物资维护保养不力失效；</w:t>
      </w:r>
    </w:p>
    <w:p w14:paraId="74E1E658">
      <w:pPr>
        <w:adjustRightInd w:val="0"/>
        <w:snapToGrid w:val="0"/>
        <w:spacing w:line="500" w:lineRule="exact"/>
        <w:ind w:firstLine="560" w:firstLineChars="20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6</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未能按规定对应急预案进行定期演练，未进行定期修订或预案可操作性不强。</w:t>
      </w:r>
    </w:p>
    <w:p w14:paraId="5DB3152E">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472" w:name="_Toc30001423"/>
      <w:bookmarkStart w:id="473" w:name="_Toc12699"/>
      <w:bookmarkStart w:id="474" w:name="_Toc61474446"/>
      <w:bookmarkStart w:id="475" w:name="_Toc4761"/>
      <w:r>
        <w:rPr>
          <w:rFonts w:hint="eastAsia" w:ascii="宋体" w:hAnsi="宋体" w:eastAsia="宋体" w:cs="宋体"/>
          <w:color w:val="000000" w:themeColor="text1"/>
          <w14:textFill>
            <w14:solidFill>
              <w14:schemeClr w14:val="tx1"/>
            </w14:solidFill>
          </w14:textFill>
        </w:rPr>
        <w:t>3.10重大危险源辨识</w:t>
      </w:r>
      <w:bookmarkEnd w:id="455"/>
      <w:bookmarkEnd w:id="456"/>
      <w:bookmarkEnd w:id="457"/>
      <w:bookmarkEnd w:id="472"/>
      <w:bookmarkEnd w:id="473"/>
      <w:bookmarkEnd w:id="474"/>
      <w:bookmarkEnd w:id="475"/>
    </w:p>
    <w:p w14:paraId="5B00F2D0">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476" w:name="_Toc24138"/>
      <w:bookmarkStart w:id="477" w:name="_Toc121910244"/>
      <w:bookmarkStart w:id="478" w:name="_Toc172021604"/>
      <w:bookmarkStart w:id="479" w:name="_Toc61474447"/>
      <w:bookmarkStart w:id="480" w:name="_Toc23947"/>
      <w:bookmarkStart w:id="481" w:name="_Toc30001424"/>
      <w:bookmarkStart w:id="482" w:name="_Toc28580"/>
      <w:r>
        <w:rPr>
          <w:rFonts w:hint="eastAsia" w:ascii="宋体" w:hAnsi="宋体" w:eastAsia="宋体" w:cs="宋体"/>
          <w:color w:val="000000" w:themeColor="text1"/>
          <w:lang w:val="en-US" w:eastAsia="zh-CN"/>
          <w14:textFill>
            <w14:solidFill>
              <w14:schemeClr w14:val="tx1"/>
            </w14:solidFill>
          </w14:textFill>
        </w:rPr>
        <w:t>3.10.1方法介绍</w:t>
      </w:r>
      <w:bookmarkEnd w:id="476"/>
      <w:bookmarkEnd w:id="477"/>
      <w:bookmarkEnd w:id="478"/>
      <w:bookmarkEnd w:id="479"/>
      <w:bookmarkEnd w:id="480"/>
      <w:bookmarkEnd w:id="481"/>
      <w:bookmarkEnd w:id="482"/>
    </w:p>
    <w:p w14:paraId="196B8A69">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危险化学品重大危险源是指“长期地或临时地生产、储存、使用和经营危险化学品，且危险化学品的数量等于或超过临界量的单元。”。</w:t>
      </w:r>
    </w:p>
    <w:p w14:paraId="621E755C">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注：1）危险化学品——具有毒害、腐蚀爆炸、燃烧、助燃等性质，对人体、设施、环境具有危害的剧毒化学品和其他化学品。</w:t>
      </w:r>
    </w:p>
    <w:p w14:paraId="78DB7FE4">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2）临界量——某种或某类危险化学品构成重大危险源所规定的最小数量。</w:t>
      </w:r>
    </w:p>
    <w:p w14:paraId="1BE3C5B4">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3）生产单元——危险化学品的生产、加工及使用等的装置及设施,当装置及设施之间有切断阀时，以切断阀作为分隔界限划分为独立的单元。</w:t>
      </w:r>
    </w:p>
    <w:p w14:paraId="2A1F51F7">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4）储存单元——用于储存危险化学品的储罐或仓库组成的相对独立的区域,</w:t>
      </w:r>
      <w:r>
        <w:rPr>
          <w:rFonts w:hint="eastAsia" w:ascii="宋体" w:hAnsi="宋体" w:eastAsia="宋体" w:cs="宋体"/>
          <w:color w:val="000000" w:themeColor="text1"/>
          <w:sz w:val="28"/>
          <w:szCs w:val="28"/>
          <w:lang w:val="en-US" w:eastAsia="zh-CN"/>
          <w14:textFill>
            <w14:solidFill>
              <w14:schemeClr w14:val="tx1"/>
            </w14:solidFill>
          </w14:textFill>
        </w:rPr>
        <w:t>储</w:t>
      </w:r>
      <w:r>
        <w:rPr>
          <w:rFonts w:hint="eastAsia" w:ascii="宋体" w:hAnsi="宋体" w:eastAsia="宋体" w:cs="宋体"/>
          <w:color w:val="000000" w:themeColor="text1"/>
          <w:sz w:val="28"/>
          <w:szCs w:val="28"/>
          <w14:textFill>
            <w14:solidFill>
              <w14:schemeClr w14:val="tx1"/>
            </w14:solidFill>
          </w14:textFill>
        </w:rPr>
        <w:t>罐区以罐区防火堤为界限划分为独立的单元，仓库以独立库房（独立建筑物）为界限划分为独立的单元。</w:t>
      </w:r>
    </w:p>
    <w:p w14:paraId="568F1F12">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按照《危险化学品重大危险源辨识》（GB18218-2018）规定，危险化学品重大危险源是指长期地或临时地生产、储存、使用或经营危险化学品，且危险化学品的数量等于或超过临界量的单元。</w:t>
      </w:r>
    </w:p>
    <w:p w14:paraId="63EDF4F5">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生产单元、储存单元内存在危险化学品的数量等于或超过规定的临界量，即被定为重大危险源。单元内存在的危险化学品的数量根据危险化学品种类的多少区分为以下两种情况：</w:t>
      </w:r>
    </w:p>
    <w:p w14:paraId="662C58AF">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1）生产单元、储存单元内存在的危险化学品为单一品种时，该危险化学品的数量即为单元内危险化学品的总量，若等于或超过相应的临界量，则定为重大危险源。</w:t>
      </w:r>
    </w:p>
    <w:p w14:paraId="6A40F7FA">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2）生产单元、储存单元内存在的危险化学品为多品种时，按式（1）计算，若满足式（1），则定为重大危险源：</w:t>
      </w:r>
    </w:p>
    <w:p w14:paraId="0B15D9FD">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S=q1/Q1+q2/Q2+……+qn/Qn≥1   ……………………（1）        </w:t>
      </w:r>
    </w:p>
    <w:p w14:paraId="1452192D">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式中：S ——辨识指标；</w:t>
      </w:r>
    </w:p>
    <w:p w14:paraId="30A687FF">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q1，q2……qn——每种危险化学品的实际存在量，单位为吨（t）；</w:t>
      </w:r>
    </w:p>
    <w:p w14:paraId="0AA41600">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Q1，Q2……Qn——与每种危险化学品相对应的临界量，单位为吨。</w:t>
      </w:r>
    </w:p>
    <w:p w14:paraId="3761CCA1">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483" w:name="_Toc172021605"/>
      <w:bookmarkStart w:id="484" w:name="_Toc121910245"/>
      <w:bookmarkStart w:id="485" w:name="_Toc65029557"/>
      <w:bookmarkStart w:id="486" w:name="_Toc65291067"/>
      <w:bookmarkStart w:id="487" w:name="_Toc30001425"/>
      <w:bookmarkStart w:id="488" w:name="_Toc2271"/>
      <w:bookmarkStart w:id="489" w:name="_Toc61474448"/>
      <w:bookmarkStart w:id="490" w:name="_Toc1879"/>
      <w:bookmarkStart w:id="491" w:name="_Toc25871"/>
      <w:r>
        <w:rPr>
          <w:rFonts w:hint="eastAsia" w:ascii="宋体" w:hAnsi="宋体" w:eastAsia="宋体" w:cs="宋体"/>
          <w:color w:val="000000" w:themeColor="text1"/>
          <w:lang w:val="en-US" w:eastAsia="zh-CN"/>
          <w14:textFill>
            <w14:solidFill>
              <w14:schemeClr w14:val="tx1"/>
            </w14:solidFill>
          </w14:textFill>
        </w:rPr>
        <w:t>3.10.2辨识</w:t>
      </w:r>
      <w:bookmarkEnd w:id="483"/>
      <w:bookmarkEnd w:id="484"/>
      <w:bookmarkEnd w:id="485"/>
      <w:bookmarkEnd w:id="486"/>
      <w:r>
        <w:rPr>
          <w:rFonts w:hint="eastAsia" w:ascii="宋体" w:hAnsi="宋体" w:eastAsia="宋体" w:cs="宋体"/>
          <w:color w:val="000000" w:themeColor="text1"/>
          <w:lang w:val="en-US" w:eastAsia="zh-CN"/>
          <w14:textFill>
            <w14:solidFill>
              <w14:schemeClr w14:val="tx1"/>
            </w14:solidFill>
          </w14:textFill>
        </w:rPr>
        <w:t>过程及结果</w:t>
      </w:r>
      <w:bookmarkEnd w:id="487"/>
      <w:bookmarkEnd w:id="488"/>
      <w:bookmarkEnd w:id="489"/>
      <w:bookmarkEnd w:id="490"/>
      <w:bookmarkEnd w:id="491"/>
    </w:p>
    <w:p w14:paraId="5C72F609">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eastAsia" w:ascii="宋体" w:hAnsi="宋体" w:eastAsia="宋体" w:cs="宋体"/>
          <w:color w:val="000000" w:themeColor="text1"/>
          <w:kern w:val="0"/>
          <w14:textFill>
            <w14:solidFill>
              <w14:schemeClr w14:val="tx1"/>
            </w14:solidFill>
          </w14:textFill>
        </w:rPr>
      </w:pPr>
      <w:bookmarkStart w:id="492" w:name="_Toc360019842"/>
      <w:r>
        <w:rPr>
          <w:rFonts w:hint="eastAsia" w:ascii="宋体" w:hAnsi="宋体" w:eastAsia="宋体" w:cs="宋体"/>
          <w:color w:val="000000" w:themeColor="text1"/>
          <w:kern w:val="0"/>
          <w14:textFill>
            <w14:solidFill>
              <w14:schemeClr w14:val="tx1"/>
            </w14:solidFill>
          </w14:textFill>
        </w:rPr>
        <w:t>3.10.2.1危险化学品重大危险源辨识</w:t>
      </w:r>
      <w:bookmarkEnd w:id="492"/>
    </w:p>
    <w:p w14:paraId="1F5F92F9">
      <w:pPr>
        <w:adjustRightInd w:val="0"/>
        <w:snapToGrid w:val="0"/>
        <w:spacing w:line="500" w:lineRule="exact"/>
        <w:ind w:firstLine="560" w:firstLineChars="200"/>
        <w:contextualSpacing/>
        <w:rPr>
          <w:rFonts w:hint="eastAsia" w:ascii="宋体" w:hAnsi="宋体" w:eastAsia="宋体" w:cs="宋体"/>
          <w:color w:val="000000" w:themeColor="text1"/>
          <w:sz w:val="28"/>
          <w:szCs w:val="28"/>
          <w:lang w:bidi="zh-TW"/>
          <w14:textFill>
            <w14:solidFill>
              <w14:schemeClr w14:val="tx1"/>
            </w14:solidFill>
          </w14:textFill>
        </w:rPr>
      </w:pPr>
      <w:r>
        <w:rPr>
          <w:rFonts w:hint="eastAsia" w:ascii="宋体" w:hAnsi="宋体" w:eastAsia="宋体" w:cs="宋体"/>
          <w:bCs/>
          <w:color w:val="000000" w:themeColor="text1"/>
          <w:sz w:val="28"/>
          <w:szCs w:val="28"/>
          <w:lang w:val="en-US" w:eastAsia="zh-CN"/>
          <w14:textFill>
            <w14:solidFill>
              <w14:schemeClr w14:val="tx1"/>
            </w14:solidFill>
          </w14:textFill>
        </w:rPr>
        <w:t>经辨识，</w:t>
      </w:r>
      <w:r>
        <w:rPr>
          <w:rFonts w:hint="eastAsia" w:ascii="宋体" w:hAnsi="宋体" w:eastAsia="宋体" w:cs="宋体"/>
          <w:bCs/>
          <w:color w:val="000000" w:themeColor="text1"/>
          <w:sz w:val="28"/>
          <w:szCs w:val="28"/>
          <w14:textFill>
            <w14:solidFill>
              <w14:schemeClr w14:val="tx1"/>
            </w14:solidFill>
          </w14:textFill>
        </w:rPr>
        <w:t>本项目</w:t>
      </w:r>
      <w:r>
        <w:rPr>
          <w:rFonts w:hint="eastAsia" w:ascii="宋体" w:hAnsi="宋体" w:eastAsia="宋体" w:cs="宋体"/>
          <w:bCs/>
          <w:color w:val="000000" w:themeColor="text1"/>
          <w:sz w:val="28"/>
          <w:szCs w:val="28"/>
          <w:lang w:val="en-US" w:eastAsia="zh-CN"/>
          <w14:textFill>
            <w14:solidFill>
              <w14:schemeClr w14:val="tx1"/>
            </w14:solidFill>
          </w14:textFill>
        </w:rPr>
        <w:t>未</w:t>
      </w:r>
      <w:r>
        <w:rPr>
          <w:rFonts w:hint="eastAsia" w:ascii="宋体" w:hAnsi="宋体" w:eastAsia="宋体" w:cs="宋体"/>
          <w:bCs/>
          <w:color w:val="000000" w:themeColor="text1"/>
          <w:sz w:val="28"/>
          <w:szCs w:val="28"/>
          <w14:textFill>
            <w14:solidFill>
              <w14:schemeClr w14:val="tx1"/>
            </w14:solidFill>
          </w14:textFill>
        </w:rPr>
        <w:t>涉及</w:t>
      </w:r>
      <w:r>
        <w:rPr>
          <w:rFonts w:hint="eastAsia" w:ascii="宋体" w:hAnsi="宋体" w:eastAsia="宋体" w:cs="宋体"/>
          <w:bCs/>
          <w:color w:val="000000" w:themeColor="text1"/>
          <w:sz w:val="28"/>
          <w:szCs w:val="28"/>
          <w:lang w:val="en-US" w:eastAsia="zh-CN"/>
          <w14:textFill>
            <w14:solidFill>
              <w14:schemeClr w14:val="tx1"/>
            </w14:solidFill>
          </w14:textFill>
        </w:rPr>
        <w:t>使用危险</w:t>
      </w:r>
      <w:r>
        <w:rPr>
          <w:rFonts w:hint="eastAsia" w:ascii="宋体" w:hAnsi="宋体" w:eastAsia="宋体" w:cs="宋体"/>
          <w:bCs/>
          <w:color w:val="000000" w:themeColor="text1"/>
          <w:sz w:val="28"/>
          <w:szCs w:val="28"/>
          <w14:textFill>
            <w14:solidFill>
              <w14:schemeClr w14:val="tx1"/>
            </w14:solidFill>
          </w14:textFill>
        </w:rPr>
        <w:t>化学品</w:t>
      </w:r>
      <w:r>
        <w:rPr>
          <w:rFonts w:hint="eastAsia" w:ascii="宋体" w:hAnsi="宋体" w:eastAsia="宋体" w:cs="宋体"/>
          <w:bCs/>
          <w:color w:val="000000" w:themeColor="text1"/>
          <w:sz w:val="28"/>
          <w:szCs w:val="28"/>
          <w:lang w:eastAsia="zh-CN"/>
          <w14:textFill>
            <w14:solidFill>
              <w14:schemeClr w14:val="tx1"/>
            </w14:solidFill>
          </w14:textFill>
        </w:rPr>
        <w:t>。</w:t>
      </w:r>
    </w:p>
    <w:p w14:paraId="4CE92AD7">
      <w:pPr>
        <w:pStyle w:val="6"/>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eastAsia" w:ascii="宋体" w:hAnsi="宋体" w:eastAsia="宋体" w:cs="宋体"/>
          <w:color w:val="000000" w:themeColor="text1"/>
          <w:kern w:val="0"/>
          <w14:textFill>
            <w14:solidFill>
              <w14:schemeClr w14:val="tx1"/>
            </w14:solidFill>
          </w14:textFill>
        </w:rPr>
      </w:pPr>
      <w:bookmarkStart w:id="493" w:name="_Toc360019845"/>
      <w:r>
        <w:rPr>
          <w:rFonts w:hint="eastAsia" w:ascii="宋体" w:hAnsi="宋体" w:eastAsia="宋体" w:cs="宋体"/>
          <w:color w:val="000000" w:themeColor="text1"/>
          <w:kern w:val="0"/>
          <w14:textFill>
            <w14:solidFill>
              <w14:schemeClr w14:val="tx1"/>
            </w14:solidFill>
          </w14:textFill>
        </w:rPr>
        <w:t>3.10.2.2重大危险源辨识</w:t>
      </w:r>
      <w:bookmarkEnd w:id="493"/>
      <w:r>
        <w:rPr>
          <w:rFonts w:hint="eastAsia" w:ascii="宋体" w:hAnsi="宋体" w:eastAsia="宋体" w:cs="宋体"/>
          <w:color w:val="000000" w:themeColor="text1"/>
          <w:kern w:val="0"/>
          <w14:textFill>
            <w14:solidFill>
              <w14:schemeClr w14:val="tx1"/>
            </w14:solidFill>
          </w14:textFill>
        </w:rPr>
        <w:t>结论</w:t>
      </w:r>
    </w:p>
    <w:p w14:paraId="79D20063">
      <w:pPr>
        <w:adjustRightInd w:val="0"/>
        <w:snapToGrid w:val="0"/>
        <w:spacing w:line="500" w:lineRule="exact"/>
        <w:ind w:firstLine="560" w:firstLineChars="20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根据《危险化学品重大危险源辨识》（</w:t>
      </w:r>
      <w:r>
        <w:rPr>
          <w:rFonts w:hint="eastAsia" w:ascii="宋体" w:hAnsi="宋体" w:eastAsia="宋体" w:cs="宋体"/>
          <w:color w:val="000000" w:themeColor="text1"/>
          <w:sz w:val="28"/>
          <w:szCs w:val="28"/>
          <w14:textFill>
            <w14:solidFill>
              <w14:schemeClr w14:val="tx1"/>
            </w14:solidFill>
          </w14:textFill>
        </w:rPr>
        <w:t>GB 18218-2018），</w:t>
      </w:r>
      <w:r>
        <w:rPr>
          <w:rFonts w:hint="eastAsia" w:ascii="宋体" w:hAnsi="宋体" w:eastAsia="宋体" w:cs="宋体"/>
          <w:color w:val="000000" w:themeColor="text1"/>
          <w:sz w:val="28"/>
          <w:szCs w:val="28"/>
          <w:lang w:eastAsia="zh-CN"/>
          <w14:textFill>
            <w14:solidFill>
              <w14:schemeClr w14:val="tx1"/>
            </w14:solidFill>
          </w14:textFill>
        </w:rPr>
        <w:t>玉溪市明哲数控科技有限公司</w:t>
      </w:r>
      <w:r>
        <w:rPr>
          <w:rFonts w:hint="eastAsia" w:ascii="宋体" w:hAnsi="宋体" w:eastAsia="宋体" w:cs="宋体"/>
          <w:color w:val="000000" w:themeColor="text1"/>
          <w:sz w:val="28"/>
          <w:szCs w:val="28"/>
          <w:lang w:val="en-US" w:eastAsia="zh-CN"/>
          <w14:textFill>
            <w14:solidFill>
              <w14:schemeClr w14:val="tx1"/>
            </w14:solidFill>
          </w14:textFill>
        </w:rPr>
        <w:t>安全现状评价</w:t>
      </w:r>
      <w:r>
        <w:rPr>
          <w:rFonts w:hint="eastAsia" w:ascii="宋体" w:hAnsi="宋体" w:eastAsia="宋体" w:cs="宋体"/>
          <w:color w:val="000000" w:themeColor="text1"/>
          <w:sz w:val="28"/>
          <w:szCs w:val="28"/>
          <w:lang w:eastAsia="zh-CN"/>
          <w14:textFill>
            <w14:solidFill>
              <w14:schemeClr w14:val="tx1"/>
            </w14:solidFill>
          </w14:textFill>
        </w:rPr>
        <w:t>项目</w:t>
      </w:r>
      <w:r>
        <w:rPr>
          <w:rFonts w:hint="eastAsia" w:ascii="宋体" w:hAnsi="宋体" w:eastAsia="宋体" w:cs="宋体"/>
          <w:color w:val="000000" w:themeColor="text1"/>
          <w:sz w:val="28"/>
          <w:szCs w:val="28"/>
          <w:lang w:val="en-US" w:eastAsia="zh-CN"/>
          <w14:textFill>
            <w14:solidFill>
              <w14:schemeClr w14:val="tx1"/>
            </w14:solidFill>
          </w14:textFill>
        </w:rPr>
        <w:t>未</w:t>
      </w:r>
      <w:r>
        <w:rPr>
          <w:rFonts w:hint="eastAsia" w:ascii="宋体" w:hAnsi="宋体" w:eastAsia="宋体" w:cs="宋体"/>
          <w:color w:val="000000" w:themeColor="text1"/>
          <w:sz w:val="28"/>
          <w:szCs w:val="28"/>
          <w14:textFill>
            <w14:solidFill>
              <w14:schemeClr w14:val="tx1"/>
            </w14:solidFill>
          </w14:textFill>
        </w:rPr>
        <w:t>涉及</w:t>
      </w:r>
      <w:r>
        <w:rPr>
          <w:rFonts w:hint="eastAsia" w:ascii="宋体" w:hAnsi="宋体" w:eastAsia="宋体" w:cs="宋体"/>
          <w:color w:val="000000" w:themeColor="text1"/>
          <w:sz w:val="28"/>
          <w:szCs w:val="28"/>
          <w:lang w:val="en-US" w:eastAsia="zh-CN"/>
          <w14:textFill>
            <w14:solidFill>
              <w14:schemeClr w14:val="tx1"/>
            </w14:solidFill>
          </w14:textFill>
        </w:rPr>
        <w:t>使用</w:t>
      </w:r>
      <w:r>
        <w:rPr>
          <w:rFonts w:hint="eastAsia" w:ascii="宋体" w:hAnsi="宋体" w:eastAsia="宋体" w:cs="宋体"/>
          <w:color w:val="000000" w:themeColor="text1"/>
          <w:sz w:val="28"/>
          <w14:textFill>
            <w14:solidFill>
              <w14:schemeClr w14:val="tx1"/>
            </w14:solidFill>
          </w14:textFill>
        </w:rPr>
        <w:t>危险化学品</w:t>
      </w:r>
      <w:r>
        <w:rPr>
          <w:rFonts w:hint="eastAsia" w:ascii="宋体" w:hAnsi="宋体" w:eastAsia="宋体" w:cs="宋体"/>
          <w:color w:val="000000" w:themeColor="text1"/>
          <w:sz w:val="28"/>
          <w:lang w:eastAsia="zh-CN"/>
          <w14:textFill>
            <w14:solidFill>
              <w14:schemeClr w14:val="tx1"/>
            </w14:solidFill>
          </w14:textFill>
        </w:rPr>
        <w:t>，</w:t>
      </w:r>
      <w:r>
        <w:rPr>
          <w:rFonts w:hint="eastAsia" w:ascii="宋体" w:hAnsi="宋体" w:eastAsia="宋体" w:cs="宋体"/>
          <w:color w:val="000000" w:themeColor="text1"/>
          <w:sz w:val="28"/>
          <w:lang w:val="en-US" w:eastAsia="zh-CN"/>
          <w14:textFill>
            <w14:solidFill>
              <w14:schemeClr w14:val="tx1"/>
            </w14:solidFill>
          </w14:textFill>
        </w:rPr>
        <w:t>故</w:t>
      </w:r>
      <w:r>
        <w:rPr>
          <w:rFonts w:hint="eastAsia" w:ascii="宋体" w:hAnsi="宋体" w:eastAsia="宋体" w:cs="宋体"/>
          <w:color w:val="000000" w:themeColor="text1"/>
          <w:sz w:val="28"/>
          <w:szCs w:val="28"/>
          <w14:textFill>
            <w14:solidFill>
              <w14:schemeClr w14:val="tx1"/>
            </w14:solidFill>
          </w14:textFill>
        </w:rPr>
        <w:t>不构成危险化学品重大危险源</w:t>
      </w:r>
      <w:r>
        <w:rPr>
          <w:rFonts w:hint="eastAsia" w:ascii="宋体" w:hAnsi="宋体" w:eastAsia="宋体" w:cs="宋体"/>
          <w:snapToGrid w:val="0"/>
          <w:color w:val="000000" w:themeColor="text1"/>
          <w:kern w:val="0"/>
          <w:sz w:val="28"/>
          <w:szCs w:val="28"/>
          <w14:textFill>
            <w14:solidFill>
              <w14:schemeClr w14:val="tx1"/>
            </w14:solidFill>
          </w14:textFill>
        </w:rPr>
        <w:t>。</w:t>
      </w:r>
    </w:p>
    <w:p w14:paraId="652E35CA">
      <w:pPr>
        <w:pStyle w:val="360"/>
        <w:rPr>
          <w:rFonts w:hint="eastAsia" w:ascii="宋体" w:hAnsi="宋体" w:eastAsia="宋体" w:cs="宋体"/>
          <w:snapToGrid w:val="0"/>
          <w:color w:val="000000" w:themeColor="text1"/>
          <w:kern w:val="0"/>
          <w:sz w:val="28"/>
          <w:szCs w:val="28"/>
          <w14:textFill>
            <w14:solidFill>
              <w14:schemeClr w14:val="tx1"/>
            </w14:solidFill>
          </w14:textFill>
        </w:rPr>
      </w:pPr>
    </w:p>
    <w:p w14:paraId="62DB6746">
      <w:pPr>
        <w:pStyle w:val="360"/>
        <w:rPr>
          <w:rFonts w:hint="eastAsia" w:ascii="宋体" w:hAnsi="宋体" w:eastAsia="宋体" w:cs="宋体"/>
          <w:snapToGrid w:val="0"/>
          <w:color w:val="000000" w:themeColor="text1"/>
          <w:kern w:val="0"/>
          <w:sz w:val="28"/>
          <w:szCs w:val="28"/>
          <w14:textFill>
            <w14:solidFill>
              <w14:schemeClr w14:val="tx1"/>
            </w14:solidFill>
          </w14:textFill>
        </w:rPr>
      </w:pPr>
    </w:p>
    <w:p w14:paraId="75AA654D">
      <w:pPr>
        <w:pStyle w:val="360"/>
        <w:rPr>
          <w:rFonts w:hint="eastAsia" w:ascii="宋体" w:hAnsi="宋体" w:eastAsia="宋体" w:cs="宋体"/>
          <w:snapToGrid w:val="0"/>
          <w:color w:val="000000" w:themeColor="text1"/>
          <w:kern w:val="0"/>
          <w:sz w:val="28"/>
          <w:szCs w:val="28"/>
          <w14:textFill>
            <w14:solidFill>
              <w14:schemeClr w14:val="tx1"/>
            </w14:solidFill>
          </w14:textFill>
        </w:rPr>
      </w:pPr>
    </w:p>
    <w:p w14:paraId="728276B5">
      <w:pPr>
        <w:pStyle w:val="360"/>
        <w:rPr>
          <w:rFonts w:hint="eastAsia" w:ascii="宋体" w:hAnsi="宋体" w:eastAsia="宋体" w:cs="宋体"/>
          <w:snapToGrid w:val="0"/>
          <w:color w:val="000000" w:themeColor="text1"/>
          <w:kern w:val="0"/>
          <w:sz w:val="28"/>
          <w:szCs w:val="28"/>
          <w14:textFill>
            <w14:solidFill>
              <w14:schemeClr w14:val="tx1"/>
            </w14:solidFill>
          </w14:textFill>
        </w:rPr>
      </w:pPr>
    </w:p>
    <w:p w14:paraId="0EEC2DE1">
      <w:pPr>
        <w:pStyle w:val="360"/>
        <w:rPr>
          <w:rFonts w:hint="eastAsia" w:ascii="宋体" w:hAnsi="宋体" w:eastAsia="宋体" w:cs="宋体"/>
          <w:snapToGrid w:val="0"/>
          <w:color w:val="000000" w:themeColor="text1"/>
          <w:kern w:val="0"/>
          <w:sz w:val="28"/>
          <w:szCs w:val="28"/>
          <w14:textFill>
            <w14:solidFill>
              <w14:schemeClr w14:val="tx1"/>
            </w14:solidFill>
          </w14:textFill>
        </w:rPr>
      </w:pPr>
    </w:p>
    <w:p w14:paraId="0D2463C7">
      <w:pPr>
        <w:pStyle w:val="360"/>
        <w:rPr>
          <w:rFonts w:hint="eastAsia" w:ascii="宋体" w:hAnsi="宋体" w:eastAsia="宋体" w:cs="宋体"/>
          <w:snapToGrid w:val="0"/>
          <w:color w:val="000000" w:themeColor="text1"/>
          <w:kern w:val="0"/>
          <w:sz w:val="28"/>
          <w:szCs w:val="28"/>
          <w14:textFill>
            <w14:solidFill>
              <w14:schemeClr w14:val="tx1"/>
            </w14:solidFill>
          </w14:textFill>
        </w:rPr>
      </w:pPr>
    </w:p>
    <w:p w14:paraId="287E90A8">
      <w:pPr>
        <w:pStyle w:val="360"/>
        <w:rPr>
          <w:rFonts w:hint="eastAsia" w:ascii="宋体" w:hAnsi="宋体" w:eastAsia="宋体" w:cs="宋体"/>
          <w:snapToGrid w:val="0"/>
          <w:color w:val="000000" w:themeColor="text1"/>
          <w:kern w:val="0"/>
          <w:sz w:val="28"/>
          <w:szCs w:val="28"/>
          <w14:textFill>
            <w14:solidFill>
              <w14:schemeClr w14:val="tx1"/>
            </w14:solidFill>
          </w14:textFill>
        </w:rPr>
      </w:pPr>
    </w:p>
    <w:p w14:paraId="0AA64AE3">
      <w:pPr>
        <w:pStyle w:val="360"/>
        <w:rPr>
          <w:rFonts w:hint="eastAsia" w:ascii="宋体" w:hAnsi="宋体" w:eastAsia="宋体" w:cs="宋体"/>
          <w:snapToGrid w:val="0"/>
          <w:color w:val="000000" w:themeColor="text1"/>
          <w:kern w:val="0"/>
          <w:sz w:val="28"/>
          <w:szCs w:val="28"/>
          <w14:textFill>
            <w14:solidFill>
              <w14:schemeClr w14:val="tx1"/>
            </w14:solidFill>
          </w14:textFill>
        </w:rPr>
      </w:pPr>
    </w:p>
    <w:p w14:paraId="40C34E5A">
      <w:pPr>
        <w:pStyle w:val="360"/>
        <w:rPr>
          <w:rFonts w:hint="eastAsia" w:ascii="宋体" w:hAnsi="宋体" w:eastAsia="宋体" w:cs="宋体"/>
          <w:snapToGrid w:val="0"/>
          <w:color w:val="000000" w:themeColor="text1"/>
          <w:kern w:val="0"/>
          <w:sz w:val="28"/>
          <w:szCs w:val="28"/>
          <w14:textFill>
            <w14:solidFill>
              <w14:schemeClr w14:val="tx1"/>
            </w14:solidFill>
          </w14:textFill>
        </w:rPr>
      </w:pPr>
    </w:p>
    <w:p w14:paraId="0B15DF0B">
      <w:pPr>
        <w:pStyle w:val="360"/>
        <w:rPr>
          <w:rFonts w:hint="eastAsia" w:ascii="宋体" w:hAnsi="宋体" w:eastAsia="宋体" w:cs="宋体"/>
          <w:snapToGrid w:val="0"/>
          <w:color w:val="000000" w:themeColor="text1"/>
          <w:kern w:val="0"/>
          <w:sz w:val="28"/>
          <w:szCs w:val="28"/>
          <w14:textFill>
            <w14:solidFill>
              <w14:schemeClr w14:val="tx1"/>
            </w14:solidFill>
          </w14:textFill>
        </w:rPr>
      </w:pPr>
    </w:p>
    <w:p w14:paraId="1D61C26C">
      <w:pPr>
        <w:pStyle w:val="360"/>
        <w:rPr>
          <w:rFonts w:hint="eastAsia" w:ascii="宋体" w:hAnsi="宋体" w:eastAsia="宋体" w:cs="宋体"/>
          <w:snapToGrid w:val="0"/>
          <w:color w:val="000000" w:themeColor="text1"/>
          <w:kern w:val="0"/>
          <w:sz w:val="28"/>
          <w:szCs w:val="28"/>
          <w14:textFill>
            <w14:solidFill>
              <w14:schemeClr w14:val="tx1"/>
            </w14:solidFill>
          </w14:textFill>
        </w:rPr>
      </w:pPr>
    </w:p>
    <w:p w14:paraId="31300CA4">
      <w:pPr>
        <w:pStyle w:val="360"/>
        <w:rPr>
          <w:rFonts w:hint="eastAsia" w:ascii="宋体" w:hAnsi="宋体" w:eastAsia="宋体" w:cs="宋体"/>
          <w:snapToGrid w:val="0"/>
          <w:color w:val="000000" w:themeColor="text1"/>
          <w:kern w:val="0"/>
          <w:sz w:val="28"/>
          <w:szCs w:val="28"/>
          <w14:textFill>
            <w14:solidFill>
              <w14:schemeClr w14:val="tx1"/>
            </w14:solidFill>
          </w14:textFill>
        </w:rPr>
      </w:pPr>
    </w:p>
    <w:p w14:paraId="64CB522A">
      <w:pPr>
        <w:pStyle w:val="360"/>
        <w:rPr>
          <w:rFonts w:hint="eastAsia" w:ascii="宋体" w:hAnsi="宋体" w:eastAsia="宋体" w:cs="宋体"/>
          <w:snapToGrid w:val="0"/>
          <w:color w:val="000000" w:themeColor="text1"/>
          <w:kern w:val="0"/>
          <w:sz w:val="28"/>
          <w:szCs w:val="28"/>
          <w14:textFill>
            <w14:solidFill>
              <w14:schemeClr w14:val="tx1"/>
            </w14:solidFill>
          </w14:textFill>
        </w:rPr>
      </w:pPr>
    </w:p>
    <w:p w14:paraId="515EA573">
      <w:pPr>
        <w:pStyle w:val="360"/>
        <w:rPr>
          <w:rFonts w:hint="eastAsia" w:ascii="宋体" w:hAnsi="宋体" w:eastAsia="宋体" w:cs="宋体"/>
          <w:snapToGrid w:val="0"/>
          <w:color w:val="000000" w:themeColor="text1"/>
          <w:kern w:val="0"/>
          <w:sz w:val="28"/>
          <w:szCs w:val="28"/>
          <w14:textFill>
            <w14:solidFill>
              <w14:schemeClr w14:val="tx1"/>
            </w14:solidFill>
          </w14:textFill>
        </w:rPr>
      </w:pPr>
    </w:p>
    <w:p w14:paraId="41CE1887">
      <w:pPr>
        <w:pStyle w:val="360"/>
        <w:ind w:left="0" w:leftChars="0" w:firstLine="0" w:firstLineChars="0"/>
        <w:rPr>
          <w:rFonts w:hint="eastAsia" w:ascii="宋体" w:hAnsi="宋体" w:eastAsia="宋体" w:cs="宋体"/>
          <w:snapToGrid w:val="0"/>
          <w:color w:val="000000" w:themeColor="text1"/>
          <w:kern w:val="0"/>
          <w:sz w:val="28"/>
          <w:szCs w:val="28"/>
          <w14:textFill>
            <w14:solidFill>
              <w14:schemeClr w14:val="tx1"/>
            </w14:solidFill>
          </w14:textFill>
        </w:rPr>
      </w:pPr>
    </w:p>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361"/>
    <w:bookmarkEnd w:id="362"/>
    <w:bookmarkEnd w:id="363"/>
    <w:bookmarkEnd w:id="364"/>
    <w:p w14:paraId="173AAA62">
      <w:pPr>
        <w:pStyle w:val="3"/>
        <w:keepNext/>
        <w:keepLines/>
        <w:pageBreakBefore w:val="0"/>
        <w:widowControl w:val="0"/>
        <w:kinsoku/>
        <w:wordWrap/>
        <w:overflowPunct/>
        <w:topLinePunct w:val="0"/>
        <w:autoSpaceDE/>
        <w:autoSpaceDN/>
        <w:bidi w:val="0"/>
        <w:adjustRightInd/>
        <w:snapToGrid w:val="0"/>
        <w:spacing w:before="100" w:beforeAutospacing="1" w:after="100" w:afterAutospacing="1"/>
        <w:textAlignment w:val="auto"/>
        <w:rPr>
          <w:rFonts w:hint="eastAsia" w:ascii="宋体" w:hAnsi="宋体" w:eastAsia="宋体" w:cs="宋体"/>
          <w:color w:val="000000" w:themeColor="text1"/>
          <w14:textFill>
            <w14:solidFill>
              <w14:schemeClr w14:val="tx1"/>
            </w14:solidFill>
          </w14:textFill>
        </w:rPr>
      </w:pPr>
      <w:bookmarkStart w:id="494" w:name="_Toc9226"/>
      <w:bookmarkStart w:id="495" w:name="_Toc1699"/>
      <w:bookmarkStart w:id="496" w:name="_Toc19234"/>
      <w:bookmarkStart w:id="497" w:name="_Toc7256"/>
      <w:r>
        <w:rPr>
          <w:rFonts w:hint="eastAsia" w:ascii="宋体" w:hAnsi="宋体" w:eastAsia="宋体" w:cs="宋体"/>
          <w:color w:val="000000" w:themeColor="text1"/>
          <w14:textFill>
            <w14:solidFill>
              <w14:schemeClr w14:val="tx1"/>
            </w14:solidFill>
          </w14:textFill>
        </w:rPr>
        <w:t>第4章  评价单元划分及评价方法选择</w:t>
      </w:r>
      <w:bookmarkEnd w:id="494"/>
      <w:bookmarkEnd w:id="495"/>
      <w:bookmarkEnd w:id="496"/>
      <w:bookmarkEnd w:id="497"/>
    </w:p>
    <w:p w14:paraId="26A1EEB4">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498" w:name="_Toc231978505"/>
      <w:bookmarkStart w:id="499" w:name="_Toc30933"/>
      <w:bookmarkStart w:id="500" w:name="_Toc195156252"/>
      <w:bookmarkStart w:id="501" w:name="_Toc233668306"/>
      <w:bookmarkStart w:id="502" w:name="_Toc213410604"/>
      <w:bookmarkStart w:id="503" w:name="_Toc207527407"/>
      <w:bookmarkStart w:id="504" w:name="_Toc5393"/>
      <w:bookmarkStart w:id="505" w:name="_Toc212043609"/>
      <w:bookmarkStart w:id="506" w:name="_Toc5033"/>
      <w:bookmarkStart w:id="507" w:name="_Toc4065"/>
      <w:bookmarkStart w:id="508" w:name="_Toc14224"/>
      <w:bookmarkStart w:id="509" w:name="_Toc13276"/>
      <w:bookmarkStart w:id="510" w:name="_Toc14423"/>
      <w:bookmarkStart w:id="511" w:name="_Toc335926256"/>
      <w:bookmarkStart w:id="512" w:name="_Toc313453581"/>
      <w:bookmarkStart w:id="513" w:name="_Toc13141"/>
      <w:bookmarkStart w:id="514" w:name="_Toc32119"/>
      <w:bookmarkStart w:id="515" w:name="_Toc10765"/>
      <w:r>
        <w:rPr>
          <w:rFonts w:hint="eastAsia" w:ascii="宋体" w:hAnsi="宋体" w:eastAsia="宋体" w:cs="宋体"/>
          <w:color w:val="000000" w:themeColor="text1"/>
          <w14:textFill>
            <w14:solidFill>
              <w14:schemeClr w14:val="tx1"/>
            </w14:solidFill>
          </w14:textFill>
        </w:rPr>
        <w:t>4.1</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安全评价单元划分</w:t>
      </w:r>
      <w:bookmarkEnd w:id="498"/>
      <w:bookmarkEnd w:id="499"/>
      <w:bookmarkEnd w:id="500"/>
      <w:bookmarkEnd w:id="501"/>
      <w:bookmarkEnd w:id="502"/>
      <w:bookmarkEnd w:id="503"/>
      <w:bookmarkEnd w:id="504"/>
      <w:bookmarkEnd w:id="505"/>
      <w:bookmarkEnd w:id="506"/>
      <w:bookmarkEnd w:id="507"/>
      <w:bookmarkEnd w:id="508"/>
      <w:bookmarkEnd w:id="509"/>
      <w:bookmarkEnd w:id="510"/>
    </w:p>
    <w:p w14:paraId="37E7188C">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516" w:name="_Toc3603"/>
      <w:bookmarkStart w:id="517" w:name="_Toc8884"/>
      <w:bookmarkStart w:id="518" w:name="_Toc28570"/>
      <w:bookmarkStart w:id="519" w:name="_Toc28774"/>
      <w:bookmarkStart w:id="520" w:name="_Toc233668307"/>
      <w:bookmarkStart w:id="521" w:name="_Toc187699915"/>
      <w:bookmarkStart w:id="522" w:name="_Toc30637"/>
      <w:bookmarkStart w:id="523" w:name="_Toc231978506"/>
      <w:bookmarkStart w:id="524" w:name="_Toc207527408"/>
      <w:bookmarkStart w:id="525" w:name="_Toc213410605"/>
      <w:bookmarkStart w:id="526" w:name="_Toc188863910"/>
      <w:bookmarkStart w:id="527" w:name="_Toc17788"/>
      <w:r>
        <w:rPr>
          <w:rFonts w:hint="eastAsia" w:ascii="宋体" w:hAnsi="宋体" w:eastAsia="宋体" w:cs="宋体"/>
          <w:color w:val="000000" w:themeColor="text1"/>
          <w:lang w:val="en-US" w:eastAsia="zh-CN"/>
          <w14:textFill>
            <w14:solidFill>
              <w14:schemeClr w14:val="tx1"/>
            </w14:solidFill>
          </w14:textFill>
        </w:rPr>
        <w:t>4.1.1</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lang w:val="en-US" w:eastAsia="zh-CN"/>
          <w14:textFill>
            <w14:solidFill>
              <w14:schemeClr w14:val="tx1"/>
            </w14:solidFill>
          </w14:textFill>
        </w:rPr>
        <w:t>评价单元划分原则</w:t>
      </w:r>
      <w:bookmarkEnd w:id="516"/>
      <w:bookmarkEnd w:id="517"/>
      <w:bookmarkEnd w:id="518"/>
      <w:bookmarkEnd w:id="519"/>
      <w:bookmarkEnd w:id="520"/>
      <w:bookmarkEnd w:id="521"/>
      <w:bookmarkEnd w:id="522"/>
      <w:bookmarkEnd w:id="523"/>
      <w:bookmarkEnd w:id="524"/>
      <w:bookmarkEnd w:id="525"/>
      <w:bookmarkEnd w:id="526"/>
      <w:bookmarkEnd w:id="527"/>
    </w:p>
    <w:p w14:paraId="2066B858">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划分评价单元是为评价目标和选用评价方法服务的，要便于评价工作的进行，有利于提高评价工作的准确性。评价单元的划分，一般将生产工艺、工艺装置、物料的特点和特性与危险、有害因素的类别、分布有机结合进行划分，还可以按评价的需要将一个评价单元再划分为若干子评价单元或更细致的单元。</w:t>
      </w:r>
    </w:p>
    <w:p w14:paraId="383F33F8">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常用的评价单元划分原则如下：</w:t>
      </w:r>
    </w:p>
    <w:p w14:paraId="0D3BFDEF">
      <w:pPr>
        <w:keepNext w:val="0"/>
        <w:keepLines w:val="0"/>
        <w:pageBreakBefore w:val="0"/>
        <w:widowControl w:val="0"/>
        <w:numPr>
          <w:ilvl w:val="0"/>
          <w:numId w:val="0"/>
        </w:numPr>
        <w:kinsoku/>
        <w:wordWrap/>
        <w:overflowPunct/>
        <w:topLinePunct w:val="0"/>
        <w:bidi w:val="0"/>
        <w:snapToGrid w:val="0"/>
        <w:spacing w:line="520" w:lineRule="exact"/>
        <w:ind w:left="0" w:leftChars="0"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eastAsia="zh-CN" w:bidi="ar-SA"/>
          <w14:textFill>
            <w14:solidFill>
              <w14:schemeClr w14:val="tx1"/>
            </w14:solidFill>
          </w14:textFill>
        </w:rPr>
        <w:t>1．</w:t>
      </w:r>
      <w:r>
        <w:rPr>
          <w:rFonts w:hint="eastAsia" w:ascii="宋体" w:hAnsi="宋体" w:eastAsia="宋体" w:cs="宋体"/>
          <w:color w:val="000000" w:themeColor="text1"/>
          <w:sz w:val="28"/>
          <w:szCs w:val="28"/>
          <w:lang w:val="en-GB"/>
          <w14:textFill>
            <w14:solidFill>
              <w14:schemeClr w14:val="tx1"/>
            </w14:solidFill>
          </w14:textFill>
        </w:rPr>
        <w:t>按危险、有害因素的类别为主划分评价单元；</w:t>
      </w:r>
    </w:p>
    <w:p w14:paraId="602E0A22">
      <w:pPr>
        <w:keepNext w:val="0"/>
        <w:keepLines w:val="0"/>
        <w:pageBreakBefore w:val="0"/>
        <w:widowControl w:val="0"/>
        <w:numPr>
          <w:ilvl w:val="0"/>
          <w:numId w:val="0"/>
        </w:numPr>
        <w:kinsoku/>
        <w:wordWrap/>
        <w:overflowPunct/>
        <w:topLinePunct w:val="0"/>
        <w:bidi w:val="0"/>
        <w:snapToGrid w:val="0"/>
        <w:spacing w:line="520" w:lineRule="exact"/>
        <w:ind w:left="0" w:leftChars="0"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eastAsia="zh-CN" w:bidi="ar-SA"/>
          <w14:textFill>
            <w14:solidFill>
              <w14:schemeClr w14:val="tx1"/>
            </w14:solidFill>
          </w14:textFill>
        </w:rPr>
        <w:t>2．</w:t>
      </w:r>
      <w:r>
        <w:rPr>
          <w:rFonts w:hint="eastAsia" w:ascii="宋体" w:hAnsi="宋体" w:eastAsia="宋体" w:cs="宋体"/>
          <w:color w:val="000000" w:themeColor="text1"/>
          <w:sz w:val="28"/>
          <w:szCs w:val="28"/>
          <w:lang w:val="en-GB"/>
          <w14:textFill>
            <w14:solidFill>
              <w14:schemeClr w14:val="tx1"/>
            </w14:solidFill>
          </w14:textFill>
        </w:rPr>
        <w:t>按装置和物质特征划分评价单元；</w:t>
      </w:r>
    </w:p>
    <w:p w14:paraId="38C25CBD">
      <w:pPr>
        <w:keepNext w:val="0"/>
        <w:keepLines w:val="0"/>
        <w:pageBreakBefore w:val="0"/>
        <w:widowControl w:val="0"/>
        <w:numPr>
          <w:ilvl w:val="0"/>
          <w:numId w:val="0"/>
        </w:numPr>
        <w:kinsoku/>
        <w:wordWrap/>
        <w:overflowPunct/>
        <w:topLinePunct w:val="0"/>
        <w:bidi w:val="0"/>
        <w:snapToGrid w:val="0"/>
        <w:spacing w:line="520" w:lineRule="exact"/>
        <w:ind w:left="0" w:leftChars="0"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eastAsia="zh-CN" w:bidi="ar-SA"/>
          <w14:textFill>
            <w14:solidFill>
              <w14:schemeClr w14:val="tx1"/>
            </w14:solidFill>
          </w14:textFill>
        </w:rPr>
        <w:t>3．</w:t>
      </w:r>
      <w:r>
        <w:rPr>
          <w:rFonts w:hint="eastAsia" w:ascii="宋体" w:hAnsi="宋体" w:eastAsia="宋体" w:cs="宋体"/>
          <w:color w:val="000000" w:themeColor="text1"/>
          <w:sz w:val="28"/>
          <w:szCs w:val="28"/>
          <w:lang w:val="en-GB"/>
          <w14:textFill>
            <w14:solidFill>
              <w14:schemeClr w14:val="tx1"/>
            </w14:solidFill>
          </w14:textFill>
        </w:rPr>
        <w:t>可以将安全管理、外部周边情况分别划为一个评价单元。</w:t>
      </w:r>
    </w:p>
    <w:p w14:paraId="71CA134D">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528" w:name="_Toc22354"/>
      <w:bookmarkStart w:id="529" w:name="_Toc61474454"/>
      <w:bookmarkStart w:id="530" w:name="_Toc19182"/>
      <w:bookmarkStart w:id="531" w:name="_Toc216867553"/>
      <w:bookmarkStart w:id="532" w:name="_Toc30001431"/>
      <w:bookmarkStart w:id="533" w:name="_Toc7612"/>
      <w:bookmarkStart w:id="534" w:name="_Toc278151412"/>
      <w:bookmarkStart w:id="535" w:name="_Toc1682"/>
      <w:bookmarkStart w:id="536" w:name="_Toc18070"/>
      <w:r>
        <w:rPr>
          <w:rFonts w:hint="eastAsia" w:ascii="宋体" w:hAnsi="宋体" w:eastAsia="宋体" w:cs="宋体"/>
          <w:color w:val="000000" w:themeColor="text1"/>
          <w:lang w:val="en-US" w:eastAsia="zh-CN"/>
          <w14:textFill>
            <w14:solidFill>
              <w14:schemeClr w14:val="tx1"/>
            </w14:solidFill>
          </w14:textFill>
        </w:rPr>
        <w:t>4.1.2评价单元划分方法</w:t>
      </w:r>
      <w:bookmarkEnd w:id="528"/>
      <w:bookmarkEnd w:id="529"/>
      <w:bookmarkEnd w:id="530"/>
      <w:bookmarkEnd w:id="531"/>
      <w:bookmarkEnd w:id="532"/>
      <w:bookmarkEnd w:id="533"/>
      <w:bookmarkEnd w:id="534"/>
      <w:bookmarkEnd w:id="535"/>
      <w:bookmarkEnd w:id="536"/>
    </w:p>
    <w:p w14:paraId="70535C1E">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划分评价单元的方法主要有两类，一是以危险、有害因素的类别为主来划分；二是以生产工艺装置或场所为主来划分。常用的评价单元划分方法有：</w:t>
      </w:r>
    </w:p>
    <w:p w14:paraId="4901E182">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lang w:val="zh-CN"/>
          <w14:textFill>
            <w14:solidFill>
              <w14:schemeClr w14:val="tx1"/>
            </w14:solidFill>
          </w14:textFill>
        </w:rPr>
        <w:t>以危险、有害因素的类别为主划分评价单元。</w:t>
      </w:r>
    </w:p>
    <w:p w14:paraId="683526BE">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（1）对工艺方案、总体布置及自然条件、环境对系统影响等综合方面的危险、有害因素的分析和评价，可将整个系统作为一个评价单元；</w:t>
      </w:r>
    </w:p>
    <w:p w14:paraId="5A1C4427">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（2）将具有共性危险因素、有害因素的场所和装置划为一个单元。</w:t>
      </w:r>
    </w:p>
    <w:p w14:paraId="096F730C">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lang w:val="zh-CN"/>
          <w14:textFill>
            <w14:solidFill>
              <w14:schemeClr w14:val="tx1"/>
            </w14:solidFill>
          </w14:textFill>
        </w:rPr>
        <w:t>以装置和物质特征划分评价单元。</w:t>
      </w:r>
    </w:p>
    <w:p w14:paraId="139D55E6">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（1）按装置工艺功能划分；</w:t>
      </w:r>
    </w:p>
    <w:p w14:paraId="15F5176C">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（2）按布置的相对独立性划分；</w:t>
      </w:r>
    </w:p>
    <w:p w14:paraId="76904CEB">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（3）按工艺条件划分评价单元；</w:t>
      </w:r>
    </w:p>
    <w:p w14:paraId="18E3C68A">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（4）按贮存、处理危险物品的潜在化学能、毒性和危险物品的数量划分评价单元；</w:t>
      </w:r>
    </w:p>
    <w:p w14:paraId="754456A6">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（5）根据以往事故资料，将发生事故能导致停产、波及范围大、造成巨大损失和伤害的关键设备作为一个单元；</w:t>
      </w:r>
    </w:p>
    <w:p w14:paraId="59BD1930">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（6）将危险性大且资金密度大的区域作为一个评价单元；</w:t>
      </w:r>
    </w:p>
    <w:p w14:paraId="467C1C15">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（7）将危险性特别大的区域、装置作为一个评价单元；</w:t>
      </w:r>
    </w:p>
    <w:p w14:paraId="224E1CB6">
      <w:pPr>
        <w:keepNext w:val="0"/>
        <w:keepLines w:val="0"/>
        <w:pageBreakBefore w:val="0"/>
        <w:widowControl w:val="0"/>
        <w:kinsoku/>
        <w:wordWrap/>
        <w:overflowPunct/>
        <w:topLinePunct w:val="0"/>
        <w:autoSpaceDE w:val="0"/>
        <w:autoSpaceDN w:val="0"/>
        <w:bidi w:val="0"/>
        <w:adjustRightInd w:val="0"/>
        <w:spacing w:line="52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（8）将具有类似危险性潜能的单元合并为一个大单元。</w:t>
      </w:r>
    </w:p>
    <w:p w14:paraId="1C67508C">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537" w:name="_Toc17199"/>
      <w:bookmarkStart w:id="538" w:name="_Toc9692"/>
      <w:r>
        <w:rPr>
          <w:rFonts w:hint="eastAsia" w:ascii="宋体" w:hAnsi="宋体" w:eastAsia="宋体" w:cs="宋体"/>
          <w:color w:val="000000" w:themeColor="text1"/>
          <w14:textFill>
            <w14:solidFill>
              <w14:schemeClr w14:val="tx1"/>
            </w14:solidFill>
          </w14:textFill>
        </w:rPr>
        <w:t>4.2</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评价单元划分</w:t>
      </w:r>
      <w:bookmarkEnd w:id="511"/>
      <w:bookmarkEnd w:id="512"/>
      <w:bookmarkEnd w:id="513"/>
      <w:r>
        <w:rPr>
          <w:rFonts w:hint="eastAsia" w:ascii="宋体" w:hAnsi="宋体" w:eastAsia="宋体" w:cs="宋体"/>
          <w:color w:val="000000" w:themeColor="text1"/>
          <w14:textFill>
            <w14:solidFill>
              <w14:schemeClr w14:val="tx1"/>
            </w14:solidFill>
          </w14:textFill>
        </w:rPr>
        <w:t>结果</w:t>
      </w:r>
      <w:bookmarkEnd w:id="514"/>
      <w:bookmarkEnd w:id="515"/>
      <w:bookmarkEnd w:id="537"/>
      <w:bookmarkEnd w:id="538"/>
    </w:p>
    <w:p w14:paraId="69C91946">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bookmarkStart w:id="539" w:name="_Toc335926257"/>
      <w:bookmarkStart w:id="540" w:name="_Toc11884"/>
      <w:bookmarkStart w:id="541" w:name="_Toc191799968"/>
      <w:bookmarkStart w:id="542" w:name="_Toc313453582"/>
      <w:r>
        <w:rPr>
          <w:rFonts w:hint="eastAsia" w:ascii="宋体" w:hAnsi="宋体" w:eastAsia="宋体" w:cs="宋体"/>
          <w:color w:val="000000" w:themeColor="text1"/>
          <w:sz w:val="28"/>
          <w:szCs w:val="28"/>
          <w:lang w:val="en-GB"/>
          <w14:textFill>
            <w14:solidFill>
              <w14:schemeClr w14:val="tx1"/>
            </w14:solidFill>
          </w14:textFill>
        </w:rPr>
        <w:t>根据安全评价单元的划分原则</w:t>
      </w:r>
      <w:r>
        <w:rPr>
          <w:rFonts w:hint="eastAsia" w:ascii="宋体" w:hAnsi="宋体" w:eastAsia="宋体" w:cs="宋体"/>
          <w:color w:val="000000" w:themeColor="text1"/>
          <w:sz w:val="28"/>
          <w:szCs w:val="28"/>
          <w14:textFill>
            <w14:solidFill>
              <w14:schemeClr w14:val="tx1"/>
            </w14:solidFill>
          </w14:textFill>
        </w:rPr>
        <w:t>和依据</w:t>
      </w:r>
      <w:r>
        <w:rPr>
          <w:rFonts w:hint="eastAsia" w:ascii="宋体" w:hAnsi="宋体" w:eastAsia="宋体" w:cs="宋体"/>
          <w:color w:val="000000" w:themeColor="text1"/>
          <w:sz w:val="28"/>
          <w:szCs w:val="28"/>
          <w:lang w:val="en-GB"/>
          <w14:textFill>
            <w14:solidFill>
              <w14:schemeClr w14:val="tx1"/>
            </w14:solidFill>
          </w14:textFill>
        </w:rPr>
        <w:t>，结合企业的实际情况及安全评价的需要，本次评价根据生产装置和物质特征的相关特点，将公司安全评价单元划分为</w:t>
      </w:r>
      <w:r>
        <w:rPr>
          <w:rFonts w:hint="eastAsia" w:ascii="宋体" w:hAnsi="宋体" w:eastAsia="宋体" w:cs="宋体"/>
          <w:color w:val="000000" w:themeColor="text1"/>
          <w:sz w:val="28"/>
          <w:szCs w:val="28"/>
          <w:lang w:val="en-US" w:eastAsia="zh-CN"/>
          <w14:textFill>
            <w14:solidFill>
              <w14:schemeClr w14:val="tx1"/>
            </w14:solidFill>
          </w14:textFill>
        </w:rPr>
        <w:t>六</w:t>
      </w:r>
      <w:r>
        <w:rPr>
          <w:rFonts w:hint="eastAsia" w:ascii="宋体" w:hAnsi="宋体" w:eastAsia="宋体" w:cs="宋体"/>
          <w:color w:val="000000" w:themeColor="text1"/>
          <w:sz w:val="28"/>
          <w:szCs w:val="28"/>
          <w:lang w:val="en-GB"/>
          <w14:textFill>
            <w14:solidFill>
              <w14:schemeClr w14:val="tx1"/>
            </w14:solidFill>
          </w14:textFill>
        </w:rPr>
        <w:t>个评价单元，</w:t>
      </w:r>
      <w:r>
        <w:rPr>
          <w:rFonts w:hint="eastAsia" w:ascii="宋体" w:hAnsi="宋体" w:eastAsia="宋体" w:cs="宋体"/>
          <w:color w:val="000000" w:themeColor="text1"/>
          <w:sz w:val="28"/>
          <w:szCs w:val="28"/>
          <w14:textFill>
            <w14:solidFill>
              <w14:schemeClr w14:val="tx1"/>
            </w14:solidFill>
          </w14:textFill>
        </w:rPr>
        <w:t>具体的划分情况和使用的评价方法见表4-1。</w:t>
      </w:r>
    </w:p>
    <w:p w14:paraId="10F6F34A">
      <w:pPr>
        <w:keepNext w:val="0"/>
        <w:keepLines w:val="0"/>
        <w:pageBreakBefore w:val="0"/>
        <w:widowControl w:val="0"/>
        <w:kinsoku/>
        <w:wordWrap/>
        <w:overflowPunct/>
        <w:topLinePunct w:val="0"/>
        <w:autoSpaceDE/>
        <w:autoSpaceDN/>
        <w:bidi w:val="0"/>
        <w:adjustRightInd/>
        <w:snapToGrid w:val="0"/>
        <w:spacing w:line="520" w:lineRule="exact"/>
        <w:ind w:firstLine="482" w:firstLineChars="200"/>
        <w:jc w:val="center"/>
        <w:textAlignment w:val="auto"/>
        <w:rPr>
          <w:rFonts w:hint="eastAsia" w:ascii="宋体" w:hAnsi="宋体" w:eastAsia="宋体" w:cs="宋体"/>
          <w:color w:val="000000" w:themeColor="text1"/>
          <w:lang w:val="en-GB"/>
          <w14:textFill>
            <w14:solidFill>
              <w14:schemeClr w14:val="tx1"/>
            </w14:solidFill>
          </w14:textFill>
        </w:rPr>
      </w:pPr>
      <w:r>
        <w:rPr>
          <w:rFonts w:hint="eastAsia" w:ascii="宋体" w:hAnsi="宋体" w:eastAsia="宋体" w:cs="宋体"/>
          <w:b/>
          <w:bCs/>
          <w:color w:val="000000" w:themeColor="text1"/>
          <w:lang w:val="en-GB"/>
          <w14:textFill>
            <w14:solidFill>
              <w14:schemeClr w14:val="tx1"/>
            </w14:solidFill>
          </w14:textFill>
        </w:rPr>
        <w:t>表4-1 各单元采取安全评价方法对应表</w:t>
      </w:r>
    </w:p>
    <w:tbl>
      <w:tblPr>
        <w:tblStyle w:val="52"/>
        <w:tblW w:w="48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3086"/>
        <w:gridCol w:w="4653"/>
      </w:tblGrid>
      <w:tr w14:paraId="167F2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6C1EF4DA">
            <w:pPr>
              <w:pStyle w:val="6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1834" w:type="pct"/>
            <w:vAlign w:val="center"/>
          </w:tcPr>
          <w:p w14:paraId="33AE7E21">
            <w:pPr>
              <w:pStyle w:val="6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评价单元名称</w:t>
            </w:r>
          </w:p>
        </w:tc>
        <w:tc>
          <w:tcPr>
            <w:tcW w:w="2765" w:type="pct"/>
            <w:vAlign w:val="center"/>
          </w:tcPr>
          <w:p w14:paraId="12003CF6">
            <w:pPr>
              <w:pStyle w:val="6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安全评价方法</w:t>
            </w:r>
          </w:p>
        </w:tc>
      </w:tr>
      <w:tr w14:paraId="42022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511349B0">
            <w:pPr>
              <w:pStyle w:val="6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1834" w:type="pct"/>
            <w:vAlign w:val="center"/>
          </w:tcPr>
          <w:p w14:paraId="23D4D6C5">
            <w:pPr>
              <w:pStyle w:val="6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厂址及总平面布置</w:t>
            </w:r>
            <w:r>
              <w:rPr>
                <w:rFonts w:hint="eastAsia" w:ascii="宋体" w:hAnsi="宋体" w:eastAsia="宋体" w:cs="宋体"/>
                <w:color w:val="000000" w:themeColor="text1"/>
                <w:sz w:val="21"/>
                <w:szCs w:val="21"/>
                <w:lang w:val="en-US" w:eastAsia="zh-CN"/>
                <w14:textFill>
                  <w14:solidFill>
                    <w14:schemeClr w14:val="tx1"/>
                  </w14:solidFill>
                </w14:textFill>
              </w:rPr>
              <w:t>评价</w:t>
            </w:r>
            <w:r>
              <w:rPr>
                <w:rFonts w:hint="eastAsia" w:ascii="宋体" w:hAnsi="宋体" w:eastAsia="宋体" w:cs="宋体"/>
                <w:color w:val="000000" w:themeColor="text1"/>
                <w:sz w:val="21"/>
                <w:szCs w:val="21"/>
                <w14:textFill>
                  <w14:solidFill>
                    <w14:schemeClr w14:val="tx1"/>
                  </w14:solidFill>
                </w14:textFill>
              </w:rPr>
              <w:t xml:space="preserve">单元 </w:t>
            </w:r>
          </w:p>
        </w:tc>
        <w:tc>
          <w:tcPr>
            <w:tcW w:w="2765" w:type="pct"/>
            <w:vAlign w:val="center"/>
          </w:tcPr>
          <w:p w14:paraId="5FFE2655">
            <w:pPr>
              <w:pStyle w:val="6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w:t>
            </w:r>
          </w:p>
        </w:tc>
      </w:tr>
      <w:tr w14:paraId="2E922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3333D420">
            <w:pPr>
              <w:pStyle w:val="6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1834" w:type="pct"/>
            <w:vAlign w:val="center"/>
          </w:tcPr>
          <w:p w14:paraId="7771D55D">
            <w:pPr>
              <w:pStyle w:val="6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生产工艺</w:t>
            </w:r>
            <w:r>
              <w:rPr>
                <w:rFonts w:hint="eastAsia" w:ascii="宋体" w:hAnsi="宋体" w:eastAsia="宋体" w:cs="宋体"/>
                <w:color w:val="000000" w:themeColor="text1"/>
                <w:sz w:val="21"/>
                <w:szCs w:val="21"/>
                <w:lang w:val="en-US" w:eastAsia="zh-CN"/>
                <w14:textFill>
                  <w14:solidFill>
                    <w14:schemeClr w14:val="tx1"/>
                  </w14:solidFill>
                </w14:textFill>
              </w:rPr>
              <w:t>及设备设施</w:t>
            </w:r>
            <w:r>
              <w:rPr>
                <w:rFonts w:hint="eastAsia" w:ascii="宋体" w:hAnsi="宋体" w:eastAsia="宋体" w:cs="宋体"/>
                <w:color w:val="000000" w:themeColor="text1"/>
                <w:sz w:val="21"/>
                <w:szCs w:val="21"/>
                <w:lang w:val="en-US" w:eastAsia="zh-CN"/>
                <w14:textFill>
                  <w14:solidFill>
                    <w14:schemeClr w14:val="tx1"/>
                  </w14:solidFill>
                </w14:textFill>
              </w:rPr>
              <w:t>评价</w:t>
            </w:r>
            <w:r>
              <w:rPr>
                <w:rFonts w:hint="eastAsia" w:ascii="宋体" w:hAnsi="宋体" w:eastAsia="宋体" w:cs="宋体"/>
                <w:color w:val="000000" w:themeColor="text1"/>
                <w:sz w:val="21"/>
                <w:szCs w:val="21"/>
                <w14:textFill>
                  <w14:solidFill>
                    <w14:schemeClr w14:val="tx1"/>
                  </w14:solidFill>
                </w14:textFill>
              </w:rPr>
              <w:t>单元</w:t>
            </w:r>
          </w:p>
        </w:tc>
        <w:tc>
          <w:tcPr>
            <w:tcW w:w="2765" w:type="pct"/>
            <w:vAlign w:val="center"/>
          </w:tcPr>
          <w:p w14:paraId="79B7F511">
            <w:pPr>
              <w:pStyle w:val="6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作业条件危险性分析</w:t>
            </w:r>
          </w:p>
        </w:tc>
      </w:tr>
      <w:tr w14:paraId="42C79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340FCD31">
            <w:pPr>
              <w:pStyle w:val="6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834" w:type="pct"/>
            <w:shd w:val="clear" w:color="auto" w:fill="auto"/>
            <w:vAlign w:val="center"/>
          </w:tcPr>
          <w:p w14:paraId="1FFB62E3">
            <w:pPr>
              <w:pStyle w:val="6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安全</w:t>
            </w:r>
            <w:r>
              <w:rPr>
                <w:rFonts w:hint="eastAsia" w:ascii="宋体" w:hAnsi="宋体" w:eastAsia="宋体" w:cs="宋体"/>
                <w:color w:val="000000" w:themeColor="text1"/>
                <w:sz w:val="21"/>
                <w:szCs w:val="21"/>
                <w:lang w:val="en-US" w:eastAsia="zh-CN"/>
                <w14:textFill>
                  <w14:solidFill>
                    <w14:schemeClr w14:val="tx1"/>
                  </w14:solidFill>
                </w14:textFill>
              </w:rPr>
              <w:t>防护设施评价单元</w:t>
            </w:r>
          </w:p>
        </w:tc>
        <w:tc>
          <w:tcPr>
            <w:tcW w:w="2765" w:type="pct"/>
            <w:shd w:val="clear" w:color="auto" w:fill="auto"/>
            <w:vAlign w:val="center"/>
          </w:tcPr>
          <w:p w14:paraId="1295E691">
            <w:pPr>
              <w:pStyle w:val="6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w:t>
            </w:r>
          </w:p>
        </w:tc>
      </w:tr>
      <w:tr w14:paraId="0FC90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0F9EDA25">
            <w:pPr>
              <w:pStyle w:val="6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p>
        </w:tc>
        <w:tc>
          <w:tcPr>
            <w:tcW w:w="1834" w:type="pct"/>
            <w:shd w:val="clear" w:color="auto" w:fill="auto"/>
            <w:vAlign w:val="center"/>
          </w:tcPr>
          <w:p w14:paraId="3023A502">
            <w:pPr>
              <w:pStyle w:val="6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公用工程及辅助设施</w:t>
            </w:r>
            <w:r>
              <w:rPr>
                <w:rFonts w:hint="eastAsia" w:ascii="宋体" w:hAnsi="宋体" w:eastAsia="宋体" w:cs="宋体"/>
                <w:color w:val="000000" w:themeColor="text1"/>
                <w:sz w:val="21"/>
                <w:szCs w:val="21"/>
                <w:lang w:val="en-US" w:eastAsia="zh-CN"/>
                <w14:textFill>
                  <w14:solidFill>
                    <w14:schemeClr w14:val="tx1"/>
                  </w14:solidFill>
                </w14:textFill>
              </w:rPr>
              <w:t>评价</w:t>
            </w:r>
            <w:r>
              <w:rPr>
                <w:rFonts w:hint="eastAsia" w:ascii="宋体" w:hAnsi="宋体" w:eastAsia="宋体" w:cs="宋体"/>
                <w:color w:val="000000" w:themeColor="text1"/>
                <w:sz w:val="21"/>
                <w:szCs w:val="21"/>
                <w14:textFill>
                  <w14:solidFill>
                    <w14:schemeClr w14:val="tx1"/>
                  </w14:solidFill>
                </w14:textFill>
              </w:rPr>
              <w:t>单元</w:t>
            </w:r>
          </w:p>
        </w:tc>
        <w:tc>
          <w:tcPr>
            <w:tcW w:w="2765" w:type="pct"/>
            <w:shd w:val="clear" w:color="auto" w:fill="auto"/>
            <w:vAlign w:val="center"/>
          </w:tcPr>
          <w:p w14:paraId="6E9F37A0">
            <w:pPr>
              <w:pStyle w:val="6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w:t>
            </w:r>
          </w:p>
        </w:tc>
      </w:tr>
      <w:tr w14:paraId="48969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41D69062">
            <w:pPr>
              <w:pStyle w:val="6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w:t>
            </w:r>
          </w:p>
        </w:tc>
        <w:tc>
          <w:tcPr>
            <w:tcW w:w="1834" w:type="pct"/>
            <w:shd w:val="clear" w:color="auto" w:fill="auto"/>
            <w:vAlign w:val="center"/>
          </w:tcPr>
          <w:p w14:paraId="266F2120">
            <w:pPr>
              <w:pStyle w:val="6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安全生产管理评价单元</w:t>
            </w:r>
          </w:p>
        </w:tc>
        <w:tc>
          <w:tcPr>
            <w:tcW w:w="2765" w:type="pct"/>
            <w:shd w:val="clear" w:color="auto" w:fill="auto"/>
            <w:vAlign w:val="center"/>
          </w:tcPr>
          <w:p w14:paraId="01A30D95">
            <w:pPr>
              <w:pStyle w:val="6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w:t>
            </w:r>
          </w:p>
        </w:tc>
      </w:tr>
      <w:tr w14:paraId="14CB4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39824FDD">
            <w:pPr>
              <w:pStyle w:val="6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1834" w:type="pct"/>
            <w:shd w:val="clear" w:color="auto" w:fill="auto"/>
            <w:vAlign w:val="center"/>
          </w:tcPr>
          <w:p w14:paraId="1AE1796C">
            <w:pPr>
              <w:pStyle w:val="6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重大事故隐患</w:t>
            </w:r>
            <w:r>
              <w:rPr>
                <w:rFonts w:hint="eastAsia" w:ascii="宋体" w:hAnsi="宋体" w:eastAsia="宋体" w:cs="宋体"/>
                <w:color w:val="000000" w:themeColor="text1"/>
                <w:sz w:val="21"/>
                <w:szCs w:val="21"/>
                <w:lang w:val="en-US" w:eastAsia="zh-CN"/>
                <w14:textFill>
                  <w14:solidFill>
                    <w14:schemeClr w14:val="tx1"/>
                  </w14:solidFill>
                </w14:textFill>
              </w:rPr>
              <w:t>评价单元</w:t>
            </w:r>
          </w:p>
        </w:tc>
        <w:tc>
          <w:tcPr>
            <w:tcW w:w="2765" w:type="pct"/>
            <w:shd w:val="clear" w:color="auto" w:fill="auto"/>
            <w:vAlign w:val="center"/>
          </w:tcPr>
          <w:p w14:paraId="0834F3D6">
            <w:pPr>
              <w:pStyle w:val="6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w:t>
            </w:r>
          </w:p>
        </w:tc>
      </w:tr>
    </w:tbl>
    <w:p w14:paraId="1ADC8402">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543" w:name="_Toc233668309"/>
      <w:bookmarkStart w:id="544" w:name="_Toc26599"/>
      <w:bookmarkStart w:id="545" w:name="_Toc195156256"/>
      <w:bookmarkStart w:id="546" w:name="_Toc213410607"/>
      <w:bookmarkStart w:id="547" w:name="_Toc211501735"/>
      <w:bookmarkStart w:id="548" w:name="_Toc30651"/>
      <w:bookmarkStart w:id="549" w:name="_Toc231978508"/>
      <w:bookmarkStart w:id="550" w:name="_Toc211837019"/>
      <w:bookmarkStart w:id="551" w:name="_Toc24593"/>
      <w:bookmarkStart w:id="552" w:name="_Toc207527411"/>
      <w:bookmarkStart w:id="553" w:name="_Toc21719"/>
      <w:bookmarkStart w:id="554" w:name="_Toc20853"/>
      <w:bookmarkStart w:id="555" w:name="_Toc27354"/>
      <w:bookmarkStart w:id="556" w:name="_Toc3005"/>
      <w:r>
        <w:rPr>
          <w:rFonts w:hint="eastAsia" w:ascii="宋体" w:hAnsi="宋体" w:eastAsia="宋体" w:cs="宋体"/>
          <w:color w:val="000000" w:themeColor="text1"/>
          <w14:textFill>
            <w14:solidFill>
              <w14:schemeClr w14:val="tx1"/>
            </w14:solidFill>
          </w14:textFill>
        </w:rPr>
        <w:t>4.3</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评价方法</w:t>
      </w:r>
      <w:bookmarkEnd w:id="543"/>
      <w:bookmarkEnd w:id="544"/>
      <w:bookmarkEnd w:id="545"/>
      <w:bookmarkEnd w:id="546"/>
      <w:bookmarkEnd w:id="547"/>
      <w:bookmarkEnd w:id="548"/>
      <w:bookmarkEnd w:id="549"/>
      <w:bookmarkEnd w:id="550"/>
      <w:bookmarkEnd w:id="551"/>
      <w:bookmarkEnd w:id="552"/>
      <w:bookmarkEnd w:id="553"/>
      <w:bookmarkEnd w:id="554"/>
      <w:r>
        <w:rPr>
          <w:rFonts w:hint="eastAsia" w:ascii="宋体" w:hAnsi="宋体" w:eastAsia="宋体" w:cs="宋体"/>
          <w:color w:val="000000" w:themeColor="text1"/>
          <w14:textFill>
            <w14:solidFill>
              <w14:schemeClr w14:val="tx1"/>
            </w14:solidFill>
          </w14:textFill>
        </w:rPr>
        <w:t>的确定</w:t>
      </w:r>
      <w:bookmarkEnd w:id="555"/>
      <w:bookmarkEnd w:id="556"/>
    </w:p>
    <w:p w14:paraId="2FF63E63">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根据评价方法选取应遵循充分性、适应性、系统性、针对性和合理性的原则，结合该项目的特点，本报告选用安全检查表（SCA）、作业条件危险性分析法等</w:t>
      </w: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lang w:val="en-GB"/>
          <w14:textFill>
            <w14:solidFill>
              <w14:schemeClr w14:val="tx1"/>
            </w14:solidFill>
          </w14:textFill>
        </w:rPr>
        <w:t>种安全评价方法对该工程项目危险、有害因素及危险、有害程度进行分析评价。</w:t>
      </w:r>
    </w:p>
    <w:p w14:paraId="7D1C8D8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在安全评价过程中，为检查该厂址及总平面布置、生产工艺和设备设施、</w:t>
      </w:r>
      <w:r>
        <w:rPr>
          <w:rFonts w:hint="eastAsia" w:ascii="宋体" w:hAnsi="宋体" w:eastAsia="宋体" w:cs="宋体"/>
          <w:color w:val="000000" w:themeColor="text1"/>
          <w:sz w:val="28"/>
          <w:szCs w:val="28"/>
          <w:lang w:val="en-US" w:eastAsia="zh-CN"/>
          <w14:textFill>
            <w14:solidFill>
              <w14:schemeClr w14:val="tx1"/>
            </w14:solidFill>
          </w14:textFill>
        </w:rPr>
        <w:t>安全防护设施、</w:t>
      </w:r>
      <w:r>
        <w:rPr>
          <w:rFonts w:hint="eastAsia" w:ascii="宋体" w:hAnsi="宋体" w:eastAsia="宋体" w:cs="宋体"/>
          <w:color w:val="000000" w:themeColor="text1"/>
          <w:sz w:val="28"/>
          <w:szCs w:val="28"/>
          <w:lang w:val="en-GB"/>
          <w14:textFill>
            <w14:solidFill>
              <w14:schemeClr w14:val="tx1"/>
            </w14:solidFill>
          </w14:textFill>
        </w:rPr>
        <w:t>公用工程及辅助设施</w:t>
      </w:r>
      <w:r>
        <w:rPr>
          <w:rFonts w:hint="eastAsia" w:ascii="宋体" w:hAnsi="宋体" w:eastAsia="宋体" w:cs="宋体"/>
          <w:color w:val="000000" w:themeColor="text1"/>
          <w:sz w:val="28"/>
          <w:szCs w:val="28"/>
          <w:lang w:val="en-GB" w:eastAsia="zh-CN"/>
          <w14:textFill>
            <w14:solidFill>
              <w14:schemeClr w14:val="tx1"/>
            </w14:solidFill>
          </w14:textFill>
        </w:rPr>
        <w:t>、</w:t>
      </w:r>
      <w:r>
        <w:rPr>
          <w:rFonts w:hint="eastAsia" w:ascii="宋体" w:hAnsi="宋体" w:eastAsia="宋体" w:cs="宋体"/>
          <w:color w:val="000000" w:themeColor="text1"/>
          <w:sz w:val="28"/>
          <w:szCs w:val="28"/>
          <w:lang w:val="en-GB"/>
          <w14:textFill>
            <w14:solidFill>
              <w14:schemeClr w14:val="tx1"/>
            </w14:solidFill>
          </w14:textFill>
        </w:rPr>
        <w:t>安全管理单元</w:t>
      </w:r>
      <w:r>
        <w:rPr>
          <w:rFonts w:hint="eastAsia" w:ascii="宋体" w:hAnsi="宋体" w:eastAsia="宋体" w:cs="宋体"/>
          <w:color w:val="000000" w:themeColor="text1"/>
          <w:sz w:val="28"/>
          <w:szCs w:val="28"/>
          <w:lang w:val="en-GB"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重大事故隐患</w:t>
      </w:r>
      <w:r>
        <w:rPr>
          <w:rFonts w:hint="eastAsia" w:ascii="宋体" w:hAnsi="宋体" w:eastAsia="宋体" w:cs="宋体"/>
          <w:color w:val="000000" w:themeColor="text1"/>
          <w:sz w:val="28"/>
          <w:szCs w:val="28"/>
          <w:lang w:val="en-GB"/>
          <w14:textFill>
            <w14:solidFill>
              <w14:schemeClr w14:val="tx1"/>
            </w14:solidFill>
          </w14:textFill>
        </w:rPr>
        <w:t>与国家相关法律、法规、规范及标准要求的符合性，因此选用了安全检查表，以达到突出重点、避免遗漏的目的。</w:t>
      </w:r>
    </w:p>
    <w:p w14:paraId="6D96F3FA">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在生产操作过程中使用作业条件危险性分析法（LEC）对项目固有的危险程度及风险程度进行评价，达到细化作业步骤、作业区域和危险源的目的。</w:t>
      </w:r>
    </w:p>
    <w:p w14:paraId="2C8EB173">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557" w:name="_Toc19469"/>
      <w:bookmarkStart w:id="558" w:name="_Toc4438"/>
      <w:bookmarkStart w:id="559" w:name="_Toc195156257"/>
      <w:bookmarkStart w:id="560" w:name="_Toc233668310"/>
      <w:bookmarkStart w:id="561" w:name="_Toc211501736"/>
      <w:bookmarkStart w:id="562" w:name="_Toc207527412"/>
      <w:bookmarkStart w:id="563" w:name="_Toc19971"/>
      <w:bookmarkStart w:id="564" w:name="_Toc20638"/>
      <w:bookmarkStart w:id="565" w:name="_Toc213410608"/>
      <w:bookmarkStart w:id="566" w:name="_Toc231978509"/>
      <w:bookmarkStart w:id="567" w:name="_Toc211837020"/>
      <w:bookmarkStart w:id="568" w:name="_Toc29841"/>
      <w:bookmarkStart w:id="569" w:name="_Toc22758"/>
      <w:bookmarkStart w:id="570" w:name="_Toc3246"/>
      <w:r>
        <w:rPr>
          <w:rFonts w:hint="eastAsia" w:ascii="宋体" w:hAnsi="宋体" w:eastAsia="宋体" w:cs="宋体"/>
          <w:color w:val="000000" w:themeColor="text1"/>
          <w14:textFill>
            <w14:solidFill>
              <w14:schemeClr w14:val="tx1"/>
            </w14:solidFill>
          </w14:textFill>
        </w:rPr>
        <w:t>4.4</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评价方法</w:t>
      </w:r>
      <w:bookmarkEnd w:id="557"/>
      <w:bookmarkEnd w:id="558"/>
      <w:bookmarkEnd w:id="559"/>
      <w:bookmarkEnd w:id="560"/>
      <w:bookmarkEnd w:id="561"/>
      <w:bookmarkEnd w:id="562"/>
      <w:bookmarkEnd w:id="563"/>
      <w:bookmarkEnd w:id="564"/>
      <w:bookmarkEnd w:id="565"/>
      <w:bookmarkEnd w:id="566"/>
      <w:bookmarkEnd w:id="567"/>
      <w:bookmarkEnd w:id="568"/>
      <w:r>
        <w:rPr>
          <w:rFonts w:hint="eastAsia" w:ascii="宋体" w:hAnsi="宋体" w:eastAsia="宋体" w:cs="宋体"/>
          <w:color w:val="000000" w:themeColor="text1"/>
          <w14:textFill>
            <w14:solidFill>
              <w14:schemeClr w14:val="tx1"/>
            </w14:solidFill>
          </w14:textFill>
        </w:rPr>
        <w:t>介绍</w:t>
      </w:r>
      <w:bookmarkEnd w:id="569"/>
      <w:bookmarkEnd w:id="570"/>
    </w:p>
    <w:p w14:paraId="18B94DCD">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571" w:name="_Toc278151416"/>
      <w:bookmarkStart w:id="572" w:name="_Toc23342"/>
      <w:bookmarkStart w:id="573" w:name="_Toc30001435"/>
      <w:bookmarkStart w:id="574" w:name="_Toc216867557"/>
      <w:bookmarkStart w:id="575" w:name="_Toc61474458"/>
      <w:bookmarkStart w:id="576" w:name="_Toc30988"/>
      <w:r>
        <w:rPr>
          <w:rFonts w:hint="eastAsia" w:ascii="宋体" w:hAnsi="宋体" w:eastAsia="宋体" w:cs="宋体"/>
          <w:color w:val="000000" w:themeColor="text1"/>
          <w:lang w:val="en-US" w:eastAsia="zh-CN"/>
          <w14:textFill>
            <w14:solidFill>
              <w14:schemeClr w14:val="tx1"/>
            </w14:solidFill>
          </w14:textFill>
        </w:rPr>
        <w:t>4.</w:t>
      </w:r>
      <w:r>
        <w:rPr>
          <w:rFonts w:hint="eastAsia" w:ascii="宋体" w:hAnsi="宋体" w:eastAsia="宋体" w:cs="宋体"/>
          <w:color w:val="000000" w:themeColor="text1"/>
          <w:lang w:val="en-US" w:eastAsia="zh-CN"/>
          <w14:textFill>
            <w14:solidFill>
              <w14:schemeClr w14:val="tx1"/>
            </w14:solidFill>
          </w14:textFill>
        </w:rPr>
        <w:t>4.</w:t>
      </w:r>
      <w:r>
        <w:rPr>
          <w:rFonts w:hint="eastAsia" w:ascii="宋体" w:hAnsi="宋体" w:eastAsia="宋体" w:cs="宋体"/>
          <w:color w:val="000000" w:themeColor="text1"/>
          <w:lang w:val="en-US" w:eastAsia="zh-CN"/>
          <w14:textFill>
            <w14:solidFill>
              <w14:schemeClr w14:val="tx1"/>
            </w14:solidFill>
          </w14:textFill>
        </w:rPr>
        <w:t>1安全检查表法（SCA）</w:t>
      </w:r>
      <w:bookmarkEnd w:id="571"/>
      <w:bookmarkEnd w:id="572"/>
      <w:bookmarkEnd w:id="573"/>
      <w:bookmarkEnd w:id="574"/>
      <w:bookmarkEnd w:id="575"/>
      <w:bookmarkEnd w:id="576"/>
    </w:p>
    <w:p w14:paraId="1D50EAE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检查表评价方法简便灵活，是安全评价的常规方法，具有简便、实用、有效的特点。依据国家、地区、行业等相关的标准、法规编制检查表，判断是否、有无，找出缺陷、疏漏、隐患、问题。所以对项目总体和各单元的预评价中均运用了这一方法。本评价中安全检查表的内容主要有三部分：</w:t>
      </w:r>
    </w:p>
    <w:p w14:paraId="0758620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①检查项目和要求：针对该单元功能、工艺、设备等固有或潜在的主要危险危害因素，逐条列出检查的项目和国家有关劳动安全卫生方面的法律、法规、标准以及行业规定中对工程设计、施工、运行管理的各种具体要求。</w:t>
      </w:r>
    </w:p>
    <w:p w14:paraId="25BE3F4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②检查情况：针对检查项目和要求，通过审查文件资料，勘察现场，分析预测项目建成后与法律法规、标准规范的符合性，从而判断项目建成后的风险度。</w:t>
      </w:r>
    </w:p>
    <w:p w14:paraId="5BA3992C">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③检查结论：针对检查项目，根据文件资料、现场调查情况作出与要求符合、不符合的结论。</w:t>
      </w:r>
      <w:bookmarkEnd w:id="539"/>
      <w:bookmarkEnd w:id="540"/>
      <w:bookmarkEnd w:id="541"/>
      <w:bookmarkEnd w:id="542"/>
    </w:p>
    <w:p w14:paraId="3FE0E6E9">
      <w:pPr>
        <w:pStyle w:val="5"/>
        <w:bidi w:val="0"/>
        <w:rPr>
          <w:rFonts w:hint="eastAsia" w:ascii="宋体" w:hAnsi="宋体" w:eastAsia="宋体" w:cs="宋体"/>
          <w:lang w:val="en-US" w:eastAsia="zh-CN"/>
        </w:rPr>
      </w:pPr>
      <w:bookmarkStart w:id="577" w:name="_Toc30001436"/>
      <w:bookmarkStart w:id="578" w:name="_Toc61474459"/>
      <w:bookmarkStart w:id="579" w:name="_Toc201697625"/>
      <w:bookmarkStart w:id="580" w:name="_Toc8426"/>
      <w:bookmarkStart w:id="581" w:name="_Toc211237884"/>
      <w:bookmarkStart w:id="582" w:name="_Toc278151418"/>
      <w:bookmarkStart w:id="583" w:name="_Toc4496"/>
      <w:bookmarkStart w:id="584" w:name="_Toc216867563"/>
      <w:bookmarkStart w:id="585" w:name="_Toc201697626"/>
      <w:r>
        <w:rPr>
          <w:rFonts w:hint="eastAsia" w:ascii="宋体" w:hAnsi="宋体" w:eastAsia="宋体" w:cs="宋体"/>
          <w:lang w:val="en-US" w:eastAsia="zh-CN"/>
        </w:rPr>
        <w:t>4.</w:t>
      </w:r>
      <w:r>
        <w:rPr>
          <w:rFonts w:hint="eastAsia" w:ascii="宋体" w:hAnsi="宋体" w:eastAsia="宋体" w:cs="宋体"/>
          <w:lang w:val="en-US" w:eastAsia="zh-CN"/>
        </w:rPr>
        <w:t>4</w:t>
      </w:r>
      <w:r>
        <w:rPr>
          <w:rFonts w:hint="eastAsia" w:ascii="宋体" w:hAnsi="宋体" w:eastAsia="宋体" w:cs="宋体"/>
          <w:lang w:val="en-US" w:eastAsia="zh-CN"/>
        </w:rPr>
        <w:t>.</w:t>
      </w:r>
      <w:r>
        <w:rPr>
          <w:rFonts w:hint="eastAsia" w:ascii="宋体" w:hAnsi="宋体" w:eastAsia="宋体" w:cs="宋体"/>
          <w:lang w:val="en-US" w:eastAsia="zh-CN"/>
        </w:rPr>
        <w:t>2</w:t>
      </w:r>
      <w:r>
        <w:rPr>
          <w:rFonts w:hint="eastAsia" w:ascii="宋体" w:hAnsi="宋体" w:eastAsia="宋体" w:cs="宋体"/>
          <w:lang w:val="en-US" w:eastAsia="zh-CN"/>
        </w:rPr>
        <w:t>作业条件危险性评价法（LEC）</w:t>
      </w:r>
      <w:bookmarkEnd w:id="577"/>
      <w:bookmarkEnd w:id="578"/>
      <w:bookmarkEnd w:id="579"/>
      <w:bookmarkEnd w:id="580"/>
      <w:bookmarkEnd w:id="581"/>
      <w:bookmarkEnd w:id="582"/>
      <w:bookmarkEnd w:id="583"/>
    </w:p>
    <w:p w14:paraId="0A704E99">
      <w:pPr>
        <w:keepNext w:val="0"/>
        <w:keepLines w:val="0"/>
        <w:pageBreakBefore w:val="0"/>
        <w:widowControl w:val="0"/>
        <w:kinsoku/>
        <w:wordWrap/>
        <w:overflowPunct/>
        <w:topLinePunct w:val="0"/>
        <w:autoSpaceDE w:val="0"/>
        <w:autoSpaceDN w:val="0"/>
        <w:bidi w:val="0"/>
        <w:adjustRightInd/>
        <w:snapToGrid/>
        <w:spacing w:line="500" w:lineRule="exact"/>
        <w:ind w:right="43" w:firstLine="560" w:firstLineChars="200"/>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作业条件危险性评价法是一种简便易行的评价方法，用来评价人们在某种具有潜在危险环境中作业的危险性。该法以被评价的环境与某些作为参考的环境进行比较为基础，采用专家“评分”的办法确定各种自变量的分数值，最后根据总的危险分数值来评价其危险性。该法已用于一些工业企业危险性的评价，取得较好效果。</w:t>
      </w:r>
    </w:p>
    <w:p w14:paraId="1CDE34D5">
      <w:pPr>
        <w:keepNext w:val="0"/>
        <w:keepLines w:val="0"/>
        <w:pageBreakBefore w:val="0"/>
        <w:widowControl w:val="0"/>
        <w:kinsoku/>
        <w:wordWrap/>
        <w:overflowPunct/>
        <w:topLinePunct w:val="0"/>
        <w:autoSpaceDE w:val="0"/>
        <w:autoSpaceDN w:val="0"/>
        <w:bidi w:val="0"/>
        <w:adjustRightInd/>
        <w:snapToGrid/>
        <w:spacing w:line="500" w:lineRule="exact"/>
        <w:ind w:left="206" w:leftChars="86" w:right="101" w:firstLine="560" w:firstLineChars="200"/>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格雷厄姆和金尼认为影响危险性的主要因素有三个：</w:t>
      </w:r>
    </w:p>
    <w:p w14:paraId="047AE5B5">
      <w:pPr>
        <w:keepNext w:val="0"/>
        <w:keepLines w:val="0"/>
        <w:pageBreakBefore w:val="0"/>
        <w:widowControl w:val="0"/>
        <w:kinsoku/>
        <w:wordWrap/>
        <w:overflowPunct/>
        <w:topLinePunct w:val="0"/>
        <w:autoSpaceDE w:val="0"/>
        <w:autoSpaceDN w:val="0"/>
        <w:bidi w:val="0"/>
        <w:adjustRightInd/>
        <w:snapToGrid/>
        <w:spacing w:line="500" w:lineRule="exact"/>
        <w:ind w:left="604" w:firstLine="560" w:firstLineChars="200"/>
        <w:jc w:val="left"/>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1.发生事故或危险事件的可能性；</w:t>
      </w:r>
    </w:p>
    <w:p w14:paraId="31433F59">
      <w:pPr>
        <w:keepNext w:val="0"/>
        <w:keepLines w:val="0"/>
        <w:pageBreakBefore w:val="0"/>
        <w:widowControl w:val="0"/>
        <w:kinsoku/>
        <w:wordWrap/>
        <w:overflowPunct/>
        <w:topLinePunct w:val="0"/>
        <w:autoSpaceDE w:val="0"/>
        <w:autoSpaceDN w:val="0"/>
        <w:bidi w:val="0"/>
        <w:adjustRightInd/>
        <w:snapToGrid/>
        <w:spacing w:line="500" w:lineRule="exact"/>
        <w:ind w:left="604" w:right="19" w:firstLine="560" w:firstLineChars="200"/>
        <w:jc w:val="left"/>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2.暴露于这种危险环境的频率；</w:t>
      </w:r>
    </w:p>
    <w:p w14:paraId="1136E774">
      <w:pPr>
        <w:keepNext w:val="0"/>
        <w:keepLines w:val="0"/>
        <w:pageBreakBefore w:val="0"/>
        <w:widowControl w:val="0"/>
        <w:kinsoku/>
        <w:wordWrap/>
        <w:overflowPunct/>
        <w:topLinePunct w:val="0"/>
        <w:autoSpaceDE w:val="0"/>
        <w:autoSpaceDN w:val="0"/>
        <w:bidi w:val="0"/>
        <w:adjustRightInd/>
        <w:snapToGrid/>
        <w:spacing w:line="500" w:lineRule="exact"/>
        <w:ind w:left="604" w:right="19" w:firstLine="560" w:firstLineChars="200"/>
        <w:jc w:val="left"/>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3.事故一旦发生时可能产生的后果。</w:t>
      </w:r>
    </w:p>
    <w:p w14:paraId="7F5B7119">
      <w:pPr>
        <w:keepNext w:val="0"/>
        <w:keepLines w:val="0"/>
        <w:pageBreakBefore w:val="0"/>
        <w:widowControl w:val="0"/>
        <w:kinsoku/>
        <w:wordWrap/>
        <w:overflowPunct/>
        <w:topLinePunct w:val="0"/>
        <w:autoSpaceDE w:val="0"/>
        <w:autoSpaceDN w:val="0"/>
        <w:bidi w:val="0"/>
        <w:adjustRightInd/>
        <w:snapToGrid/>
        <w:spacing w:line="500" w:lineRule="exact"/>
        <w:ind w:left="14" w:right="19" w:firstLine="560" w:firstLineChars="200"/>
        <w:jc w:val="left"/>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前两者可以看作是危险概率，后者则相当于危险严重度。危险性可以下式来表达：</w:t>
      </w:r>
    </w:p>
    <w:p w14:paraId="54AAD76A">
      <w:pPr>
        <w:keepNext w:val="0"/>
        <w:keepLines w:val="0"/>
        <w:pageBreakBefore w:val="0"/>
        <w:widowControl w:val="0"/>
        <w:tabs>
          <w:tab w:val="left" w:pos="2690"/>
        </w:tabs>
        <w:kinsoku/>
        <w:wordWrap/>
        <w:overflowPunct/>
        <w:topLinePunct w:val="0"/>
        <w:autoSpaceDE w:val="0"/>
        <w:autoSpaceDN w:val="0"/>
        <w:bidi w:val="0"/>
        <w:adjustRightInd/>
        <w:snapToGrid/>
        <w:spacing w:line="500" w:lineRule="exact"/>
        <w:ind w:left="14" w:right="4" w:firstLine="560" w:firstLineChars="200"/>
        <w:jc w:val="both"/>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危险性（D）= L×E×C</w:t>
      </w:r>
    </w:p>
    <w:p w14:paraId="0619D455">
      <w:pPr>
        <w:keepNext w:val="0"/>
        <w:keepLines w:val="0"/>
        <w:pageBreakBefore w:val="0"/>
        <w:widowControl w:val="0"/>
        <w:tabs>
          <w:tab w:val="center" w:pos="2990"/>
        </w:tabs>
        <w:kinsoku/>
        <w:wordWrap/>
        <w:overflowPunct/>
        <w:topLinePunct w:val="0"/>
        <w:autoSpaceDE w:val="0"/>
        <w:autoSpaceDN w:val="0"/>
        <w:bidi w:val="0"/>
        <w:adjustRightInd/>
        <w:snapToGrid/>
        <w:spacing w:line="500" w:lineRule="exact"/>
        <w:ind w:left="17" w:leftChars="7" w:right="4" w:firstLine="560" w:firstLineChars="200"/>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式中：L 事故或危险事件发生的可能性；</w:t>
      </w:r>
    </w:p>
    <w:p w14:paraId="6B575FF7">
      <w:pPr>
        <w:keepNext w:val="0"/>
        <w:keepLines w:val="0"/>
        <w:pageBreakBefore w:val="0"/>
        <w:widowControl w:val="0"/>
        <w:tabs>
          <w:tab w:val="center" w:pos="2990"/>
        </w:tabs>
        <w:kinsoku/>
        <w:wordWrap/>
        <w:overflowPunct/>
        <w:topLinePunct w:val="0"/>
        <w:autoSpaceDE w:val="0"/>
        <w:autoSpaceDN w:val="0"/>
        <w:bidi w:val="0"/>
        <w:adjustRightInd/>
        <w:snapToGrid/>
        <w:spacing w:line="500" w:lineRule="exact"/>
        <w:ind w:left="17" w:leftChars="7" w:right="4" w:firstLine="560" w:firstLineChars="200"/>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E 暴露于危险环境的频率；</w:t>
      </w:r>
    </w:p>
    <w:p w14:paraId="7776ACB5">
      <w:pPr>
        <w:keepNext w:val="0"/>
        <w:keepLines w:val="0"/>
        <w:pageBreakBefore w:val="0"/>
        <w:widowControl w:val="0"/>
        <w:tabs>
          <w:tab w:val="center" w:pos="2990"/>
        </w:tabs>
        <w:kinsoku/>
        <w:wordWrap/>
        <w:overflowPunct/>
        <w:topLinePunct w:val="0"/>
        <w:autoSpaceDE w:val="0"/>
        <w:autoSpaceDN w:val="0"/>
        <w:bidi w:val="0"/>
        <w:adjustRightInd/>
        <w:snapToGrid/>
        <w:spacing w:line="500" w:lineRule="exact"/>
        <w:ind w:left="17" w:leftChars="7" w:right="4" w:firstLine="560" w:firstLineChars="200"/>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C 危险严重度。</w:t>
      </w:r>
    </w:p>
    <w:p w14:paraId="0B359867">
      <w:pPr>
        <w:keepNext w:val="0"/>
        <w:keepLines w:val="0"/>
        <w:pageBreakBefore w:val="0"/>
        <w:widowControl w:val="0"/>
        <w:kinsoku/>
        <w:wordWrap/>
        <w:overflowPunct/>
        <w:topLinePunct w:val="0"/>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1.可能性因素 L </w:t>
      </w:r>
    </w:p>
    <w:p w14:paraId="50EA8F9D">
      <w:pPr>
        <w:keepNext w:val="0"/>
        <w:keepLines w:val="0"/>
        <w:pageBreakBefore w:val="0"/>
        <w:widowControl w:val="0"/>
        <w:kinsoku/>
        <w:wordWrap/>
        <w:overflowPunct/>
        <w:topLinePunct w:val="0"/>
        <w:bidi w:val="0"/>
        <w:adjustRightInd/>
        <w:snapToGrid/>
        <w:spacing w:line="500" w:lineRule="exact"/>
        <w:ind w:firstLine="560" w:firstLineChars="200"/>
        <w:textAlignment w:val="auto"/>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事故或危险事件发生的可能性是与它们实际的数学概率相关联的。绝对不可能发生的事件的概率为0，而必然发生的事件的概率则为1，但在实际情况中，绝对不可能发生的事故是不存在的，只能说可能性极小，概率趋于0，所以，可能性因素L的分数值取值范围为1～10具体见表4-2。</w:t>
      </w:r>
    </w:p>
    <w:p w14:paraId="36177606">
      <w:pPr>
        <w:autoSpaceDE w:val="0"/>
        <w:autoSpaceDN w:val="0"/>
        <w:adjustRightInd w:val="0"/>
        <w:snapToGrid w:val="0"/>
        <w:spacing w:line="500" w:lineRule="exact"/>
        <w:jc w:val="center"/>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表4-2  事故或危险事件发生的可能性 L 的分数值表</w:t>
      </w:r>
    </w:p>
    <w:tbl>
      <w:tblPr>
        <w:tblStyle w:val="52"/>
        <w:tblW w:w="8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7"/>
        <w:gridCol w:w="5690"/>
      </w:tblGrid>
      <w:tr w14:paraId="00AD2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tcPr>
          <w:p w14:paraId="6150F330">
            <w:pPr>
              <w:autoSpaceDE w:val="0"/>
              <w:autoSpaceDN w:val="0"/>
              <w:adjustRightInd w:val="0"/>
              <w:snapToGrid w:val="0"/>
              <w:spacing w:line="300" w:lineRule="exact"/>
              <w:jc w:val="center"/>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分数值</w:t>
            </w:r>
          </w:p>
        </w:tc>
        <w:tc>
          <w:tcPr>
            <w:tcW w:w="5690" w:type="dxa"/>
          </w:tcPr>
          <w:p w14:paraId="26EF0DD3">
            <w:pPr>
              <w:autoSpaceDE w:val="0"/>
              <w:autoSpaceDN w:val="0"/>
              <w:adjustRightInd w:val="0"/>
              <w:snapToGrid w:val="0"/>
              <w:spacing w:line="300" w:lineRule="exact"/>
              <w:jc w:val="center"/>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事故或危险事件发生的可能性</w:t>
            </w:r>
          </w:p>
        </w:tc>
      </w:tr>
      <w:tr w14:paraId="0087A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11C344AF">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10</w:t>
            </w:r>
          </w:p>
        </w:tc>
        <w:tc>
          <w:tcPr>
            <w:tcW w:w="5690" w:type="dxa"/>
          </w:tcPr>
          <w:p w14:paraId="6F8BE76E">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完全会被预料到</w:t>
            </w:r>
          </w:p>
        </w:tc>
      </w:tr>
      <w:tr w14:paraId="6FB71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5F761664">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6</w:t>
            </w:r>
          </w:p>
        </w:tc>
        <w:tc>
          <w:tcPr>
            <w:tcW w:w="5690" w:type="dxa"/>
          </w:tcPr>
          <w:p w14:paraId="6C3D66B0">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相当可能</w:t>
            </w:r>
          </w:p>
        </w:tc>
      </w:tr>
      <w:tr w14:paraId="00931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09F72E62">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3</w:t>
            </w:r>
          </w:p>
        </w:tc>
        <w:tc>
          <w:tcPr>
            <w:tcW w:w="5690" w:type="dxa"/>
          </w:tcPr>
          <w:p w14:paraId="0B9EACF2">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不经常，但可能</w:t>
            </w:r>
          </w:p>
        </w:tc>
      </w:tr>
      <w:tr w14:paraId="70E71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6C6793FC">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w:t>
            </w:r>
          </w:p>
        </w:tc>
        <w:tc>
          <w:tcPr>
            <w:tcW w:w="5690" w:type="dxa"/>
          </w:tcPr>
          <w:p w14:paraId="3C57AB48">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完全意外，极少可能</w:t>
            </w:r>
          </w:p>
        </w:tc>
      </w:tr>
      <w:tr w14:paraId="24EF1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2F9D59F9">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0.5</w:t>
            </w:r>
          </w:p>
        </w:tc>
        <w:tc>
          <w:tcPr>
            <w:tcW w:w="5690" w:type="dxa"/>
          </w:tcPr>
          <w:p w14:paraId="715CE01F">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可以设想</w:t>
            </w:r>
          </w:p>
        </w:tc>
      </w:tr>
      <w:tr w14:paraId="0A709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5A6184D0">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0.2</w:t>
            </w:r>
          </w:p>
        </w:tc>
        <w:tc>
          <w:tcPr>
            <w:tcW w:w="5690" w:type="dxa"/>
          </w:tcPr>
          <w:p w14:paraId="7525519E">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极不可能</w:t>
            </w:r>
          </w:p>
        </w:tc>
      </w:tr>
      <w:tr w14:paraId="123CA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0226F1E1">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0.1</w:t>
            </w:r>
          </w:p>
        </w:tc>
        <w:tc>
          <w:tcPr>
            <w:tcW w:w="5690" w:type="dxa"/>
          </w:tcPr>
          <w:p w14:paraId="0FFAD811">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实际上不可能</w:t>
            </w:r>
          </w:p>
        </w:tc>
      </w:tr>
    </w:tbl>
    <w:p w14:paraId="7C9DF51A">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2.暴露于危险环境的频率 E</w:t>
      </w:r>
    </w:p>
    <w:p w14:paraId="7FC86A46">
      <w:pPr>
        <w:autoSpaceDE w:val="0"/>
        <w:autoSpaceDN w:val="0"/>
        <w:adjustRightInd w:val="0"/>
        <w:snapToGrid w:val="0"/>
        <w:spacing w:line="500" w:lineRule="exact"/>
        <w:ind w:right="641"/>
        <w:jc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 xml:space="preserve">  </w:t>
      </w:r>
      <w:r>
        <w:rPr>
          <w:rFonts w:hint="eastAsia" w:ascii="宋体" w:hAnsi="宋体" w:eastAsia="宋体" w:cs="宋体"/>
          <w:color w:val="000000" w:themeColor="text1"/>
          <w:kern w:val="0"/>
          <w:sz w:val="28"/>
          <w:szCs w:val="28"/>
          <w14:textFill>
            <w14:solidFill>
              <w14:schemeClr w14:val="tx1"/>
            </w14:solidFill>
          </w14:textFill>
        </w:rPr>
        <w:t>操作人员出现在危险环境中的时间越多，受到伤害的可能性就越大，相应的危险性也就越大。连续出现在危险环境的情况其频率分为10，非常罕见地暴露于危险环境则为0.5。具体分数值见表</w:t>
      </w:r>
    </w:p>
    <w:p w14:paraId="532DA68D">
      <w:pPr>
        <w:autoSpaceDE w:val="0"/>
        <w:autoSpaceDN w:val="0"/>
        <w:adjustRightInd w:val="0"/>
        <w:snapToGrid w:val="0"/>
        <w:spacing w:line="500" w:lineRule="exact"/>
        <w:ind w:right="641"/>
        <w:jc w:val="both"/>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4-3。</w:t>
      </w:r>
    </w:p>
    <w:p w14:paraId="0E4BC43F">
      <w:pPr>
        <w:autoSpaceDE w:val="0"/>
        <w:autoSpaceDN w:val="0"/>
        <w:adjustRightInd w:val="0"/>
        <w:snapToGrid w:val="0"/>
        <w:spacing w:line="500" w:lineRule="exact"/>
        <w:jc w:val="center"/>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表4-3  暴露于潜在危险环境频率 E 的分数值</w:t>
      </w:r>
    </w:p>
    <w:tbl>
      <w:tblPr>
        <w:tblStyle w:val="52"/>
        <w:tblW w:w="87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397"/>
        <w:gridCol w:w="4344"/>
      </w:tblGrid>
      <w:tr w14:paraId="6A655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7EBC4C4D">
            <w:pPr>
              <w:autoSpaceDE w:val="0"/>
              <w:autoSpaceDN w:val="0"/>
              <w:adjustRightInd w:val="0"/>
              <w:snapToGrid w:val="0"/>
              <w:spacing w:line="300" w:lineRule="exact"/>
              <w:jc w:val="center"/>
              <w:rPr>
                <w:rFonts w:hint="eastAsia" w:ascii="宋体" w:hAnsi="宋体" w:eastAsia="宋体" w:cs="宋体"/>
                <w:b/>
                <w:color w:val="000000" w:themeColor="text1"/>
                <w:kern w:val="0"/>
                <w:szCs w:val="21"/>
                <w:lang w:eastAsia="zh-TW"/>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分数值</w:t>
            </w:r>
          </w:p>
        </w:tc>
        <w:tc>
          <w:tcPr>
            <w:tcW w:w="4344" w:type="dxa"/>
            <w:tcBorders>
              <w:top w:val="single" w:color="auto" w:sz="4" w:space="0"/>
              <w:left w:val="single" w:color="auto" w:sz="4" w:space="0"/>
              <w:bottom w:val="single" w:color="auto" w:sz="4" w:space="0"/>
              <w:right w:val="single" w:color="auto" w:sz="4" w:space="0"/>
            </w:tcBorders>
            <w:vAlign w:val="center"/>
          </w:tcPr>
          <w:p w14:paraId="1A3BBF11">
            <w:pPr>
              <w:autoSpaceDE w:val="0"/>
              <w:autoSpaceDN w:val="0"/>
              <w:adjustRightInd w:val="0"/>
              <w:snapToGrid w:val="0"/>
              <w:spacing w:line="300" w:lineRule="exact"/>
              <w:jc w:val="center"/>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暴露于危险环境的频率</w:t>
            </w:r>
          </w:p>
        </w:tc>
      </w:tr>
      <w:tr w14:paraId="76B65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0DDF79CD">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10</w:t>
            </w:r>
          </w:p>
        </w:tc>
        <w:tc>
          <w:tcPr>
            <w:tcW w:w="4344" w:type="dxa"/>
            <w:tcBorders>
              <w:top w:val="single" w:color="auto" w:sz="4" w:space="0"/>
              <w:left w:val="single" w:color="auto" w:sz="4" w:space="0"/>
              <w:bottom w:val="single" w:color="auto" w:sz="4" w:space="0"/>
              <w:right w:val="single" w:color="auto" w:sz="4" w:space="0"/>
            </w:tcBorders>
            <w:vAlign w:val="center"/>
          </w:tcPr>
          <w:p w14:paraId="1DE07537">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连续暴露于潜在危险环境</w:t>
            </w:r>
          </w:p>
        </w:tc>
      </w:tr>
      <w:tr w14:paraId="5A82B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5345659B">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6</w:t>
            </w:r>
          </w:p>
        </w:tc>
        <w:tc>
          <w:tcPr>
            <w:tcW w:w="4344" w:type="dxa"/>
            <w:tcBorders>
              <w:top w:val="single" w:color="auto" w:sz="4" w:space="0"/>
              <w:left w:val="single" w:color="auto" w:sz="4" w:space="0"/>
              <w:bottom w:val="single" w:color="auto" w:sz="4" w:space="0"/>
              <w:right w:val="single" w:color="auto" w:sz="4" w:space="0"/>
            </w:tcBorders>
            <w:vAlign w:val="center"/>
          </w:tcPr>
          <w:p w14:paraId="2DBB8FD1">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逐日在工作时间内暴露</w:t>
            </w:r>
          </w:p>
        </w:tc>
      </w:tr>
      <w:tr w14:paraId="3027C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7131E2B8">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3</w:t>
            </w:r>
          </w:p>
        </w:tc>
        <w:tc>
          <w:tcPr>
            <w:tcW w:w="4344" w:type="dxa"/>
            <w:tcBorders>
              <w:top w:val="single" w:color="auto" w:sz="4" w:space="0"/>
              <w:left w:val="single" w:color="auto" w:sz="4" w:space="0"/>
              <w:bottom w:val="single" w:color="auto" w:sz="4" w:space="0"/>
              <w:right w:val="single" w:color="auto" w:sz="4" w:space="0"/>
            </w:tcBorders>
            <w:vAlign w:val="center"/>
          </w:tcPr>
          <w:p w14:paraId="401BA591">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每周一次或偶然暴露</w:t>
            </w:r>
          </w:p>
        </w:tc>
      </w:tr>
      <w:tr w14:paraId="6EE03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0" w:hRule="atLeast"/>
        </w:trPr>
        <w:tc>
          <w:tcPr>
            <w:tcW w:w="4397" w:type="dxa"/>
            <w:tcBorders>
              <w:top w:val="single" w:color="auto" w:sz="4" w:space="0"/>
              <w:left w:val="single" w:color="auto" w:sz="4" w:space="0"/>
              <w:bottom w:val="single" w:color="auto" w:sz="4" w:space="0"/>
              <w:right w:val="single" w:color="auto" w:sz="4" w:space="0"/>
            </w:tcBorders>
            <w:vAlign w:val="center"/>
          </w:tcPr>
          <w:p w14:paraId="59098812">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w:t>
            </w:r>
          </w:p>
        </w:tc>
        <w:tc>
          <w:tcPr>
            <w:tcW w:w="4344" w:type="dxa"/>
            <w:tcBorders>
              <w:top w:val="single" w:color="auto" w:sz="4" w:space="0"/>
              <w:left w:val="single" w:color="auto" w:sz="4" w:space="0"/>
              <w:bottom w:val="single" w:color="auto" w:sz="4" w:space="0"/>
              <w:right w:val="single" w:color="auto" w:sz="4" w:space="0"/>
            </w:tcBorders>
            <w:vAlign w:val="center"/>
          </w:tcPr>
          <w:p w14:paraId="282D27EB">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每月暴露一次</w:t>
            </w:r>
          </w:p>
        </w:tc>
      </w:tr>
      <w:tr w14:paraId="204D4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56192766">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w:t>
            </w:r>
          </w:p>
        </w:tc>
        <w:tc>
          <w:tcPr>
            <w:tcW w:w="4344" w:type="dxa"/>
            <w:tcBorders>
              <w:top w:val="single" w:color="auto" w:sz="4" w:space="0"/>
              <w:left w:val="single" w:color="auto" w:sz="4" w:space="0"/>
              <w:bottom w:val="single" w:color="auto" w:sz="4" w:space="0"/>
              <w:right w:val="single" w:color="auto" w:sz="4" w:space="0"/>
            </w:tcBorders>
            <w:vAlign w:val="center"/>
          </w:tcPr>
          <w:p w14:paraId="3932DF6E">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每年几次出现在危险环境</w:t>
            </w:r>
          </w:p>
        </w:tc>
      </w:tr>
      <w:tr w14:paraId="12688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59CE686D">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0.5</w:t>
            </w:r>
          </w:p>
        </w:tc>
        <w:tc>
          <w:tcPr>
            <w:tcW w:w="4344" w:type="dxa"/>
            <w:tcBorders>
              <w:top w:val="single" w:color="auto" w:sz="4" w:space="0"/>
              <w:left w:val="single" w:color="auto" w:sz="4" w:space="0"/>
              <w:bottom w:val="single" w:color="auto" w:sz="4" w:space="0"/>
              <w:right w:val="single" w:color="auto" w:sz="4" w:space="0"/>
            </w:tcBorders>
            <w:vAlign w:val="center"/>
          </w:tcPr>
          <w:p w14:paraId="3ECADDC7">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非常罕见地暴露于危险环境</w:t>
            </w:r>
          </w:p>
        </w:tc>
      </w:tr>
    </w:tbl>
    <w:p w14:paraId="62663B1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3.事故或危险事件的危险严重度C</w:t>
      </w:r>
    </w:p>
    <w:p w14:paraId="5210FA9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事故或危险事件对人身伤害的严重程度变化范围很大，可以从伤害直至死亡事故，规定分数值1～l00。具体分数值见表4-4。</w:t>
      </w:r>
    </w:p>
    <w:p w14:paraId="023AF023">
      <w:pPr>
        <w:tabs>
          <w:tab w:val="left" w:pos="1948"/>
        </w:tabs>
        <w:autoSpaceDE w:val="0"/>
        <w:autoSpaceDN w:val="0"/>
        <w:adjustRightInd w:val="0"/>
        <w:snapToGrid w:val="0"/>
        <w:spacing w:line="500" w:lineRule="exact"/>
        <w:jc w:val="center"/>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表4-4  事故或危险事件的危险严重度C的分数值</w:t>
      </w:r>
    </w:p>
    <w:tbl>
      <w:tblPr>
        <w:tblStyle w:val="52"/>
        <w:tblW w:w="87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458"/>
        <w:gridCol w:w="5283"/>
      </w:tblGrid>
      <w:tr w14:paraId="03FD7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3C8298C7">
            <w:pPr>
              <w:autoSpaceDE w:val="0"/>
              <w:autoSpaceDN w:val="0"/>
              <w:adjustRightInd w:val="0"/>
              <w:spacing w:line="300" w:lineRule="exact"/>
              <w:jc w:val="center"/>
              <w:rPr>
                <w:rFonts w:hint="eastAsia" w:ascii="宋体" w:hAnsi="宋体" w:eastAsia="宋体" w:cs="宋体"/>
                <w:b/>
                <w:color w:val="000000" w:themeColor="text1"/>
                <w:kern w:val="0"/>
                <w:sz w:val="21"/>
                <w:szCs w:val="21"/>
                <w:lang w:eastAsia="zh-TW"/>
                <w14:textFill>
                  <w14:solidFill>
                    <w14:schemeClr w14:val="tx1"/>
                  </w14:solidFill>
                </w14:textFill>
              </w:rPr>
            </w:pPr>
            <w:r>
              <w:rPr>
                <w:rFonts w:hint="eastAsia" w:ascii="宋体" w:hAnsi="宋体" w:eastAsia="宋体" w:cs="宋体"/>
                <w:b/>
                <w:color w:val="000000" w:themeColor="text1"/>
                <w:kern w:val="0"/>
                <w:sz w:val="21"/>
                <w:szCs w:val="21"/>
                <w14:textFill>
                  <w14:solidFill>
                    <w14:schemeClr w14:val="tx1"/>
                  </w14:solidFill>
                </w14:textFill>
              </w:rPr>
              <w:t>分数值</w:t>
            </w:r>
          </w:p>
        </w:tc>
        <w:tc>
          <w:tcPr>
            <w:tcW w:w="5283" w:type="dxa"/>
            <w:tcBorders>
              <w:top w:val="single" w:color="auto" w:sz="4" w:space="0"/>
              <w:left w:val="single" w:color="auto" w:sz="4" w:space="0"/>
              <w:bottom w:val="single" w:color="auto" w:sz="4" w:space="0"/>
              <w:right w:val="single" w:color="auto" w:sz="4" w:space="0"/>
            </w:tcBorders>
            <w:vAlign w:val="center"/>
          </w:tcPr>
          <w:p w14:paraId="0BF3E433">
            <w:pPr>
              <w:autoSpaceDE w:val="0"/>
              <w:autoSpaceDN w:val="0"/>
              <w:adjustRightInd w:val="0"/>
              <w:spacing w:line="300" w:lineRule="exact"/>
              <w:jc w:val="center"/>
              <w:rPr>
                <w:rFonts w:hint="eastAsia" w:ascii="宋体" w:hAnsi="宋体" w:eastAsia="宋体" w:cs="宋体"/>
                <w:b/>
                <w:color w:val="000000" w:themeColor="text1"/>
                <w:kern w:val="0"/>
                <w:sz w:val="21"/>
                <w:szCs w:val="21"/>
                <w:lang w:eastAsia="zh-TW"/>
                <w14:textFill>
                  <w14:solidFill>
                    <w14:schemeClr w14:val="tx1"/>
                  </w14:solidFill>
                </w14:textFill>
              </w:rPr>
            </w:pPr>
            <w:r>
              <w:rPr>
                <w:rFonts w:hint="eastAsia" w:ascii="宋体" w:hAnsi="宋体" w:eastAsia="宋体" w:cs="宋体"/>
                <w:b/>
                <w:color w:val="000000" w:themeColor="text1"/>
                <w:kern w:val="0"/>
                <w:sz w:val="21"/>
                <w:szCs w:val="21"/>
                <w14:textFill>
                  <w14:solidFill>
                    <w14:schemeClr w14:val="tx1"/>
                  </w14:solidFill>
                </w14:textFill>
              </w:rPr>
              <w:t>可能结果</w:t>
            </w:r>
          </w:p>
        </w:tc>
      </w:tr>
      <w:tr w14:paraId="79ABC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465F243B">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100</w:t>
            </w:r>
          </w:p>
        </w:tc>
        <w:tc>
          <w:tcPr>
            <w:tcW w:w="5283" w:type="dxa"/>
            <w:tcBorders>
              <w:top w:val="single" w:color="auto" w:sz="4" w:space="0"/>
              <w:left w:val="single" w:color="auto" w:sz="4" w:space="0"/>
              <w:bottom w:val="single" w:color="auto" w:sz="4" w:space="0"/>
              <w:right w:val="single" w:color="auto" w:sz="4" w:space="0"/>
            </w:tcBorders>
            <w:vAlign w:val="center"/>
          </w:tcPr>
          <w:p w14:paraId="2EE4D840">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10人死亡</w:t>
            </w:r>
          </w:p>
        </w:tc>
      </w:tr>
      <w:tr w14:paraId="24084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3567B4E2">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40</w:t>
            </w:r>
          </w:p>
        </w:tc>
        <w:tc>
          <w:tcPr>
            <w:tcW w:w="5283" w:type="dxa"/>
            <w:tcBorders>
              <w:top w:val="single" w:color="auto" w:sz="4" w:space="0"/>
              <w:left w:val="single" w:color="auto" w:sz="4" w:space="0"/>
              <w:bottom w:val="single" w:color="auto" w:sz="4" w:space="0"/>
              <w:right w:val="single" w:color="auto" w:sz="4" w:space="0"/>
            </w:tcBorders>
            <w:vAlign w:val="center"/>
          </w:tcPr>
          <w:p w14:paraId="17D64095">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数人死亡</w:t>
            </w:r>
          </w:p>
        </w:tc>
      </w:tr>
      <w:tr w14:paraId="03EB1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03A990A7">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15</w:t>
            </w:r>
          </w:p>
        </w:tc>
        <w:tc>
          <w:tcPr>
            <w:tcW w:w="5283" w:type="dxa"/>
            <w:tcBorders>
              <w:top w:val="single" w:color="auto" w:sz="4" w:space="0"/>
              <w:left w:val="single" w:color="auto" w:sz="4" w:space="0"/>
              <w:bottom w:val="single" w:color="auto" w:sz="4" w:space="0"/>
              <w:right w:val="single" w:color="auto" w:sz="4" w:space="0"/>
            </w:tcBorders>
            <w:vAlign w:val="center"/>
          </w:tcPr>
          <w:p w14:paraId="0A3C02B3">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1人死亡</w:t>
            </w:r>
          </w:p>
        </w:tc>
      </w:tr>
      <w:tr w14:paraId="31F53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5F2412C1">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7</w:t>
            </w:r>
          </w:p>
        </w:tc>
        <w:tc>
          <w:tcPr>
            <w:tcW w:w="5283" w:type="dxa"/>
            <w:tcBorders>
              <w:top w:val="single" w:color="auto" w:sz="4" w:space="0"/>
              <w:left w:val="single" w:color="auto" w:sz="4" w:space="0"/>
              <w:bottom w:val="single" w:color="auto" w:sz="4" w:space="0"/>
              <w:right w:val="single" w:color="auto" w:sz="4" w:space="0"/>
            </w:tcBorders>
            <w:vAlign w:val="center"/>
          </w:tcPr>
          <w:p w14:paraId="0E527F05">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严重伤害</w:t>
            </w:r>
          </w:p>
        </w:tc>
      </w:tr>
      <w:tr w14:paraId="6F202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2B49EE3D">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3</w:t>
            </w:r>
          </w:p>
        </w:tc>
        <w:tc>
          <w:tcPr>
            <w:tcW w:w="5283" w:type="dxa"/>
            <w:tcBorders>
              <w:top w:val="single" w:color="auto" w:sz="4" w:space="0"/>
              <w:left w:val="single" w:color="auto" w:sz="4" w:space="0"/>
              <w:bottom w:val="single" w:color="auto" w:sz="4" w:space="0"/>
              <w:right w:val="single" w:color="auto" w:sz="4" w:space="0"/>
            </w:tcBorders>
            <w:vAlign w:val="center"/>
          </w:tcPr>
          <w:p w14:paraId="5EB4B6C0">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有致残</w:t>
            </w:r>
          </w:p>
        </w:tc>
      </w:tr>
      <w:tr w14:paraId="7C797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5876CFF5">
            <w:pPr>
              <w:autoSpaceDE w:val="0"/>
              <w:autoSpaceDN w:val="0"/>
              <w:adjustRightIn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w:t>
            </w:r>
          </w:p>
        </w:tc>
        <w:tc>
          <w:tcPr>
            <w:tcW w:w="5283" w:type="dxa"/>
            <w:tcBorders>
              <w:top w:val="single" w:color="auto" w:sz="4" w:space="0"/>
              <w:left w:val="single" w:color="auto" w:sz="4" w:space="0"/>
              <w:bottom w:val="single" w:color="auto" w:sz="4" w:space="0"/>
              <w:right w:val="single" w:color="auto" w:sz="4" w:space="0"/>
            </w:tcBorders>
            <w:vAlign w:val="center"/>
          </w:tcPr>
          <w:p w14:paraId="106784BD">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有轻伤，需要救护</w:t>
            </w:r>
          </w:p>
        </w:tc>
      </w:tr>
    </w:tbl>
    <w:p w14:paraId="1378BF2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4.危险性程度分级D</w:t>
      </w:r>
    </w:p>
    <w:p w14:paraId="2981CA6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在确定了上述三个因素的分数值后，其三者的乘积即为总的危险性分数值 D。根据相关资料，将危险性程度分级的相应分数值列入表4-5。</w:t>
      </w:r>
    </w:p>
    <w:p w14:paraId="68376B62">
      <w:pPr>
        <w:tabs>
          <w:tab w:val="left" w:pos="1948"/>
        </w:tabs>
        <w:autoSpaceDE w:val="0"/>
        <w:autoSpaceDN w:val="0"/>
        <w:adjustRightInd w:val="0"/>
        <w:snapToGrid w:val="0"/>
        <w:spacing w:line="500" w:lineRule="exact"/>
        <w:ind w:right="28"/>
        <w:jc w:val="center"/>
        <w:rPr>
          <w:rFonts w:hint="eastAsia" w:ascii="宋体" w:hAnsi="宋体" w:eastAsia="宋体" w:cs="宋体"/>
          <w:b/>
          <w:bCs/>
          <w:color w:val="000000" w:themeColor="text1"/>
          <w:kern w:val="0"/>
          <w:sz w:val="24"/>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表4-5  危险性程度分级的分数值</w:t>
      </w:r>
    </w:p>
    <w:tbl>
      <w:tblPr>
        <w:tblStyle w:val="52"/>
        <w:tblW w:w="87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339"/>
        <w:gridCol w:w="4402"/>
      </w:tblGrid>
      <w:tr w14:paraId="7F5A8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Header/>
        </w:trPr>
        <w:tc>
          <w:tcPr>
            <w:tcW w:w="4339" w:type="dxa"/>
            <w:tcBorders>
              <w:top w:val="single" w:color="auto" w:sz="4" w:space="0"/>
              <w:left w:val="single" w:color="auto" w:sz="4" w:space="0"/>
              <w:bottom w:val="single" w:color="auto" w:sz="4" w:space="0"/>
              <w:right w:val="single" w:color="auto" w:sz="4" w:space="0"/>
            </w:tcBorders>
            <w:vAlign w:val="center"/>
          </w:tcPr>
          <w:p w14:paraId="0841EE87">
            <w:pPr>
              <w:autoSpaceDE w:val="0"/>
              <w:autoSpaceDN w:val="0"/>
              <w:adjustRightInd w:val="0"/>
              <w:spacing w:line="300" w:lineRule="exact"/>
              <w:jc w:val="center"/>
              <w:rPr>
                <w:rFonts w:hint="eastAsia" w:ascii="宋体" w:hAnsi="宋体" w:eastAsia="宋体" w:cs="宋体"/>
                <w:b/>
                <w:bCs/>
                <w:color w:val="000000" w:themeColor="text1"/>
                <w:kern w:val="0"/>
                <w:szCs w:val="21"/>
                <w:lang w:eastAsia="zh-TW"/>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分数值</w:t>
            </w:r>
          </w:p>
        </w:tc>
        <w:tc>
          <w:tcPr>
            <w:tcW w:w="4402" w:type="dxa"/>
            <w:tcBorders>
              <w:top w:val="single" w:color="auto" w:sz="4" w:space="0"/>
              <w:left w:val="single" w:color="auto" w:sz="4" w:space="0"/>
              <w:bottom w:val="single" w:color="auto" w:sz="4" w:space="0"/>
              <w:right w:val="single" w:color="auto" w:sz="4" w:space="0"/>
            </w:tcBorders>
            <w:vAlign w:val="center"/>
          </w:tcPr>
          <w:p w14:paraId="5CEAD9C0">
            <w:pPr>
              <w:autoSpaceDE w:val="0"/>
              <w:autoSpaceDN w:val="0"/>
              <w:adjustRightInd w:val="0"/>
              <w:spacing w:line="300" w:lineRule="exact"/>
              <w:jc w:val="center"/>
              <w:rPr>
                <w:rFonts w:hint="eastAsia" w:ascii="宋体" w:hAnsi="宋体" w:eastAsia="宋体" w:cs="宋体"/>
                <w:b/>
                <w:bCs/>
                <w:color w:val="000000" w:themeColor="text1"/>
                <w:kern w:val="0"/>
                <w:szCs w:val="21"/>
                <w:lang w:eastAsia="zh-TW"/>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危险性程度</w:t>
            </w:r>
          </w:p>
        </w:tc>
      </w:tr>
      <w:tr w14:paraId="34F38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39" w:type="dxa"/>
            <w:tcBorders>
              <w:top w:val="single" w:color="auto" w:sz="4" w:space="0"/>
              <w:left w:val="single" w:color="auto" w:sz="4" w:space="0"/>
              <w:bottom w:val="single" w:color="auto" w:sz="4" w:space="0"/>
              <w:right w:val="single" w:color="auto" w:sz="4" w:space="0"/>
            </w:tcBorders>
            <w:vAlign w:val="center"/>
          </w:tcPr>
          <w:p w14:paraId="1EE96BB6">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&gt;320</w:t>
            </w:r>
          </w:p>
        </w:tc>
        <w:tc>
          <w:tcPr>
            <w:tcW w:w="4402" w:type="dxa"/>
            <w:tcBorders>
              <w:top w:val="single" w:color="auto" w:sz="4" w:space="0"/>
              <w:left w:val="single" w:color="auto" w:sz="4" w:space="0"/>
              <w:bottom w:val="single" w:color="auto" w:sz="4" w:space="0"/>
              <w:right w:val="single" w:color="auto" w:sz="4" w:space="0"/>
            </w:tcBorders>
            <w:vAlign w:val="center"/>
          </w:tcPr>
          <w:p w14:paraId="23D08D90">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极其危险</w:t>
            </w:r>
          </w:p>
        </w:tc>
      </w:tr>
      <w:tr w14:paraId="5D8C9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39" w:type="dxa"/>
            <w:tcBorders>
              <w:top w:val="single" w:color="auto" w:sz="4" w:space="0"/>
              <w:left w:val="single" w:color="auto" w:sz="4" w:space="0"/>
              <w:bottom w:val="single" w:color="auto" w:sz="4" w:space="0"/>
              <w:right w:val="single" w:color="auto" w:sz="4" w:space="0"/>
            </w:tcBorders>
            <w:vAlign w:val="center"/>
          </w:tcPr>
          <w:p w14:paraId="4B94B255">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160～320</w:t>
            </w:r>
          </w:p>
        </w:tc>
        <w:tc>
          <w:tcPr>
            <w:tcW w:w="4402" w:type="dxa"/>
            <w:tcBorders>
              <w:top w:val="single" w:color="auto" w:sz="4" w:space="0"/>
              <w:left w:val="single" w:color="auto" w:sz="4" w:space="0"/>
              <w:bottom w:val="single" w:color="auto" w:sz="4" w:space="0"/>
              <w:right w:val="single" w:color="auto" w:sz="4" w:space="0"/>
            </w:tcBorders>
            <w:vAlign w:val="center"/>
          </w:tcPr>
          <w:p w14:paraId="4E5C33D5">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高度危险</w:t>
            </w:r>
          </w:p>
        </w:tc>
      </w:tr>
      <w:tr w14:paraId="24E0F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39" w:type="dxa"/>
            <w:tcBorders>
              <w:top w:val="single" w:color="auto" w:sz="4" w:space="0"/>
              <w:left w:val="single" w:color="auto" w:sz="4" w:space="0"/>
              <w:bottom w:val="single" w:color="auto" w:sz="4" w:space="0"/>
              <w:right w:val="single" w:color="auto" w:sz="4" w:space="0"/>
            </w:tcBorders>
            <w:vAlign w:val="center"/>
          </w:tcPr>
          <w:p w14:paraId="33330C18">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70～160</w:t>
            </w:r>
          </w:p>
        </w:tc>
        <w:tc>
          <w:tcPr>
            <w:tcW w:w="4402" w:type="dxa"/>
            <w:tcBorders>
              <w:top w:val="single" w:color="auto" w:sz="4" w:space="0"/>
              <w:left w:val="single" w:color="auto" w:sz="4" w:space="0"/>
              <w:bottom w:val="single" w:color="auto" w:sz="4" w:space="0"/>
              <w:right w:val="single" w:color="auto" w:sz="4" w:space="0"/>
            </w:tcBorders>
            <w:vAlign w:val="center"/>
          </w:tcPr>
          <w:p w14:paraId="35E6B42D">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显著危险</w:t>
            </w:r>
          </w:p>
        </w:tc>
      </w:tr>
      <w:tr w14:paraId="7B0F6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 w:hRule="atLeast"/>
        </w:trPr>
        <w:tc>
          <w:tcPr>
            <w:tcW w:w="4339" w:type="dxa"/>
            <w:tcBorders>
              <w:top w:val="single" w:color="auto" w:sz="4" w:space="0"/>
              <w:left w:val="single" w:color="auto" w:sz="4" w:space="0"/>
              <w:bottom w:val="single" w:color="auto" w:sz="4" w:space="0"/>
              <w:right w:val="single" w:color="auto" w:sz="4" w:space="0"/>
            </w:tcBorders>
            <w:vAlign w:val="center"/>
          </w:tcPr>
          <w:p w14:paraId="019A5D41">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20～70</w:t>
            </w:r>
          </w:p>
        </w:tc>
        <w:tc>
          <w:tcPr>
            <w:tcW w:w="4402" w:type="dxa"/>
            <w:tcBorders>
              <w:top w:val="single" w:color="auto" w:sz="4" w:space="0"/>
              <w:left w:val="single" w:color="auto" w:sz="4" w:space="0"/>
              <w:bottom w:val="single" w:color="auto" w:sz="4" w:space="0"/>
              <w:right w:val="single" w:color="auto" w:sz="4" w:space="0"/>
            </w:tcBorders>
            <w:vAlign w:val="center"/>
          </w:tcPr>
          <w:p w14:paraId="345AF917">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bookmarkStart w:id="586" w:name="_Toc32009"/>
            <w:bookmarkStart w:id="587" w:name="_Toc12927"/>
            <w:bookmarkStart w:id="588" w:name="_Toc10985"/>
            <w:bookmarkStart w:id="589" w:name="_Toc28887"/>
            <w:bookmarkStart w:id="590" w:name="_Toc1874"/>
            <w:bookmarkStart w:id="591" w:name="_Toc30495"/>
            <w:bookmarkStart w:id="592" w:name="_Toc30727"/>
            <w:bookmarkStart w:id="593" w:name="_Toc23598"/>
            <w:bookmarkStart w:id="594" w:name="_Toc14915"/>
            <w:bookmarkStart w:id="595" w:name="_Toc8751"/>
            <w:bookmarkStart w:id="596" w:name="_Toc25681"/>
            <w:bookmarkStart w:id="597" w:name="_Toc12678"/>
            <w:bookmarkStart w:id="598" w:name="_Toc6519"/>
            <w:bookmarkStart w:id="599" w:name="_Toc8861"/>
            <w:bookmarkStart w:id="600" w:name="_Toc1069"/>
            <w:r>
              <w:rPr>
                <w:rFonts w:hint="eastAsia" w:ascii="宋体" w:hAnsi="宋体" w:eastAsia="宋体" w:cs="宋体"/>
                <w:color w:val="000000" w:themeColor="text1"/>
                <w:kern w:val="0"/>
                <w:szCs w:val="21"/>
                <w14:textFill>
                  <w14:solidFill>
                    <w14:schemeClr w14:val="tx1"/>
                  </w14:solidFill>
                </w14:textFill>
              </w:rPr>
              <w:t>可能危险</w:t>
            </w:r>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p>
        </w:tc>
      </w:tr>
      <w:tr w14:paraId="1B0BB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39" w:type="dxa"/>
            <w:tcBorders>
              <w:top w:val="single" w:color="auto" w:sz="4" w:space="0"/>
              <w:left w:val="single" w:color="auto" w:sz="4" w:space="0"/>
              <w:bottom w:val="single" w:color="auto" w:sz="4" w:space="0"/>
              <w:right w:val="single" w:color="auto" w:sz="4" w:space="0"/>
            </w:tcBorders>
            <w:vAlign w:val="center"/>
          </w:tcPr>
          <w:p w14:paraId="1DB81216">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bookmarkStart w:id="601" w:name="_Toc1127"/>
            <w:bookmarkStart w:id="602" w:name="_Toc31920"/>
            <w:bookmarkStart w:id="603" w:name="_Toc5139"/>
            <w:bookmarkStart w:id="604" w:name="_Toc27421"/>
            <w:bookmarkStart w:id="605" w:name="_Toc11207"/>
            <w:bookmarkStart w:id="606" w:name="_Toc5289"/>
            <w:bookmarkStart w:id="607" w:name="_Toc1905"/>
            <w:bookmarkStart w:id="608" w:name="_Toc5807"/>
            <w:bookmarkStart w:id="609" w:name="_Toc3087"/>
            <w:bookmarkStart w:id="610" w:name="_Toc12387"/>
            <w:bookmarkStart w:id="611" w:name="_Toc4276"/>
            <w:bookmarkStart w:id="612" w:name="_Toc5515"/>
            <w:bookmarkStart w:id="613" w:name="_Toc8676"/>
            <w:bookmarkStart w:id="614" w:name="_Toc10792"/>
            <w:bookmarkStart w:id="615" w:name="_Toc7939"/>
            <w:r>
              <w:rPr>
                <w:rFonts w:hint="eastAsia" w:ascii="宋体" w:hAnsi="宋体" w:eastAsia="宋体" w:cs="宋体"/>
                <w:color w:val="000000" w:themeColor="text1"/>
                <w:kern w:val="0"/>
                <w:szCs w:val="21"/>
                <w14:textFill>
                  <w14:solidFill>
                    <w14:schemeClr w14:val="tx1"/>
                  </w14:solidFill>
                </w14:textFill>
              </w:rPr>
              <w:t>&lt;20</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p>
        </w:tc>
        <w:tc>
          <w:tcPr>
            <w:tcW w:w="4402" w:type="dxa"/>
            <w:tcBorders>
              <w:top w:val="single" w:color="auto" w:sz="4" w:space="0"/>
              <w:left w:val="single" w:color="auto" w:sz="4" w:space="0"/>
              <w:bottom w:val="single" w:color="auto" w:sz="4" w:space="0"/>
              <w:right w:val="single" w:color="auto" w:sz="4" w:space="0"/>
            </w:tcBorders>
            <w:vAlign w:val="center"/>
          </w:tcPr>
          <w:p w14:paraId="118B0CBE">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bookmarkStart w:id="616" w:name="_Toc24128"/>
            <w:bookmarkStart w:id="617" w:name="_Toc22270"/>
            <w:bookmarkStart w:id="618" w:name="_Toc16735"/>
            <w:bookmarkStart w:id="619" w:name="_Toc26155"/>
            <w:bookmarkStart w:id="620" w:name="_Toc27865"/>
            <w:bookmarkStart w:id="621" w:name="_Toc11913"/>
            <w:bookmarkStart w:id="622" w:name="_Toc21170"/>
            <w:bookmarkStart w:id="623" w:name="_Toc30792"/>
            <w:bookmarkStart w:id="624" w:name="_Toc4104"/>
            <w:bookmarkStart w:id="625" w:name="_Toc6824"/>
            <w:bookmarkStart w:id="626" w:name="_Toc10232"/>
            <w:bookmarkStart w:id="627" w:name="_Toc11775"/>
            <w:bookmarkStart w:id="628" w:name="_Toc31811"/>
            <w:bookmarkStart w:id="629" w:name="_Toc20038"/>
            <w:bookmarkStart w:id="630" w:name="_Toc31399"/>
            <w:r>
              <w:rPr>
                <w:rFonts w:hint="eastAsia" w:ascii="宋体" w:hAnsi="宋体" w:eastAsia="宋体" w:cs="宋体"/>
                <w:color w:val="000000" w:themeColor="text1"/>
                <w:kern w:val="0"/>
                <w:szCs w:val="21"/>
                <w14:textFill>
                  <w14:solidFill>
                    <w14:schemeClr w14:val="tx1"/>
                  </w14:solidFill>
                </w14:textFill>
              </w:rPr>
              <w:t>稍有危险</w:t>
            </w:r>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p>
        </w:tc>
      </w:tr>
      <w:bookmarkEnd w:id="584"/>
      <w:bookmarkEnd w:id="585"/>
    </w:tbl>
    <w:p w14:paraId="53B63848">
      <w:pPr>
        <w:bidi w:val="0"/>
        <w:rPr>
          <w:rFonts w:hint="eastAsia" w:ascii="宋体" w:hAnsi="宋体" w:eastAsia="宋体" w:cs="宋体"/>
          <w:lang w:val="en-US" w:eastAsia="zh-CN"/>
        </w:rPr>
      </w:pPr>
      <w:bookmarkStart w:id="631" w:name="_Toc424816957"/>
      <w:bookmarkStart w:id="632" w:name="_Toc58751357"/>
      <w:bookmarkStart w:id="633" w:name="_Toc424136718"/>
      <w:bookmarkStart w:id="634" w:name="_Toc20956"/>
      <w:bookmarkStart w:id="635" w:name="_Toc424893560"/>
      <w:bookmarkStart w:id="636" w:name="_Toc19160"/>
      <w:bookmarkStart w:id="637" w:name="_Toc8074"/>
      <w:bookmarkStart w:id="638" w:name="_Toc15354"/>
      <w:bookmarkStart w:id="639" w:name="_Toc274895698"/>
      <w:bookmarkStart w:id="640" w:name="_Toc22587"/>
      <w:bookmarkStart w:id="641" w:name="_Toc424893432"/>
      <w:bookmarkStart w:id="642" w:name="_Toc10460"/>
      <w:bookmarkStart w:id="643" w:name="_Toc426117929"/>
    </w:p>
    <w:p w14:paraId="76551D7F">
      <w:pPr>
        <w:bidi w:val="0"/>
        <w:rPr>
          <w:rFonts w:hint="eastAsia" w:ascii="宋体" w:hAnsi="宋体" w:eastAsia="宋体" w:cs="宋体"/>
          <w:lang w:val="en-US" w:eastAsia="zh-CN"/>
        </w:rPr>
      </w:pPr>
    </w:p>
    <w:p w14:paraId="7ED4D4D4">
      <w:pPr>
        <w:pStyle w:val="4"/>
        <w:bidi w:val="0"/>
        <w:rPr>
          <w:rFonts w:hint="eastAsia" w:ascii="宋体" w:hAnsi="宋体" w:eastAsia="宋体" w:cs="宋体"/>
        </w:rPr>
      </w:pPr>
      <w:bookmarkStart w:id="644" w:name="_Toc28062"/>
      <w:r>
        <w:rPr>
          <w:rFonts w:hint="eastAsia" w:ascii="宋体" w:hAnsi="宋体" w:eastAsia="宋体" w:cs="宋体"/>
          <w:color w:val="000000" w:themeColor="text1"/>
          <w:lang w:val="en-US" w:eastAsia="zh-CN"/>
          <w14:textFill>
            <w14:solidFill>
              <w14:schemeClr w14:val="tx1"/>
            </w14:solidFill>
          </w14:textFill>
        </w:rPr>
        <w:t>4.5</w:t>
      </w:r>
      <w:r>
        <w:rPr>
          <w:rFonts w:hint="eastAsia" w:ascii="宋体" w:hAnsi="宋体" w:eastAsia="宋体" w:cs="宋体"/>
          <w:color w:val="000000" w:themeColor="text1"/>
          <w14:textFill>
            <w14:solidFill>
              <w14:schemeClr w14:val="tx1"/>
            </w14:solidFill>
          </w14:textFill>
        </w:rPr>
        <w:t>评价方法选择理由</w:t>
      </w:r>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p>
    <w:p w14:paraId="52D19604">
      <w:pPr>
        <w:spacing w:line="500" w:lineRule="exact"/>
        <w:ind w:firstLine="560" w:firstLineChars="200"/>
        <w:rPr>
          <w:rFonts w:hint="eastAsia" w:ascii="宋体" w:hAnsi="宋体" w:eastAsia="宋体" w:cs="宋体"/>
          <w:kern w:val="2"/>
          <w:sz w:val="28"/>
          <w:szCs w:val="24"/>
        </w:rPr>
      </w:pPr>
      <w:r>
        <w:rPr>
          <w:rFonts w:hint="eastAsia" w:ascii="宋体" w:hAnsi="宋体" w:eastAsia="宋体" w:cs="宋体"/>
          <w:kern w:val="2"/>
          <w:sz w:val="28"/>
          <w:szCs w:val="24"/>
        </w:rPr>
        <w:t>安全检查表的优缺点：</w:t>
      </w:r>
    </w:p>
    <w:p w14:paraId="10C257F1">
      <w:pPr>
        <w:spacing w:line="500" w:lineRule="exact"/>
        <w:ind w:firstLine="560" w:firstLineChars="200"/>
        <w:rPr>
          <w:rFonts w:hint="eastAsia" w:ascii="宋体" w:hAnsi="宋体" w:eastAsia="宋体" w:cs="宋体"/>
          <w:kern w:val="2"/>
          <w:sz w:val="28"/>
          <w:szCs w:val="24"/>
          <w:lang w:val="en-US" w:eastAsia="zh-CN"/>
        </w:rPr>
      </w:pPr>
      <w:r>
        <w:rPr>
          <w:rFonts w:hint="eastAsia" w:ascii="宋体" w:hAnsi="宋体" w:eastAsia="宋体" w:cs="宋体"/>
          <w:kern w:val="2"/>
          <w:sz w:val="28"/>
          <w:szCs w:val="24"/>
          <w:lang w:val="en-US" w:eastAsia="zh-CN"/>
        </w:rPr>
        <w:t>1.优点</w:t>
      </w:r>
    </w:p>
    <w:p w14:paraId="759BCB63">
      <w:pPr>
        <w:spacing w:line="500" w:lineRule="exact"/>
        <w:ind w:firstLine="560" w:firstLineChars="200"/>
        <w:rPr>
          <w:rFonts w:hint="eastAsia" w:ascii="宋体" w:hAnsi="宋体" w:eastAsia="宋体" w:cs="宋体"/>
          <w:kern w:val="2"/>
          <w:sz w:val="28"/>
          <w:szCs w:val="24"/>
          <w:lang w:val="en-US" w:eastAsia="zh-CN"/>
        </w:rPr>
      </w:pPr>
      <w:r>
        <w:rPr>
          <w:rFonts w:hint="eastAsia" w:ascii="宋体" w:hAnsi="宋体" w:eastAsia="宋体" w:cs="宋体"/>
          <w:kern w:val="2"/>
          <w:sz w:val="28"/>
          <w:szCs w:val="24"/>
          <w:lang w:val="en-US" w:eastAsia="zh-CN"/>
        </w:rPr>
        <w:t>（1）避免传统的安全检查中易发生的疏忽、遗漏等弊端，可全面地查出危险、有害因素（包括各类隐患）和工作漏项。</w:t>
      </w:r>
    </w:p>
    <w:p w14:paraId="0342B4FA">
      <w:pPr>
        <w:spacing w:line="500" w:lineRule="exact"/>
        <w:ind w:firstLine="560" w:firstLineChars="200"/>
        <w:rPr>
          <w:rFonts w:hint="eastAsia" w:ascii="宋体" w:hAnsi="宋体" w:eastAsia="宋体" w:cs="宋体"/>
          <w:kern w:val="2"/>
          <w:sz w:val="28"/>
          <w:szCs w:val="24"/>
          <w:lang w:val="en-US" w:eastAsia="zh-CN"/>
        </w:rPr>
      </w:pPr>
      <w:r>
        <w:rPr>
          <w:rFonts w:hint="eastAsia" w:ascii="宋体" w:hAnsi="宋体" w:eastAsia="宋体" w:cs="宋体"/>
          <w:kern w:val="2"/>
          <w:sz w:val="28"/>
          <w:szCs w:val="24"/>
          <w:lang w:val="en-US" w:eastAsia="zh-CN"/>
        </w:rPr>
        <w:t>（2）应用预先编制的系统检查表并依据有关法规、标准在检查表中列出了检查要求，使检查工作标准化、规范化。</w:t>
      </w:r>
    </w:p>
    <w:p w14:paraId="35E884F1">
      <w:pPr>
        <w:spacing w:line="500" w:lineRule="exact"/>
        <w:ind w:firstLine="560" w:firstLineChars="200"/>
        <w:rPr>
          <w:rFonts w:hint="eastAsia" w:ascii="宋体" w:hAnsi="宋体" w:eastAsia="宋体" w:cs="宋体"/>
          <w:kern w:val="2"/>
          <w:sz w:val="28"/>
          <w:szCs w:val="24"/>
          <w:lang w:val="en-US" w:eastAsia="zh-CN"/>
        </w:rPr>
      </w:pPr>
      <w:r>
        <w:rPr>
          <w:rFonts w:hint="eastAsia" w:ascii="宋体" w:hAnsi="宋体" w:eastAsia="宋体" w:cs="宋体"/>
          <w:kern w:val="2"/>
          <w:sz w:val="28"/>
          <w:szCs w:val="24"/>
          <w:lang w:val="en-US" w:eastAsia="zh-CN"/>
        </w:rPr>
        <w:t>（3）对不同的检查对象、检查目的有不同的检查表，应用范围广。</w:t>
      </w:r>
    </w:p>
    <w:p w14:paraId="1C09E96E">
      <w:pPr>
        <w:spacing w:line="500" w:lineRule="exact"/>
        <w:ind w:firstLine="560" w:firstLineChars="200"/>
        <w:rPr>
          <w:rFonts w:hint="eastAsia" w:ascii="宋体" w:hAnsi="宋体" w:eastAsia="宋体" w:cs="宋体"/>
          <w:kern w:val="2"/>
          <w:sz w:val="28"/>
          <w:szCs w:val="24"/>
          <w:lang w:val="en-US" w:eastAsia="zh-CN"/>
        </w:rPr>
      </w:pPr>
      <w:r>
        <w:rPr>
          <w:rFonts w:hint="eastAsia" w:ascii="宋体" w:hAnsi="宋体" w:eastAsia="宋体" w:cs="宋体"/>
          <w:kern w:val="2"/>
          <w:sz w:val="28"/>
          <w:szCs w:val="24"/>
          <w:lang w:val="en-US" w:eastAsia="zh-CN"/>
        </w:rPr>
        <w:t>（4）安全检查表简明易懂、使用方便、易于掌握，能弥补有关人员知识、经验不足的缺陷，减少盲目性。</w:t>
      </w:r>
    </w:p>
    <w:p w14:paraId="1A517700">
      <w:pPr>
        <w:spacing w:line="500" w:lineRule="exact"/>
        <w:ind w:firstLine="560" w:firstLineChars="200"/>
        <w:rPr>
          <w:rFonts w:hint="eastAsia" w:ascii="宋体" w:hAnsi="宋体" w:eastAsia="宋体" w:cs="宋体"/>
          <w:kern w:val="2"/>
          <w:sz w:val="28"/>
          <w:szCs w:val="24"/>
          <w:lang w:val="en-US" w:eastAsia="zh-CN"/>
        </w:rPr>
      </w:pPr>
      <w:r>
        <w:rPr>
          <w:rFonts w:hint="eastAsia" w:ascii="宋体" w:hAnsi="宋体" w:eastAsia="宋体" w:cs="宋体"/>
          <w:kern w:val="2"/>
          <w:sz w:val="28"/>
          <w:szCs w:val="24"/>
          <w:lang w:val="en-US" w:eastAsia="zh-CN"/>
        </w:rPr>
        <w:t>（5）检查人员依据安全检查表进行检查，检查结果即为履行职责的凭证。</w:t>
      </w:r>
    </w:p>
    <w:p w14:paraId="15DF8E59">
      <w:pPr>
        <w:spacing w:line="500" w:lineRule="exact"/>
        <w:ind w:firstLine="560" w:firstLineChars="200"/>
        <w:rPr>
          <w:rFonts w:hint="eastAsia" w:ascii="宋体" w:hAnsi="宋体" w:eastAsia="宋体" w:cs="宋体"/>
          <w:kern w:val="2"/>
          <w:sz w:val="28"/>
          <w:szCs w:val="24"/>
          <w:lang w:val="en-US" w:eastAsia="zh-CN"/>
        </w:rPr>
      </w:pPr>
      <w:r>
        <w:rPr>
          <w:rFonts w:hint="eastAsia" w:ascii="宋体" w:hAnsi="宋体" w:eastAsia="宋体" w:cs="宋体"/>
          <w:kern w:val="2"/>
          <w:sz w:val="28"/>
          <w:szCs w:val="24"/>
          <w:lang w:val="en-US" w:eastAsia="zh-CN"/>
        </w:rPr>
        <w:t>2.缺点</w:t>
      </w:r>
    </w:p>
    <w:p w14:paraId="2D5CA8AC">
      <w:pPr>
        <w:spacing w:line="500" w:lineRule="exact"/>
        <w:ind w:firstLine="560" w:firstLineChars="200"/>
        <w:rPr>
          <w:rFonts w:hint="eastAsia" w:ascii="宋体" w:hAnsi="宋体" w:eastAsia="宋体" w:cs="宋体"/>
          <w:kern w:val="2"/>
          <w:sz w:val="28"/>
          <w:szCs w:val="24"/>
        </w:rPr>
      </w:pPr>
      <w:r>
        <w:rPr>
          <w:rFonts w:hint="eastAsia" w:ascii="宋体" w:hAnsi="宋体" w:eastAsia="宋体" w:cs="宋体"/>
          <w:kern w:val="2"/>
          <w:sz w:val="28"/>
          <w:szCs w:val="24"/>
        </w:rPr>
        <w:t>针对不同的需要，须事先编制大量的检查表，工作量大，且安全检查表的质量受编制人员的知识水平和经验影响。</w:t>
      </w:r>
    </w:p>
    <w:p w14:paraId="6602870D">
      <w:pPr>
        <w:pStyle w:val="3"/>
        <w:bidi w:val="0"/>
        <w:rPr>
          <w:rFonts w:hint="eastAsia" w:ascii="宋体" w:hAnsi="宋体" w:eastAsia="宋体" w:cs="宋体"/>
          <w:color w:val="000000" w:themeColor="text1"/>
          <w14:textFill>
            <w14:solidFill>
              <w14:schemeClr w14:val="tx1"/>
            </w14:solidFill>
          </w14:textFill>
        </w:rPr>
      </w:pPr>
      <w:bookmarkStart w:id="645" w:name="_Toc8149"/>
      <w:bookmarkStart w:id="646" w:name="_Toc4473"/>
      <w:bookmarkStart w:id="647" w:name="_Toc27488"/>
      <w:bookmarkStart w:id="648" w:name="_Toc208674447"/>
      <w:bookmarkStart w:id="649" w:name="_Toc208675035"/>
      <w:bookmarkStart w:id="650" w:name="_Toc313453627"/>
      <w:bookmarkStart w:id="651" w:name="_Toc9727"/>
      <w:bookmarkStart w:id="652" w:name="_Toc13746"/>
      <w:bookmarkStart w:id="653" w:name="_Toc335926316"/>
      <w:bookmarkStart w:id="654" w:name="_Toc14419"/>
      <w:r>
        <w:rPr>
          <w:rFonts w:hint="eastAsia" w:ascii="宋体" w:hAnsi="宋体" w:eastAsia="宋体" w:cs="宋体"/>
          <w:color w:val="000000" w:themeColor="text1"/>
          <w14:textFill>
            <w14:solidFill>
              <w14:schemeClr w14:val="tx1"/>
            </w14:solidFill>
          </w14:textFill>
        </w:rPr>
        <w:br w:type="page"/>
      </w:r>
      <w:bookmarkStart w:id="655" w:name="_Toc763"/>
      <w:bookmarkStart w:id="656" w:name="_Toc27992"/>
      <w:r>
        <w:rPr>
          <w:rFonts w:hint="eastAsia" w:ascii="宋体" w:hAnsi="宋体" w:eastAsia="宋体" w:cs="宋体"/>
          <w:color w:val="000000" w:themeColor="text1"/>
          <w14:textFill>
            <w14:solidFill>
              <w14:schemeClr w14:val="tx1"/>
            </w14:solidFill>
          </w14:textFill>
        </w:rPr>
        <w:t xml:space="preserve">第5章 </w:t>
      </w:r>
      <w:bookmarkEnd w:id="645"/>
      <w:r>
        <w:rPr>
          <w:rFonts w:hint="eastAsia" w:ascii="宋体" w:hAnsi="宋体" w:eastAsia="宋体" w:cs="宋体"/>
          <w:color w:val="000000" w:themeColor="text1"/>
          <w14:textFill>
            <w14:solidFill>
              <w14:schemeClr w14:val="tx1"/>
            </w14:solidFill>
          </w14:textFill>
        </w:rPr>
        <w:t xml:space="preserve"> 定性、定量评价</w:t>
      </w:r>
      <w:bookmarkEnd w:id="646"/>
      <w:bookmarkEnd w:id="647"/>
      <w:bookmarkEnd w:id="655"/>
      <w:bookmarkEnd w:id="656"/>
    </w:p>
    <w:p w14:paraId="375A95F8">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657" w:name="_Toc937"/>
      <w:bookmarkStart w:id="658" w:name="_Toc29878"/>
      <w:bookmarkStart w:id="659" w:name="_Toc25341"/>
      <w:bookmarkStart w:id="660" w:name="_Toc25710"/>
      <w:bookmarkStart w:id="661" w:name="_Toc8228"/>
      <w:bookmarkStart w:id="662" w:name="_Toc309682497"/>
      <w:bookmarkStart w:id="663" w:name="_Toc202575709"/>
      <w:bookmarkStart w:id="664" w:name="_Toc278151421"/>
      <w:bookmarkStart w:id="665" w:name="_Toc201767299"/>
      <w:bookmarkStart w:id="666" w:name="_Toc335926267"/>
      <w:bookmarkStart w:id="667" w:name="_Toc327017834"/>
      <w:r>
        <w:rPr>
          <w:rFonts w:hint="eastAsia" w:ascii="宋体" w:hAnsi="宋体" w:eastAsia="宋体" w:cs="宋体"/>
          <w:color w:val="000000" w:themeColor="text1"/>
          <w14:textFill>
            <w14:solidFill>
              <w14:schemeClr w14:val="tx1"/>
            </w14:solidFill>
          </w14:textFill>
        </w:rPr>
        <w:t>5.1</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厂址及总平面布置评价单元</w:t>
      </w:r>
      <w:bookmarkEnd w:id="657"/>
      <w:bookmarkEnd w:id="658"/>
      <w:bookmarkEnd w:id="659"/>
      <w:bookmarkEnd w:id="660"/>
    </w:p>
    <w:p w14:paraId="7BE66B7C">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668" w:name="_Toc2499"/>
      <w:bookmarkStart w:id="669" w:name="_Toc15050"/>
      <w:bookmarkStart w:id="670" w:name="_Toc18062"/>
      <w:r>
        <w:rPr>
          <w:rFonts w:hint="eastAsia" w:ascii="宋体" w:hAnsi="宋体" w:eastAsia="宋体" w:cs="宋体"/>
          <w:color w:val="000000" w:themeColor="text1"/>
          <w:lang w:val="en-US" w:eastAsia="zh-CN"/>
          <w14:textFill>
            <w14:solidFill>
              <w14:schemeClr w14:val="tx1"/>
            </w14:solidFill>
          </w14:textFill>
        </w:rPr>
        <w:t>5.1.1厂址及总平面布置安全检查表</w:t>
      </w:r>
      <w:bookmarkEnd w:id="661"/>
      <w:bookmarkEnd w:id="662"/>
      <w:bookmarkEnd w:id="663"/>
      <w:bookmarkEnd w:id="664"/>
      <w:bookmarkEnd w:id="665"/>
      <w:bookmarkEnd w:id="666"/>
      <w:bookmarkEnd w:id="667"/>
      <w:bookmarkEnd w:id="668"/>
      <w:bookmarkEnd w:id="669"/>
      <w:bookmarkEnd w:id="670"/>
    </w:p>
    <w:p w14:paraId="2480E81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本评价单元依据《工业企业总平面设计规范》（GB50187-2012）、《工业企业厂内铁路、道路运输安全规程》（GB4387-2008）</w:t>
      </w:r>
      <w:r>
        <w:rPr>
          <w:rFonts w:hint="eastAsia" w:ascii="宋体" w:hAnsi="宋体" w:eastAsia="宋体" w:cs="宋体"/>
          <w:color w:val="000000" w:themeColor="text1"/>
          <w:sz w:val="28"/>
          <w:szCs w:val="28"/>
          <w:lang w:eastAsia="zh-CN"/>
          <w14:textFill>
            <w14:solidFill>
              <w14:schemeClr w14:val="tx1"/>
            </w14:solidFill>
          </w14:textFill>
        </w:rPr>
        <w:t>和</w:t>
      </w:r>
      <w:r>
        <w:rPr>
          <w:rFonts w:hint="eastAsia" w:ascii="宋体" w:hAnsi="宋体" w:eastAsia="宋体" w:cs="宋体"/>
          <w:color w:val="000000" w:themeColor="text1"/>
          <w:sz w:val="28"/>
          <w:szCs w:val="28"/>
          <w14:textFill>
            <w14:solidFill>
              <w14:schemeClr w14:val="tx1"/>
            </w14:solidFill>
          </w14:textFill>
        </w:rPr>
        <w:t>《建筑设计防火规范〔2018</w:t>
      </w:r>
      <w:r>
        <w:rPr>
          <w:rFonts w:hint="eastAsia" w:ascii="宋体" w:hAnsi="宋体" w:eastAsia="宋体" w:cs="宋体"/>
          <w:color w:val="000000" w:themeColor="text1"/>
          <w:sz w:val="28"/>
          <w:szCs w:val="28"/>
          <w:lang w:val="en-US" w:eastAsia="zh-CN"/>
          <w14:textFill>
            <w14:solidFill>
              <w14:schemeClr w14:val="tx1"/>
            </w14:solidFill>
          </w14:textFill>
        </w:rPr>
        <w:t>年</w:t>
      </w:r>
      <w:r>
        <w:rPr>
          <w:rFonts w:hint="eastAsia" w:ascii="宋体" w:hAnsi="宋体" w:eastAsia="宋体" w:cs="宋体"/>
          <w:color w:val="000000" w:themeColor="text1"/>
          <w:sz w:val="28"/>
          <w:szCs w:val="28"/>
          <w14:textFill>
            <w14:solidFill>
              <w14:schemeClr w14:val="tx1"/>
            </w14:solidFill>
          </w14:textFill>
        </w:rPr>
        <w:t>版〕》（GB 50016-2014）等相关标准和规范中的相关内容对该项目的厂址和总平面布置采用安全检查表进行分析评价，检查其是否符合有关标准、规范的要求。</w:t>
      </w:r>
    </w:p>
    <w:p w14:paraId="12D130CF">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表5-1  厂址及总平面布置安全检查表</w:t>
      </w:r>
    </w:p>
    <w:tbl>
      <w:tblPr>
        <w:tblStyle w:val="52"/>
        <w:tblW w:w="84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2520"/>
        <w:gridCol w:w="2400"/>
        <w:gridCol w:w="2145"/>
        <w:gridCol w:w="720"/>
      </w:tblGrid>
      <w:tr w14:paraId="6FFA4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637" w:type="dxa"/>
            <w:vAlign w:val="center"/>
          </w:tcPr>
          <w:p w14:paraId="7D6080E2">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2520" w:type="dxa"/>
            <w:vAlign w:val="center"/>
          </w:tcPr>
          <w:p w14:paraId="0766C011">
            <w:pPr>
              <w:keepNext w:val="0"/>
              <w:keepLines w:val="0"/>
              <w:pageBreakBefore w:val="0"/>
              <w:suppressAutoHyphens/>
              <w:kinsoku/>
              <w:wordWrap/>
              <w:overflowPunct/>
              <w:topLinePunct w:val="0"/>
              <w:bidi w:val="0"/>
              <w:snapToGrid w:val="0"/>
              <w:jc w:val="center"/>
              <w:textAlignment w:val="auto"/>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检查内容</w:t>
            </w:r>
          </w:p>
        </w:tc>
        <w:tc>
          <w:tcPr>
            <w:tcW w:w="2400" w:type="dxa"/>
            <w:vAlign w:val="center"/>
          </w:tcPr>
          <w:p w14:paraId="432A50CA">
            <w:pPr>
              <w:keepNext w:val="0"/>
              <w:keepLines w:val="0"/>
              <w:pageBreakBefore w:val="0"/>
              <w:suppressAutoHyphens/>
              <w:kinsoku/>
              <w:wordWrap/>
              <w:overflowPunct/>
              <w:topLinePunct w:val="0"/>
              <w:bidi w:val="0"/>
              <w:snapToGrid w:val="0"/>
              <w:jc w:val="center"/>
              <w:textAlignment w:val="auto"/>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依据标准</w:t>
            </w:r>
          </w:p>
        </w:tc>
        <w:tc>
          <w:tcPr>
            <w:tcW w:w="2145" w:type="dxa"/>
            <w:vAlign w:val="center"/>
          </w:tcPr>
          <w:p w14:paraId="61BA3306">
            <w:pPr>
              <w:keepNext w:val="0"/>
              <w:keepLines w:val="0"/>
              <w:pageBreakBefore w:val="0"/>
              <w:suppressAutoHyphens/>
              <w:kinsoku/>
              <w:wordWrap/>
              <w:overflowPunct/>
              <w:topLinePunct w:val="0"/>
              <w:bidi w:val="0"/>
              <w:snapToGrid w:val="0"/>
              <w:jc w:val="center"/>
              <w:textAlignment w:val="auto"/>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检查情况</w:t>
            </w:r>
          </w:p>
        </w:tc>
        <w:tc>
          <w:tcPr>
            <w:tcW w:w="720" w:type="dxa"/>
            <w:vAlign w:val="center"/>
          </w:tcPr>
          <w:p w14:paraId="722D60C6">
            <w:pPr>
              <w:keepNext w:val="0"/>
              <w:keepLines w:val="0"/>
              <w:pageBreakBefore w:val="0"/>
              <w:suppressAutoHyphens/>
              <w:kinsoku/>
              <w:wordWrap/>
              <w:overflowPunct/>
              <w:topLinePunct w:val="0"/>
              <w:bidi w:val="0"/>
              <w:snapToGrid w:val="0"/>
              <w:jc w:val="center"/>
              <w:textAlignment w:val="auto"/>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结论</w:t>
            </w:r>
          </w:p>
        </w:tc>
      </w:tr>
      <w:tr w14:paraId="183EE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8422" w:type="dxa"/>
            <w:gridSpan w:val="5"/>
            <w:vAlign w:val="center"/>
          </w:tcPr>
          <w:p w14:paraId="5150C9E3">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厂址检查</w:t>
            </w:r>
          </w:p>
        </w:tc>
      </w:tr>
      <w:tr w14:paraId="543A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29F0D804">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1</w:t>
            </w:r>
          </w:p>
        </w:tc>
        <w:tc>
          <w:tcPr>
            <w:tcW w:w="2520" w:type="dxa"/>
            <w:vAlign w:val="center"/>
          </w:tcPr>
          <w:p w14:paraId="1D2C05CC">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厂址选择应符合国家的工业布局、城镇（乡）总体规划及土地利用总体规划的要求。  </w:t>
            </w:r>
          </w:p>
        </w:tc>
        <w:tc>
          <w:tcPr>
            <w:tcW w:w="2400" w:type="dxa"/>
            <w:vAlign w:val="center"/>
          </w:tcPr>
          <w:p w14:paraId="6D67E58D">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6F78B22C">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第3.0.1条</w:t>
            </w:r>
          </w:p>
        </w:tc>
        <w:tc>
          <w:tcPr>
            <w:tcW w:w="2145" w:type="dxa"/>
            <w:vAlign w:val="center"/>
          </w:tcPr>
          <w:p w14:paraId="4E501149">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该厂有土地使用</w:t>
            </w:r>
            <w:r>
              <w:rPr>
                <w:rFonts w:hint="eastAsia" w:ascii="宋体" w:hAnsi="宋体" w:eastAsia="宋体" w:cs="宋体"/>
                <w:color w:val="000000" w:themeColor="text1"/>
                <w:kern w:val="2"/>
                <w:sz w:val="21"/>
                <w:szCs w:val="21"/>
                <w:lang w:val="en-US" w:eastAsia="zh-CN"/>
                <w14:textFill>
                  <w14:solidFill>
                    <w14:schemeClr w14:val="tx1"/>
                  </w14:solidFill>
                </w14:textFill>
              </w:rPr>
              <w:t>证</w:t>
            </w:r>
            <w:r>
              <w:rPr>
                <w:rFonts w:hint="eastAsia" w:ascii="宋体" w:hAnsi="宋体" w:eastAsia="宋体" w:cs="宋体"/>
                <w:color w:val="000000" w:themeColor="text1"/>
                <w:kern w:val="2"/>
                <w:sz w:val="21"/>
                <w:szCs w:val="21"/>
                <w14:textFill>
                  <w14:solidFill>
                    <w14:schemeClr w14:val="tx1"/>
                  </w14:solidFill>
                </w14:textFill>
              </w:rPr>
              <w:t>，选址选择</w:t>
            </w:r>
            <w:r>
              <w:rPr>
                <w:rFonts w:hint="eastAsia" w:ascii="宋体" w:hAnsi="宋体" w:eastAsia="宋体" w:cs="宋体"/>
                <w:color w:val="000000" w:themeColor="text1"/>
                <w:sz w:val="21"/>
                <w:szCs w:val="21"/>
                <w14:textFill>
                  <w14:solidFill>
                    <w14:schemeClr w14:val="tx1"/>
                  </w14:solidFill>
                </w14:textFill>
              </w:rPr>
              <w:t>符合城镇总体规划的要求。</w:t>
            </w:r>
          </w:p>
        </w:tc>
        <w:tc>
          <w:tcPr>
            <w:tcW w:w="720" w:type="dxa"/>
            <w:vAlign w:val="center"/>
          </w:tcPr>
          <w:p w14:paraId="6E51AD1D">
            <w:pPr>
              <w:keepNext w:val="0"/>
              <w:keepLines w:val="0"/>
              <w:pageBreakBefore w:val="0"/>
              <w:tabs>
                <w:tab w:val="left" w:pos="4635"/>
              </w:tabs>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9D81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16BC85D9">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2</w:t>
            </w:r>
          </w:p>
        </w:tc>
        <w:tc>
          <w:tcPr>
            <w:tcW w:w="2520" w:type="dxa"/>
            <w:vAlign w:val="center"/>
          </w:tcPr>
          <w:p w14:paraId="1D433B67">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配套和服务工业企业的居住区、交通运输、动力公用设施、废料场及环境保护工程、施工基地等用地，应与厂区用地同时选择。 </w:t>
            </w:r>
          </w:p>
        </w:tc>
        <w:tc>
          <w:tcPr>
            <w:tcW w:w="2400" w:type="dxa"/>
            <w:vAlign w:val="center"/>
          </w:tcPr>
          <w:p w14:paraId="1DA66F43">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188FCBF1">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第3.0.2条</w:t>
            </w:r>
          </w:p>
        </w:tc>
        <w:tc>
          <w:tcPr>
            <w:tcW w:w="2145" w:type="dxa"/>
            <w:vAlign w:val="center"/>
          </w:tcPr>
          <w:p w14:paraId="7BAE36AE">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生活区、交通运输、动力公用设施、废料场及环境保护工程、施工基地等用地，厂区用地同时选择。</w:t>
            </w:r>
          </w:p>
        </w:tc>
        <w:tc>
          <w:tcPr>
            <w:tcW w:w="720" w:type="dxa"/>
            <w:vAlign w:val="center"/>
          </w:tcPr>
          <w:p w14:paraId="2062FDED">
            <w:pPr>
              <w:keepNext w:val="0"/>
              <w:keepLines w:val="0"/>
              <w:pageBreakBefore w:val="0"/>
              <w:tabs>
                <w:tab w:val="left" w:pos="4635"/>
              </w:tabs>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DD3C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1FFF604D">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2520" w:type="dxa"/>
            <w:vAlign w:val="center"/>
          </w:tcPr>
          <w:p w14:paraId="547CCA18">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原料、燃料或产品运输量（特别）大的工业企业，厂址宜靠近原料、燃料基地或产品主要销售地及协作条件好的地区。 </w:t>
            </w:r>
          </w:p>
        </w:tc>
        <w:tc>
          <w:tcPr>
            <w:tcW w:w="2400" w:type="dxa"/>
            <w:vAlign w:val="center"/>
          </w:tcPr>
          <w:p w14:paraId="31F69B4E">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06BE8209">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第3.0.4条</w:t>
            </w:r>
          </w:p>
        </w:tc>
        <w:tc>
          <w:tcPr>
            <w:tcW w:w="2145" w:type="dxa"/>
            <w:vAlign w:val="center"/>
          </w:tcPr>
          <w:p w14:paraId="7574CAF9">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rPr>
              <w:t>该项目原、辅料等的来源进行多方案技术经济比较，择优确定。</w:t>
            </w:r>
          </w:p>
        </w:tc>
        <w:tc>
          <w:tcPr>
            <w:tcW w:w="720" w:type="dxa"/>
            <w:vAlign w:val="center"/>
          </w:tcPr>
          <w:p w14:paraId="32C52BE9">
            <w:pPr>
              <w:keepNext w:val="0"/>
              <w:keepLines w:val="0"/>
              <w:pageBreakBefore w:val="0"/>
              <w:tabs>
                <w:tab w:val="left" w:pos="4635"/>
              </w:tabs>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0B9B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68A7AACE">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p>
        </w:tc>
        <w:tc>
          <w:tcPr>
            <w:tcW w:w="2520" w:type="dxa"/>
            <w:vAlign w:val="center"/>
          </w:tcPr>
          <w:p w14:paraId="63098C28">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厂址应有便利和经济的交通运输条件，与厂外铁路、公路的连接，应便捷、工程量小。临近江、河、湖、海的厂址，通航条件满足企业运输要求时，应尽量利用水运，且厂址宜靠近适合建设码头的地段。 </w:t>
            </w:r>
          </w:p>
        </w:tc>
        <w:tc>
          <w:tcPr>
            <w:tcW w:w="2400" w:type="dxa"/>
            <w:vAlign w:val="center"/>
          </w:tcPr>
          <w:p w14:paraId="0A6DFEC7">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05128CF3">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第3.0.5条</w:t>
            </w:r>
          </w:p>
        </w:tc>
        <w:tc>
          <w:tcPr>
            <w:tcW w:w="2145" w:type="dxa"/>
            <w:vAlign w:val="center"/>
          </w:tcPr>
          <w:p w14:paraId="1E641051">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rPr>
              <w:t>主要原、辅料、产品运输较方便。</w:t>
            </w:r>
          </w:p>
        </w:tc>
        <w:tc>
          <w:tcPr>
            <w:tcW w:w="720" w:type="dxa"/>
            <w:vAlign w:val="center"/>
          </w:tcPr>
          <w:p w14:paraId="1A49D4C4">
            <w:pPr>
              <w:keepNext w:val="0"/>
              <w:keepLines w:val="0"/>
              <w:pageBreakBefore w:val="0"/>
              <w:tabs>
                <w:tab w:val="left" w:pos="4635"/>
              </w:tabs>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EF8B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55A4C679">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w:t>
            </w:r>
          </w:p>
        </w:tc>
        <w:tc>
          <w:tcPr>
            <w:tcW w:w="2520" w:type="dxa"/>
            <w:vAlign w:val="center"/>
          </w:tcPr>
          <w:p w14:paraId="068D1855">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厂址应具有满足生产、生活及发展所必需的水源和电源。水源和电源与厂址之间的管线连接应尽量短捷，且用水、用电量（特别）大的工业企业宜靠近水源及电源地。 </w:t>
            </w:r>
          </w:p>
        </w:tc>
        <w:tc>
          <w:tcPr>
            <w:tcW w:w="2400" w:type="dxa"/>
            <w:vAlign w:val="center"/>
          </w:tcPr>
          <w:p w14:paraId="1589B25A">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2C55209F">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第3.0.6条</w:t>
            </w:r>
          </w:p>
        </w:tc>
        <w:tc>
          <w:tcPr>
            <w:tcW w:w="2145" w:type="dxa"/>
            <w:vAlign w:val="center"/>
          </w:tcPr>
          <w:p w14:paraId="27CD5F08">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厂址具有满足生产、生活及发展规划所必需的水源和电源。</w:t>
            </w:r>
          </w:p>
        </w:tc>
        <w:tc>
          <w:tcPr>
            <w:tcW w:w="720" w:type="dxa"/>
            <w:vAlign w:val="center"/>
          </w:tcPr>
          <w:p w14:paraId="46EB6EDB">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41E7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637" w:type="dxa"/>
            <w:vAlign w:val="center"/>
          </w:tcPr>
          <w:p w14:paraId="5BF90C57">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2520" w:type="dxa"/>
            <w:vAlign w:val="center"/>
          </w:tcPr>
          <w:p w14:paraId="5681E66D">
            <w:pPr>
              <w:adjustRightInd w:val="0"/>
              <w:snapToGrid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厂址应具有满足建设工程需要的工程地质条件和水文地质条件。</w:t>
            </w:r>
          </w:p>
        </w:tc>
        <w:tc>
          <w:tcPr>
            <w:tcW w:w="2400" w:type="dxa"/>
            <w:vAlign w:val="center"/>
          </w:tcPr>
          <w:p w14:paraId="53335A87">
            <w:pPr>
              <w:adjustRightInd w:val="0"/>
              <w:snapToGrid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36E634DA">
            <w:pPr>
              <w:adjustRightInd w:val="0"/>
              <w:snapToGrid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3.0.8</w:t>
            </w:r>
          </w:p>
        </w:tc>
        <w:tc>
          <w:tcPr>
            <w:tcW w:w="2145" w:type="dxa"/>
            <w:vAlign w:val="center"/>
          </w:tcPr>
          <w:p w14:paraId="35E99A23">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据项目组现场勘查，场地满足建设工程需要的工程地质条件。</w:t>
            </w:r>
          </w:p>
        </w:tc>
        <w:tc>
          <w:tcPr>
            <w:tcW w:w="720" w:type="dxa"/>
            <w:vAlign w:val="center"/>
          </w:tcPr>
          <w:p w14:paraId="41AC9F19">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9F74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2652B55D">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w:t>
            </w:r>
          </w:p>
        </w:tc>
        <w:tc>
          <w:tcPr>
            <w:tcW w:w="2520" w:type="dxa"/>
            <w:vAlign w:val="center"/>
          </w:tcPr>
          <w:p w14:paraId="19905204">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厂址应满足近期建设所必需的场地面积和适宜的建厂地形，并应根据工业企业远期发展规划的需要，留有适当的发展余地。</w:t>
            </w:r>
          </w:p>
        </w:tc>
        <w:tc>
          <w:tcPr>
            <w:tcW w:w="2400" w:type="dxa"/>
            <w:vAlign w:val="center"/>
          </w:tcPr>
          <w:p w14:paraId="450F04D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0F5B1A6A">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第3.0.9条</w:t>
            </w:r>
          </w:p>
        </w:tc>
        <w:tc>
          <w:tcPr>
            <w:tcW w:w="2145" w:type="dxa"/>
            <w:vAlign w:val="center"/>
          </w:tcPr>
          <w:p w14:paraId="685AD193">
            <w:pPr>
              <w:keepNext w:val="0"/>
              <w:keepLines w:val="0"/>
              <w:pageBreakBefore w:val="0"/>
              <w:widowControl/>
              <w:kinsoku/>
              <w:wordWrap/>
              <w:overflowPunct/>
              <w:topLinePunct w:val="0"/>
              <w:bidi w:val="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厂址满足近期建设所 </w:t>
            </w:r>
          </w:p>
          <w:p w14:paraId="0A8D7C65">
            <w:pPr>
              <w:keepNext w:val="0"/>
              <w:keepLines w:val="0"/>
              <w:pageBreakBefore w:val="0"/>
              <w:widowControl/>
              <w:kinsoku/>
              <w:wordWrap/>
              <w:overflowPunct/>
              <w:topLinePunct w:val="0"/>
              <w:bidi w:val="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必需的场地面积和适 </w:t>
            </w:r>
          </w:p>
          <w:p w14:paraId="7FFC36D3">
            <w:pPr>
              <w:keepNext w:val="0"/>
              <w:keepLines w:val="0"/>
              <w:pageBreakBefore w:val="0"/>
              <w:widowControl/>
              <w:kinsoku/>
              <w:wordWrap/>
              <w:overflowPunct/>
              <w:topLinePunct w:val="0"/>
              <w:bidi w:val="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宜的建厂地形，并预 </w:t>
            </w:r>
          </w:p>
          <w:p w14:paraId="77B0B9A8">
            <w:pPr>
              <w:keepNext w:val="0"/>
              <w:keepLines w:val="0"/>
              <w:pageBreakBefore w:val="0"/>
              <w:widowControl/>
              <w:kinsoku/>
              <w:wordWrap/>
              <w:overflowPunct/>
              <w:topLinePunct w:val="0"/>
              <w:bidi w:val="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留有空地。</w:t>
            </w:r>
          </w:p>
        </w:tc>
        <w:tc>
          <w:tcPr>
            <w:tcW w:w="720" w:type="dxa"/>
            <w:vAlign w:val="center"/>
          </w:tcPr>
          <w:p w14:paraId="3C21F242">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69FBA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585B9957">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w:t>
            </w:r>
          </w:p>
        </w:tc>
        <w:tc>
          <w:tcPr>
            <w:tcW w:w="2520" w:type="dxa"/>
            <w:vAlign w:val="center"/>
          </w:tcPr>
          <w:p w14:paraId="7A32B158">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厂址应满足适宜的地形坡度，尽量避开自然地形复杂、自然坡度大的地段，应避免将盆地、积水洼地作为厂址。</w:t>
            </w:r>
          </w:p>
        </w:tc>
        <w:tc>
          <w:tcPr>
            <w:tcW w:w="2400" w:type="dxa"/>
            <w:vAlign w:val="center"/>
          </w:tcPr>
          <w:p w14:paraId="49937A2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37E7340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第3.0.10条</w:t>
            </w:r>
          </w:p>
        </w:tc>
        <w:tc>
          <w:tcPr>
            <w:tcW w:w="2145" w:type="dxa"/>
            <w:vAlign w:val="center"/>
          </w:tcPr>
          <w:p w14:paraId="791AC057">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厂址具有适宜的地形坡度，不属于自然地形复杂、自然坡度大的地段。</w:t>
            </w:r>
          </w:p>
        </w:tc>
        <w:tc>
          <w:tcPr>
            <w:tcW w:w="720" w:type="dxa"/>
            <w:vAlign w:val="center"/>
          </w:tcPr>
          <w:p w14:paraId="449FE9F6">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619D7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47CF57B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w:t>
            </w:r>
          </w:p>
        </w:tc>
        <w:tc>
          <w:tcPr>
            <w:tcW w:w="2520" w:type="dxa"/>
            <w:vAlign w:val="center"/>
          </w:tcPr>
          <w:p w14:paraId="45B798BA">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厂址应有利于同邻近工业企业和依托城镇在生产、交通运输、动力公用、机修和器材供应、综合利用、发展循环经济和生活设施等方面的协作等方面的协作。</w:t>
            </w:r>
          </w:p>
        </w:tc>
        <w:tc>
          <w:tcPr>
            <w:tcW w:w="2400" w:type="dxa"/>
            <w:vAlign w:val="center"/>
          </w:tcPr>
          <w:p w14:paraId="3FB5A973">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1A9A85F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第3.0.11条</w:t>
            </w:r>
          </w:p>
        </w:tc>
        <w:tc>
          <w:tcPr>
            <w:tcW w:w="2145" w:type="dxa"/>
            <w:vAlign w:val="center"/>
          </w:tcPr>
          <w:p w14:paraId="3D66C3F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项目厂址有利于依托城镇在生产、交通运输、动力公用、修理、综合利用和生活设施等方面的协作。</w:t>
            </w:r>
          </w:p>
        </w:tc>
        <w:tc>
          <w:tcPr>
            <w:tcW w:w="720" w:type="dxa"/>
            <w:vAlign w:val="center"/>
          </w:tcPr>
          <w:p w14:paraId="6E764F3A">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06227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3091D156">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w:t>
            </w:r>
          </w:p>
        </w:tc>
        <w:tc>
          <w:tcPr>
            <w:tcW w:w="2520" w:type="dxa"/>
            <w:vAlign w:val="center"/>
          </w:tcPr>
          <w:p w14:paraId="7F02C47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厂址应位于不受洪水、潮水或内涝威胁的地带，并应符合下列规定： </w:t>
            </w:r>
          </w:p>
          <w:p w14:paraId="055151E9">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 xml:space="preserve">当厂址不可避免不受洪水、潮水、或内涝威胁的地带时，必须采取防洪、排涝措施； </w:t>
            </w:r>
          </w:p>
          <w:p w14:paraId="0138553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凡受江、河、潮、海洪水、潮水或山洪威胁的工业企业，防洪标准应符合现行国家标准 《防洪标准 》GB 50201的有关规定。</w:t>
            </w:r>
          </w:p>
        </w:tc>
        <w:tc>
          <w:tcPr>
            <w:tcW w:w="2400" w:type="dxa"/>
            <w:vAlign w:val="center"/>
          </w:tcPr>
          <w:p w14:paraId="7CDEDA5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60BD10A2">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第3.0.12条</w:t>
            </w:r>
          </w:p>
        </w:tc>
        <w:tc>
          <w:tcPr>
            <w:tcW w:w="2145" w:type="dxa"/>
            <w:vAlign w:val="center"/>
          </w:tcPr>
          <w:p w14:paraId="7E3F7467">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该项目厂址不受洪水、潮水和内涝的威胁。</w:t>
            </w:r>
          </w:p>
        </w:tc>
        <w:tc>
          <w:tcPr>
            <w:tcW w:w="720" w:type="dxa"/>
            <w:vAlign w:val="center"/>
          </w:tcPr>
          <w:p w14:paraId="79FB8949">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48F03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6B98AE1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1</w:t>
            </w:r>
          </w:p>
        </w:tc>
        <w:tc>
          <w:tcPr>
            <w:tcW w:w="2520" w:type="dxa"/>
            <w:vAlign w:val="center"/>
          </w:tcPr>
          <w:p w14:paraId="67E20D87">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下列地段和地区不应选为厂址： </w:t>
            </w:r>
          </w:p>
          <w:p w14:paraId="4805F6E6">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1）发震断层和抗震设防烈度为9 度及高于9度的地震区；</w:t>
            </w:r>
          </w:p>
          <w:p w14:paraId="7E686B1B">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2）有泥石流、滑坡、流沙、溶洞等直接危害的地段；</w:t>
            </w:r>
          </w:p>
          <w:p w14:paraId="63E49869">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3）采矿陷落（错动）区地表界限内；</w:t>
            </w:r>
          </w:p>
          <w:p w14:paraId="0DE71AC7">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4）爆破危险界限内；</w:t>
            </w:r>
          </w:p>
          <w:p w14:paraId="17526CE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5）坝或堤决溃后可能淹没的地区； </w:t>
            </w:r>
          </w:p>
          <w:p w14:paraId="29E22164">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6）有严重放射性物质污染影响区；</w:t>
            </w:r>
          </w:p>
          <w:p w14:paraId="0BC15544">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7）生活居住区、文教区、水源保护区、名胜古迹、风景游览区、温泉、疗 养区、自然保护区和其它需要特别保护的区域；</w:t>
            </w:r>
          </w:p>
          <w:p w14:paraId="5911D61F">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8）对飞机起落、电台通讯、电视转播、雷达导航和重要的天文、气象、地震观察以及军事设施等规定有影响的范围内；</w:t>
            </w:r>
          </w:p>
          <w:p w14:paraId="6F380B1B">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9）很严重的自重湿陷性黄土地段，厚度大的新近堆积黄土地段和高压缩性的 饱和黄土地段等地质条件恶劣地段；</w:t>
            </w:r>
          </w:p>
          <w:p w14:paraId="270B4CC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10）具有开采价值的矿藏区； 11）受海啸或湖涌危害的地区。</w:t>
            </w:r>
          </w:p>
        </w:tc>
        <w:tc>
          <w:tcPr>
            <w:tcW w:w="2400" w:type="dxa"/>
            <w:vAlign w:val="center"/>
          </w:tcPr>
          <w:p w14:paraId="4BF21F37">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36E9A89B">
            <w:pPr>
              <w:pStyle w:val="163"/>
              <w:keepNext w:val="0"/>
              <w:keepLines w:val="0"/>
              <w:pageBreakBefore w:val="0"/>
              <w:widowControl w:val="0"/>
              <w:kinsoku/>
              <w:wordWrap/>
              <w:overflowPunct/>
              <w:topLinePunct w:val="0"/>
              <w:bidi w:val="0"/>
              <w:adjustRightInd/>
              <w:snapToGrid w:val="0"/>
              <w:spacing w:line="240"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第3.0.14条</w:t>
            </w:r>
          </w:p>
        </w:tc>
        <w:tc>
          <w:tcPr>
            <w:tcW w:w="2145" w:type="dxa"/>
            <w:vAlign w:val="center"/>
          </w:tcPr>
          <w:p w14:paraId="7B12FECC">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厂址选择满足要求。</w:t>
            </w:r>
          </w:p>
        </w:tc>
        <w:tc>
          <w:tcPr>
            <w:tcW w:w="720" w:type="dxa"/>
            <w:vAlign w:val="center"/>
          </w:tcPr>
          <w:p w14:paraId="0D1C1656">
            <w:pPr>
              <w:pStyle w:val="163"/>
              <w:keepNext w:val="0"/>
              <w:keepLines w:val="0"/>
              <w:pageBreakBefore w:val="0"/>
              <w:widowControl w:val="0"/>
              <w:kinsoku/>
              <w:wordWrap/>
              <w:overflowPunct/>
              <w:topLinePunct w:val="0"/>
              <w:bidi w:val="0"/>
              <w:adjustRightInd/>
              <w:snapToGrid w:val="0"/>
              <w:spacing w:line="240" w:lineRule="auto"/>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C46C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3D7B6680">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12</w:t>
            </w:r>
          </w:p>
        </w:tc>
        <w:tc>
          <w:tcPr>
            <w:tcW w:w="2520" w:type="dxa"/>
            <w:vAlign w:val="center"/>
          </w:tcPr>
          <w:p w14:paraId="66F70C54">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选址宜避开可能产生或存在危害健康的场所和设施，如垃圾填埋场、污水处理厂、气体输送管道，以及水、土壤可能已被原工业企业污染的地区；建设工程需要难以避开的，应首先进行卫生学评估，并根据评估结果采取必要的控制措施。设计单位应明确要求施工单位和建设单位制定施工期间和投产运行后突发公共卫生事件应急救援预案。</w:t>
            </w:r>
          </w:p>
        </w:tc>
        <w:tc>
          <w:tcPr>
            <w:tcW w:w="2400" w:type="dxa"/>
            <w:vAlign w:val="center"/>
          </w:tcPr>
          <w:p w14:paraId="07163FFC">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《工业企业设计卫生标准》（GBZ1-2010）</w:t>
            </w:r>
            <w:r>
              <w:rPr>
                <w:rFonts w:hint="eastAsia" w:ascii="宋体" w:hAnsi="宋体" w:eastAsia="宋体" w:cs="宋体"/>
                <w:color w:val="000000" w:themeColor="text1"/>
                <w:sz w:val="21"/>
                <w:szCs w:val="21"/>
                <w:lang w:eastAsia="zh-CN"/>
                <w14:textFill>
                  <w14:solidFill>
                    <w14:schemeClr w14:val="tx1"/>
                  </w14:solidFill>
                </w14:textFill>
              </w:rPr>
              <w:t>第</w:t>
            </w:r>
            <w:r>
              <w:rPr>
                <w:rFonts w:hint="eastAsia" w:ascii="宋体" w:hAnsi="宋体" w:eastAsia="宋体" w:cs="宋体"/>
                <w:color w:val="000000" w:themeColor="text1"/>
                <w:sz w:val="21"/>
                <w:szCs w:val="21"/>
                <w14:textFill>
                  <w14:solidFill>
                    <w14:schemeClr w14:val="tx1"/>
                  </w14:solidFill>
                </w14:textFill>
              </w:rPr>
              <w:t>5.1.3</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229AE7E6">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该项目厂址避开了可能产生或存在危害健康的场所和设施。</w:t>
            </w:r>
          </w:p>
        </w:tc>
        <w:tc>
          <w:tcPr>
            <w:tcW w:w="720" w:type="dxa"/>
            <w:vAlign w:val="center"/>
          </w:tcPr>
          <w:p w14:paraId="0A8E2A2F">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09294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687DE6B3">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13</w:t>
            </w:r>
          </w:p>
        </w:tc>
        <w:tc>
          <w:tcPr>
            <w:tcW w:w="2520" w:type="dxa"/>
            <w:vAlign w:val="center"/>
          </w:tcPr>
          <w:p w14:paraId="206E594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在同一工业区内布置不同卫生特征的工业企业时，宜避免不同有害因素产生交叉污染和联合作用。</w:t>
            </w:r>
          </w:p>
        </w:tc>
        <w:tc>
          <w:tcPr>
            <w:tcW w:w="2400" w:type="dxa"/>
            <w:vAlign w:val="center"/>
          </w:tcPr>
          <w:p w14:paraId="23FC5382">
            <w:pPr>
              <w:keepNext w:val="0"/>
              <w:keepLines w:val="0"/>
              <w:pageBreakBefore w:val="0"/>
              <w:widowControl w:val="0"/>
              <w:kinsoku/>
              <w:wordWrap/>
              <w:overflowPunct/>
              <w:topLinePunct w:val="0"/>
              <w:autoSpaceDE/>
              <w:autoSpaceDN/>
              <w:bidi w:val="0"/>
              <w:adjustRightInd/>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《工业企业设计卫生标准》（GBZ1-2010）</w:t>
            </w:r>
            <w:r>
              <w:rPr>
                <w:rFonts w:hint="eastAsia" w:ascii="宋体" w:hAnsi="宋体" w:eastAsia="宋体" w:cs="宋体"/>
                <w:color w:val="000000" w:themeColor="text1"/>
                <w:sz w:val="21"/>
                <w:szCs w:val="21"/>
                <w:lang w:eastAsia="zh-CN"/>
                <w14:textFill>
                  <w14:solidFill>
                    <w14:schemeClr w14:val="tx1"/>
                  </w14:solidFill>
                </w14:textFill>
              </w:rPr>
              <w:t>第</w:t>
            </w:r>
            <w:r>
              <w:rPr>
                <w:rFonts w:hint="eastAsia" w:ascii="宋体" w:hAnsi="宋体" w:eastAsia="宋体" w:cs="宋体"/>
                <w:color w:val="000000" w:themeColor="text1"/>
                <w:sz w:val="21"/>
                <w:szCs w:val="21"/>
                <w14:textFill>
                  <w14:solidFill>
                    <w14:schemeClr w14:val="tx1"/>
                  </w14:solidFill>
                </w14:textFill>
              </w:rPr>
              <w:t>5.1.5</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60B77D79">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厂址与周边工业企业基本不会产生交叉污染和联合作用。</w:t>
            </w:r>
          </w:p>
        </w:tc>
        <w:tc>
          <w:tcPr>
            <w:tcW w:w="720" w:type="dxa"/>
            <w:vAlign w:val="center"/>
          </w:tcPr>
          <w:p w14:paraId="0068A2A4">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45BE5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24DBF642">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14</w:t>
            </w:r>
          </w:p>
        </w:tc>
        <w:tc>
          <w:tcPr>
            <w:tcW w:w="2520" w:type="dxa"/>
            <w:shd w:val="clear" w:color="auto" w:fill="auto"/>
            <w:vAlign w:val="center"/>
          </w:tcPr>
          <w:p w14:paraId="3D63D94D">
            <w:pPr>
              <w:pStyle w:val="69"/>
              <w:jc w:val="left"/>
              <w:rPr>
                <w:rFonts w:hint="eastAsia" w:ascii="宋体" w:hAnsi="宋体" w:eastAsia="宋体" w:cs="宋体"/>
                <w:sz w:val="21"/>
                <w:szCs w:val="21"/>
                <w:lang w:val="en-US" w:eastAsia="zh-CN" w:bidi="ar-SA"/>
              </w:rPr>
            </w:pPr>
            <w:r>
              <w:rPr>
                <w:rFonts w:hint="eastAsia" w:ascii="宋体" w:hAnsi="宋体" w:eastAsia="宋体" w:cs="宋体"/>
                <w:sz w:val="21"/>
                <w:szCs w:val="21"/>
              </w:rPr>
              <w:t>工业企业选址宜避开自然疫源地；对于因建设工程需要等原因不能避开的，应设计具体的疫情综合预防控制措施。</w:t>
            </w:r>
          </w:p>
        </w:tc>
        <w:tc>
          <w:tcPr>
            <w:tcW w:w="2400" w:type="dxa"/>
            <w:shd w:val="clear" w:color="auto" w:fill="auto"/>
            <w:vAlign w:val="center"/>
          </w:tcPr>
          <w:p w14:paraId="344AB61D">
            <w:pPr>
              <w:pStyle w:val="69"/>
              <w:rPr>
                <w:rFonts w:hint="eastAsia" w:ascii="宋体" w:hAnsi="宋体" w:eastAsia="宋体" w:cs="宋体"/>
                <w:sz w:val="21"/>
                <w:szCs w:val="21"/>
              </w:rPr>
            </w:pPr>
            <w:r>
              <w:rPr>
                <w:rFonts w:hint="eastAsia" w:ascii="宋体" w:hAnsi="宋体" w:eastAsia="宋体" w:cs="宋体"/>
                <w:sz w:val="21"/>
                <w:szCs w:val="21"/>
              </w:rPr>
              <w:t>《工业企业设计卫生标准》</w:t>
            </w:r>
          </w:p>
          <w:p w14:paraId="1AADD0EB">
            <w:pPr>
              <w:pStyle w:val="69"/>
              <w:rPr>
                <w:rFonts w:hint="eastAsia" w:ascii="宋体" w:hAnsi="宋体" w:eastAsia="宋体" w:cs="宋体"/>
                <w:sz w:val="21"/>
                <w:szCs w:val="21"/>
                <w:lang w:val="en-US" w:eastAsia="zh-CN" w:bidi="ar-SA"/>
              </w:rPr>
            </w:pPr>
            <w:r>
              <w:rPr>
                <w:rFonts w:hint="eastAsia" w:ascii="宋体" w:hAnsi="宋体" w:eastAsia="宋体" w:cs="宋体"/>
                <w:sz w:val="21"/>
                <w:szCs w:val="21"/>
              </w:rPr>
              <w:t>（GB Z1-2010）5.1.2</w:t>
            </w:r>
          </w:p>
        </w:tc>
        <w:tc>
          <w:tcPr>
            <w:tcW w:w="2145" w:type="dxa"/>
            <w:shd w:val="clear" w:color="auto" w:fill="auto"/>
            <w:vAlign w:val="center"/>
          </w:tcPr>
          <w:p w14:paraId="438E414A">
            <w:pPr>
              <w:pStyle w:val="69"/>
              <w:jc w:val="left"/>
              <w:rPr>
                <w:rFonts w:hint="eastAsia" w:ascii="宋体" w:hAnsi="宋体" w:eastAsia="宋体" w:cs="宋体"/>
                <w:sz w:val="21"/>
                <w:szCs w:val="21"/>
                <w:lang w:val="en-US" w:eastAsia="zh-CN" w:bidi="ar-SA"/>
              </w:rPr>
            </w:pPr>
            <w:r>
              <w:rPr>
                <w:rFonts w:hint="eastAsia" w:ascii="宋体" w:hAnsi="宋体" w:eastAsia="宋体" w:cs="宋体"/>
                <w:sz w:val="21"/>
                <w:szCs w:val="21"/>
              </w:rPr>
              <w:t>该项目厂区不属于自然疫源地。</w:t>
            </w:r>
          </w:p>
        </w:tc>
        <w:tc>
          <w:tcPr>
            <w:tcW w:w="720" w:type="dxa"/>
            <w:shd w:val="clear" w:color="auto" w:fill="auto"/>
            <w:vAlign w:val="center"/>
          </w:tcPr>
          <w:p w14:paraId="6DEB3299">
            <w:pPr>
              <w:pStyle w:val="69"/>
              <w:rPr>
                <w:rFonts w:hint="eastAsia" w:ascii="宋体" w:hAnsi="宋体" w:eastAsia="宋体" w:cs="宋体"/>
                <w:sz w:val="21"/>
                <w:szCs w:val="21"/>
                <w:lang w:val="en-US" w:eastAsia="zh-CN" w:bidi="ar-SA"/>
              </w:rPr>
            </w:pPr>
            <w:r>
              <w:rPr>
                <w:rFonts w:hint="eastAsia" w:ascii="宋体" w:hAnsi="宋体" w:eastAsia="宋体" w:cs="宋体"/>
                <w:sz w:val="21"/>
                <w:szCs w:val="21"/>
              </w:rPr>
              <w:t>符合</w:t>
            </w:r>
          </w:p>
        </w:tc>
      </w:tr>
      <w:tr w14:paraId="36D13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22" w:type="dxa"/>
            <w:gridSpan w:val="5"/>
            <w:vAlign w:val="center"/>
          </w:tcPr>
          <w:p w14:paraId="214B8F87">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总平面布置检查</w:t>
            </w:r>
          </w:p>
        </w:tc>
      </w:tr>
      <w:tr w14:paraId="51C1A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578F6198">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2520" w:type="dxa"/>
            <w:vAlign w:val="center"/>
          </w:tcPr>
          <w:p w14:paraId="7C9F2D75">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业企业总体规划应贯彻节约集约用地的原则，并应严格执行国家规定的土地使用审批程序，应利用荒地、劣地及非耕地，不应占用基本农田。分期建设时，总体规划应正确处理近期和远期的关系。近期应集中布置，远期应预留发展，应分期征地，并应合理有效利用土地。</w:t>
            </w:r>
          </w:p>
        </w:tc>
        <w:tc>
          <w:tcPr>
            <w:tcW w:w="2400" w:type="dxa"/>
            <w:vAlign w:val="center"/>
          </w:tcPr>
          <w:p w14:paraId="65315452">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《工业企业总平面设计规范》 (GB50187-2012)</w:t>
            </w:r>
          </w:p>
          <w:p w14:paraId="563985D6">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第4.1.4</w:t>
            </w:r>
          </w:p>
        </w:tc>
        <w:tc>
          <w:tcPr>
            <w:tcW w:w="2145" w:type="dxa"/>
            <w:vAlign w:val="center"/>
          </w:tcPr>
          <w:p w14:paraId="78168E08">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本项目生产装置布置紧凑，节约用地，在生产区西南侧留有发展用地。</w:t>
            </w:r>
          </w:p>
        </w:tc>
        <w:tc>
          <w:tcPr>
            <w:tcW w:w="720" w:type="dxa"/>
            <w:vAlign w:val="center"/>
          </w:tcPr>
          <w:p w14:paraId="3C6658C7">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16024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1D70CE35">
            <w:pPr>
              <w:keepNext w:val="0"/>
              <w:keepLines w:val="0"/>
              <w:pageBreakBefore w:val="0"/>
              <w:kinsoku/>
              <w:wordWrap/>
              <w:overflowPunct/>
              <w:topLinePunct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2520" w:type="dxa"/>
            <w:vAlign w:val="center"/>
          </w:tcPr>
          <w:p w14:paraId="45344C3F">
            <w:pPr>
              <w:pStyle w:val="163"/>
              <w:widowControl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工业企业总体规划，应符合城乡总体规划和土地利用总体规划的要求。有条件时，规划应与城乡和邻近工业企业在生产、交通运输、动力公用、机修和器材供应、综合利用及生活设施等方面进行协作。</w:t>
            </w:r>
          </w:p>
        </w:tc>
        <w:tc>
          <w:tcPr>
            <w:tcW w:w="2400" w:type="dxa"/>
            <w:vAlign w:val="center"/>
          </w:tcPr>
          <w:p w14:paraId="19CFE3A2">
            <w:pPr>
              <w:pStyle w:val="163"/>
              <w:widowControl w:val="0"/>
              <w:snapToGrid w:val="0"/>
              <w:spacing w:line="300" w:lineRule="exact"/>
              <w:contextualSpacing/>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《工业企业总平面设计规范》（GB50187-2012）第4.1.2条</w:t>
            </w:r>
          </w:p>
        </w:tc>
        <w:tc>
          <w:tcPr>
            <w:tcW w:w="2145" w:type="dxa"/>
            <w:vAlign w:val="center"/>
          </w:tcPr>
          <w:p w14:paraId="58DCB417">
            <w:pPr>
              <w:pStyle w:val="163"/>
              <w:widowControl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工业企业总体规划，符合城乡总体规划和土地利用总体规划的要求。</w:t>
            </w:r>
          </w:p>
        </w:tc>
        <w:tc>
          <w:tcPr>
            <w:tcW w:w="720" w:type="dxa"/>
            <w:vAlign w:val="center"/>
          </w:tcPr>
          <w:p w14:paraId="77C55762">
            <w:pPr>
              <w:pStyle w:val="163"/>
              <w:widowControl w:val="0"/>
              <w:snapToGrid w:val="0"/>
              <w:spacing w:line="300" w:lineRule="exact"/>
              <w:contextualSpacing/>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35B0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4232F6D9">
            <w:pPr>
              <w:keepNext w:val="0"/>
              <w:keepLines w:val="0"/>
              <w:pageBreakBefore w:val="0"/>
              <w:kinsoku/>
              <w:wordWrap/>
              <w:overflowPunct/>
              <w:topLinePunct w:val="0"/>
              <w:bidi w:val="0"/>
              <w:adjustRightInd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w:t>
            </w:r>
          </w:p>
        </w:tc>
        <w:tc>
          <w:tcPr>
            <w:tcW w:w="2520" w:type="dxa"/>
            <w:vAlign w:val="center"/>
          </w:tcPr>
          <w:p w14:paraId="465A86F2">
            <w:pPr>
              <w:keepNext w:val="0"/>
              <w:keepLines w:val="0"/>
              <w:pageBreakBefore w:val="0"/>
              <w:kinsoku/>
              <w:wordWrap/>
              <w:overflowPunct/>
              <w:topLinePunct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出入口数量是否满足生产运输需要。</w:t>
            </w:r>
          </w:p>
        </w:tc>
        <w:tc>
          <w:tcPr>
            <w:tcW w:w="2400" w:type="dxa"/>
            <w:vAlign w:val="center"/>
          </w:tcPr>
          <w:p w14:paraId="572A25D8">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《工业企业总平面设计规范》</w:t>
            </w:r>
            <w:r>
              <w:rPr>
                <w:rFonts w:hint="eastAsia" w:ascii="宋体" w:hAnsi="宋体" w:eastAsia="宋体" w:cs="宋体"/>
                <w:color w:val="000000" w:themeColor="text1"/>
                <w:sz w:val="21"/>
                <w:szCs w:val="21"/>
                <w14:textFill>
                  <w14:solidFill>
                    <w14:schemeClr w14:val="tx1"/>
                  </w14:solidFill>
                </w14:textFill>
              </w:rPr>
              <w:t>（GB50187-2012）</w:t>
            </w:r>
            <w:r>
              <w:rPr>
                <w:rFonts w:hint="eastAsia" w:ascii="宋体" w:hAnsi="宋体" w:eastAsia="宋体" w:cs="宋体"/>
                <w:color w:val="000000" w:themeColor="text1"/>
                <w:sz w:val="21"/>
                <w:szCs w:val="21"/>
                <w:lang w:eastAsia="zh-CN"/>
                <w14:textFill>
                  <w14:solidFill>
                    <w14:schemeClr w14:val="tx1"/>
                  </w14:solidFill>
                </w14:textFill>
              </w:rPr>
              <w:t>第</w:t>
            </w:r>
            <w:r>
              <w:rPr>
                <w:rFonts w:hint="eastAsia" w:ascii="宋体" w:hAnsi="宋体" w:eastAsia="宋体" w:cs="宋体"/>
                <w:color w:val="000000" w:themeColor="text1"/>
                <w:sz w:val="21"/>
                <w:szCs w:val="21"/>
                <w:lang w:val="en-US" w:eastAsia="zh-CN"/>
                <w14:textFill>
                  <w14:solidFill>
                    <w14:schemeClr w14:val="tx1"/>
                  </w14:solidFill>
                </w14:textFill>
              </w:rPr>
              <w:t>5</w:t>
            </w:r>
            <w:r>
              <w:rPr>
                <w:rFonts w:hint="eastAsia" w:ascii="宋体" w:hAnsi="宋体" w:eastAsia="宋体" w:cs="宋体"/>
                <w:color w:val="000000" w:themeColor="text1"/>
                <w:sz w:val="21"/>
                <w:szCs w:val="21"/>
                <w14:textFill>
                  <w14:solidFill>
                    <w14:schemeClr w14:val="tx1"/>
                  </w14:solidFill>
                </w14:textFill>
              </w:rPr>
              <w:t>.7.4</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1C5026D3">
            <w:pPr>
              <w:keepNext w:val="0"/>
              <w:keepLines w:val="0"/>
              <w:pageBreakBefore w:val="0"/>
              <w:kinsoku/>
              <w:wordWrap/>
              <w:overflowPunct/>
              <w:topLinePunct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厂区的出入口，满足要求</w:t>
            </w:r>
          </w:p>
        </w:tc>
        <w:tc>
          <w:tcPr>
            <w:tcW w:w="720" w:type="dxa"/>
            <w:vAlign w:val="center"/>
          </w:tcPr>
          <w:p w14:paraId="26E9EF2E">
            <w:pPr>
              <w:keepNext w:val="0"/>
              <w:keepLines w:val="0"/>
              <w:pageBreakBefore w:val="0"/>
              <w:kinsoku/>
              <w:wordWrap/>
              <w:overflowPunct/>
              <w:topLinePunct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符合</w:t>
            </w:r>
          </w:p>
        </w:tc>
      </w:tr>
      <w:tr w14:paraId="7398A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2CD3885A">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p>
        </w:tc>
        <w:tc>
          <w:tcPr>
            <w:tcW w:w="2520" w:type="dxa"/>
            <w:vAlign w:val="center"/>
          </w:tcPr>
          <w:p w14:paraId="32AE7975">
            <w:pPr>
              <w:keepNext w:val="0"/>
              <w:keepLines w:val="0"/>
              <w:pageBreakBefore w:val="0"/>
              <w:kinsoku/>
              <w:wordWrap/>
              <w:overflowPunct/>
              <w:topLinePunct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应在总体规划的基础上，根据工业企业的性质、规模、生产流程、交通运输、环境保护，以及防火、安全、卫生、节能、施工、检修、厂区发展等要求，结合场地自然条件，经技术经济比较后择优确定。</w:t>
            </w:r>
          </w:p>
        </w:tc>
        <w:tc>
          <w:tcPr>
            <w:tcW w:w="2400" w:type="dxa"/>
            <w:vAlign w:val="center"/>
          </w:tcPr>
          <w:p w14:paraId="7CDBD8CD">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29BF23DE">
            <w:pPr>
              <w:pStyle w:val="37"/>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第 5.1.1条 </w:t>
            </w:r>
          </w:p>
        </w:tc>
        <w:tc>
          <w:tcPr>
            <w:tcW w:w="2145" w:type="dxa"/>
            <w:vAlign w:val="center"/>
          </w:tcPr>
          <w:p w14:paraId="2994DCD2">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厂内总平面布置考虑了上述要求。</w:t>
            </w:r>
          </w:p>
        </w:tc>
        <w:tc>
          <w:tcPr>
            <w:tcW w:w="720" w:type="dxa"/>
            <w:vAlign w:val="center"/>
          </w:tcPr>
          <w:p w14:paraId="494DAC2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BE39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0FE4116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w:t>
            </w:r>
          </w:p>
        </w:tc>
        <w:tc>
          <w:tcPr>
            <w:tcW w:w="2520" w:type="dxa"/>
            <w:vAlign w:val="center"/>
          </w:tcPr>
          <w:p w14:paraId="608E64B9">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总平面布置应节约集约用地，提高土地利用率。布置时并应符合下列要求：1</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在符合生产流程、操作要求和使用功能的前提下，建筑物、构筑物等设施，应采用联合、集中、多层布置；2</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应按企业规模和功能分区，合理地确定通道宽度；3</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厂区功能分区及建筑物、构筑物的外形宜规整；4</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功能分区内各项设施的布置，应紧凑、合理。</w:t>
            </w:r>
          </w:p>
        </w:tc>
        <w:tc>
          <w:tcPr>
            <w:tcW w:w="2400" w:type="dxa"/>
            <w:vAlign w:val="center"/>
          </w:tcPr>
          <w:p w14:paraId="5AE3314A">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099D23E1">
            <w:pPr>
              <w:pStyle w:val="37"/>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第5.1.2条</w:t>
            </w:r>
          </w:p>
        </w:tc>
        <w:tc>
          <w:tcPr>
            <w:tcW w:w="2145" w:type="dxa"/>
            <w:vAlign w:val="center"/>
          </w:tcPr>
          <w:p w14:paraId="02A348E9">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本项目工艺设备布置紧凑、合理，作业通道基本满足要求。</w:t>
            </w:r>
          </w:p>
        </w:tc>
        <w:tc>
          <w:tcPr>
            <w:tcW w:w="720" w:type="dxa"/>
            <w:vAlign w:val="center"/>
          </w:tcPr>
          <w:p w14:paraId="234ABAC1">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4A52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06C39C3C">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2520" w:type="dxa"/>
            <w:vAlign w:val="center"/>
          </w:tcPr>
          <w:p w14:paraId="65DAA49D">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厂区的通道宽度，应符合下列要求：1</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应符合通道两侧建筑物、构筑物及露天设施对防火、安全与卫生间距的要求；2</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应符合铁路、道路与带式输送机通廊等工业运输线路的布置要求；3</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应符合各种工程管线的布置要求；4</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应符合绿化布置的要求；5</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应符合施工、安装与检修的要求；6</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应符合竖向设计的要求；7</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应符合预留发展用地的要求。</w:t>
            </w:r>
          </w:p>
        </w:tc>
        <w:tc>
          <w:tcPr>
            <w:tcW w:w="2400" w:type="dxa"/>
            <w:vAlign w:val="center"/>
          </w:tcPr>
          <w:p w14:paraId="07B333DA">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64B030CE">
            <w:pPr>
              <w:pStyle w:val="37"/>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第5.1.4 条 </w:t>
            </w:r>
          </w:p>
        </w:tc>
        <w:tc>
          <w:tcPr>
            <w:tcW w:w="2145" w:type="dxa"/>
            <w:vAlign w:val="center"/>
          </w:tcPr>
          <w:p w14:paraId="7A0237F3">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本项目工艺设备布置紧凑、合理，厂内通道满足要求。</w:t>
            </w:r>
          </w:p>
        </w:tc>
        <w:tc>
          <w:tcPr>
            <w:tcW w:w="720" w:type="dxa"/>
            <w:vAlign w:val="center"/>
          </w:tcPr>
          <w:p w14:paraId="3A90241F">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A677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70AA7F5C">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p>
        </w:tc>
        <w:tc>
          <w:tcPr>
            <w:tcW w:w="2520" w:type="dxa"/>
            <w:vAlign w:val="center"/>
          </w:tcPr>
          <w:p w14:paraId="10EB69E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总平面布置，应充分利用地形、地势、工程地质及水文地质条件，布置建筑物、构筑物和有关设施，应减少土（石）方工程量和基础工程费用，并应符合下列要求：1</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当厂区地形坡度较大时，建筑物、构筑物的长轴宜顺等高线布置；2</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应结合地形及竖向设计，为物料采用自流管道及高站台、低货位等设施创造条件。</w:t>
            </w:r>
          </w:p>
        </w:tc>
        <w:tc>
          <w:tcPr>
            <w:tcW w:w="2400" w:type="dxa"/>
            <w:vAlign w:val="center"/>
          </w:tcPr>
          <w:p w14:paraId="7BA4EC7E">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78FAC5F7">
            <w:pPr>
              <w:pStyle w:val="37"/>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第5.1.5条  </w:t>
            </w:r>
          </w:p>
        </w:tc>
        <w:tc>
          <w:tcPr>
            <w:tcW w:w="2145" w:type="dxa"/>
            <w:vAlign w:val="center"/>
          </w:tcPr>
          <w:p w14:paraId="4E52452B">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厂内建构筑物布置依托了原有地形、地势条件进行布置。</w:t>
            </w:r>
          </w:p>
        </w:tc>
        <w:tc>
          <w:tcPr>
            <w:tcW w:w="720" w:type="dxa"/>
            <w:vAlign w:val="center"/>
          </w:tcPr>
          <w:p w14:paraId="7E58A190">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C74C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637" w:type="dxa"/>
            <w:vAlign w:val="center"/>
          </w:tcPr>
          <w:p w14:paraId="08798F4C">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8</w:t>
            </w:r>
          </w:p>
        </w:tc>
        <w:tc>
          <w:tcPr>
            <w:tcW w:w="2520" w:type="dxa"/>
            <w:vAlign w:val="center"/>
          </w:tcPr>
          <w:p w14:paraId="150EAD56">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总平面布置应采取防止高温、有害气体、烟、雾、粉尘、强烈振动和高噪声对周围环境和人身安全的危害的安全保障措施，并应符合现行国家有关工业企业卫生设计标准的规定。</w:t>
            </w:r>
          </w:p>
        </w:tc>
        <w:tc>
          <w:tcPr>
            <w:tcW w:w="2400" w:type="dxa"/>
            <w:vAlign w:val="center"/>
          </w:tcPr>
          <w:p w14:paraId="650965B8">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0ABF6530">
            <w:pPr>
              <w:pStyle w:val="37"/>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第5.1.7条</w:t>
            </w:r>
          </w:p>
        </w:tc>
        <w:tc>
          <w:tcPr>
            <w:tcW w:w="2145" w:type="dxa"/>
            <w:vAlign w:val="center"/>
          </w:tcPr>
          <w:p w14:paraId="697CCB1C">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w:t>
            </w:r>
            <w:r>
              <w:rPr>
                <w:rFonts w:hint="eastAsia" w:ascii="宋体" w:hAnsi="宋体" w:eastAsia="宋体" w:cs="宋体"/>
                <w:color w:val="000000" w:themeColor="text1"/>
                <w:sz w:val="21"/>
                <w:szCs w:val="21"/>
                <w:lang w:eastAsia="zh-CN"/>
                <w14:textFill>
                  <w14:solidFill>
                    <w14:schemeClr w14:val="tx1"/>
                  </w14:solidFill>
                </w14:textFill>
              </w:rPr>
              <w:t>不</w:t>
            </w:r>
            <w:r>
              <w:rPr>
                <w:rFonts w:hint="eastAsia" w:ascii="宋体" w:hAnsi="宋体" w:eastAsia="宋体" w:cs="宋体"/>
                <w:color w:val="000000" w:themeColor="text1"/>
                <w:sz w:val="21"/>
                <w:szCs w:val="21"/>
                <w14:textFill>
                  <w14:solidFill>
                    <w14:schemeClr w14:val="tx1"/>
                  </w14:solidFill>
                </w14:textFill>
              </w:rPr>
              <w:t>产生有害物气体，</w:t>
            </w:r>
            <w:r>
              <w:rPr>
                <w:rFonts w:hint="eastAsia" w:ascii="宋体" w:hAnsi="宋体" w:eastAsia="宋体" w:cs="宋体"/>
                <w:color w:val="000000" w:themeColor="text1"/>
                <w:sz w:val="21"/>
                <w:szCs w:val="21"/>
                <w:lang w:eastAsia="zh-CN"/>
                <w14:textFill>
                  <w14:solidFill>
                    <w14:schemeClr w14:val="tx1"/>
                  </w14:solidFill>
                </w14:textFill>
              </w:rPr>
              <w:t>本</w:t>
            </w:r>
            <w:r>
              <w:rPr>
                <w:rFonts w:hint="eastAsia" w:ascii="宋体" w:hAnsi="宋体" w:eastAsia="宋体" w:cs="宋体"/>
                <w:color w:val="000000" w:themeColor="text1"/>
                <w:sz w:val="21"/>
                <w:szCs w:val="21"/>
                <w14:textFill>
                  <w14:solidFill>
                    <w14:schemeClr w14:val="tx1"/>
                  </w14:solidFill>
                </w14:textFill>
              </w:rPr>
              <w:t>项目采取了除尘、降噪措施，配发了相应</w:t>
            </w:r>
            <w:r>
              <w:rPr>
                <w:rFonts w:hint="eastAsia" w:ascii="宋体" w:hAnsi="宋体" w:eastAsia="宋体" w:cs="宋体"/>
                <w:color w:val="000000" w:themeColor="text1"/>
                <w:sz w:val="21"/>
                <w:szCs w:val="21"/>
                <w:lang w:eastAsia="zh-CN"/>
                <w14:textFill>
                  <w14:solidFill>
                    <w14:schemeClr w14:val="tx1"/>
                  </w14:solidFill>
                </w14:textFill>
              </w:rPr>
              <w:t>的</w:t>
            </w:r>
            <w:r>
              <w:rPr>
                <w:rFonts w:hint="eastAsia" w:ascii="宋体" w:hAnsi="宋体" w:eastAsia="宋体" w:cs="宋体"/>
                <w:color w:val="000000" w:themeColor="text1"/>
                <w:sz w:val="21"/>
                <w:szCs w:val="21"/>
                <w14:textFill>
                  <w14:solidFill>
                    <w14:schemeClr w14:val="tx1"/>
                  </w14:solidFill>
                </w14:textFill>
              </w:rPr>
              <w:t>劳</w:t>
            </w:r>
            <w:r>
              <w:rPr>
                <w:rFonts w:hint="eastAsia" w:ascii="宋体" w:hAnsi="宋体" w:eastAsia="宋体" w:cs="宋体"/>
                <w:color w:val="000000" w:themeColor="text1"/>
                <w:sz w:val="21"/>
                <w:szCs w:val="21"/>
                <w:lang w:eastAsia="zh-CN"/>
                <w14:textFill>
                  <w14:solidFill>
                    <w14:schemeClr w14:val="tx1"/>
                  </w14:solidFill>
                </w14:textFill>
              </w:rPr>
              <w:t>动防护用</w:t>
            </w:r>
            <w:r>
              <w:rPr>
                <w:rFonts w:hint="eastAsia" w:ascii="宋体" w:hAnsi="宋体" w:eastAsia="宋体" w:cs="宋体"/>
                <w:color w:val="000000" w:themeColor="text1"/>
                <w:sz w:val="21"/>
                <w:szCs w:val="21"/>
                <w14:textFill>
                  <w14:solidFill>
                    <w14:schemeClr w14:val="tx1"/>
                  </w14:solidFill>
                </w14:textFill>
              </w:rPr>
              <w:t>品。</w:t>
            </w:r>
          </w:p>
        </w:tc>
        <w:tc>
          <w:tcPr>
            <w:tcW w:w="720" w:type="dxa"/>
            <w:vAlign w:val="center"/>
          </w:tcPr>
          <w:p w14:paraId="25040F88">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5E8E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7955C77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9</w:t>
            </w:r>
          </w:p>
        </w:tc>
        <w:tc>
          <w:tcPr>
            <w:tcW w:w="2520" w:type="dxa"/>
            <w:vAlign w:val="center"/>
          </w:tcPr>
          <w:p w14:paraId="11E805EA">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总平面布置，应合理地组织货流和人流，并应符合下列要求：1</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运输线路的布置，应保证物流顺畅、径路短捷、不折返；2</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应避免运输繁忙的铁路与道路平面交叉；3</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应使人、货分流，应避免运输繁忙的货流与人流交叉；4应避免进出厂的主要货流与企业外部交通干线的平面交叉。</w:t>
            </w:r>
          </w:p>
        </w:tc>
        <w:tc>
          <w:tcPr>
            <w:tcW w:w="2400" w:type="dxa"/>
            <w:vAlign w:val="center"/>
          </w:tcPr>
          <w:p w14:paraId="4B9FE924">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61E1720B">
            <w:pPr>
              <w:pStyle w:val="163"/>
              <w:keepNext w:val="0"/>
              <w:keepLines w:val="0"/>
              <w:pageBreakBefore w:val="0"/>
              <w:widowControl w:val="0"/>
              <w:kinsoku/>
              <w:wordWrap/>
              <w:overflowPunct/>
              <w:topLinePunct w:val="0"/>
              <w:bidi w:val="0"/>
              <w:adjustRightInd/>
              <w:snapToGrid w:val="0"/>
              <w:spacing w:line="240"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第5.1.8条</w:t>
            </w:r>
          </w:p>
        </w:tc>
        <w:tc>
          <w:tcPr>
            <w:tcW w:w="2145" w:type="dxa"/>
            <w:vAlign w:val="center"/>
          </w:tcPr>
          <w:p w14:paraId="3D738E3A">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厂区交通运输通畅。</w:t>
            </w:r>
          </w:p>
        </w:tc>
        <w:tc>
          <w:tcPr>
            <w:tcW w:w="720" w:type="dxa"/>
            <w:vAlign w:val="center"/>
          </w:tcPr>
          <w:p w14:paraId="7AD09DB6">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D9D2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8" w:hRule="atLeast"/>
          <w:jc w:val="center"/>
        </w:trPr>
        <w:tc>
          <w:tcPr>
            <w:tcW w:w="637" w:type="dxa"/>
            <w:vAlign w:val="center"/>
          </w:tcPr>
          <w:p w14:paraId="654F8BCB">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bookmarkStart w:id="671" w:name="_Toc327017835"/>
            <w:bookmarkStart w:id="672" w:name="_Toc201767300"/>
            <w:bookmarkStart w:id="673" w:name="_Toc309682498"/>
            <w:bookmarkStart w:id="674" w:name="_Toc278151422"/>
            <w:bookmarkStart w:id="675" w:name="_Toc202575710"/>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2520" w:type="dxa"/>
            <w:vAlign w:val="center"/>
          </w:tcPr>
          <w:p w14:paraId="22031232">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仓库与堆场，应根据贮存物料的性质、货流出入方向、供应对象、贮存面积、运输方式等因素，按不同类别相对集中布置，并为运输、装卸、管理创造有利条件，且应符合国家现行的防火、防爆、安全、卫生等工程设计标准的有关规定。</w:t>
            </w:r>
          </w:p>
        </w:tc>
        <w:tc>
          <w:tcPr>
            <w:tcW w:w="2400" w:type="dxa"/>
            <w:vAlign w:val="center"/>
          </w:tcPr>
          <w:p w14:paraId="26BBB023">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w:t>
            </w:r>
            <w:r>
              <w:rPr>
                <w:rFonts w:hint="eastAsia" w:ascii="宋体" w:hAnsi="宋体" w:eastAsia="宋体" w:cs="宋体"/>
                <w:color w:val="000000" w:themeColor="text1"/>
                <w:sz w:val="21"/>
                <w:szCs w:val="21"/>
                <w:lang w:val="zh-CN"/>
                <w14:textFill>
                  <w14:solidFill>
                    <w14:schemeClr w14:val="tx1"/>
                  </w14:solidFill>
                </w14:textFill>
              </w:rPr>
              <w:t>GB50187-2012）第</w:t>
            </w:r>
            <w:r>
              <w:rPr>
                <w:rFonts w:hint="eastAsia" w:ascii="宋体" w:hAnsi="宋体" w:eastAsia="宋体" w:cs="宋体"/>
                <w:color w:val="000000" w:themeColor="text1"/>
                <w:sz w:val="21"/>
                <w:szCs w:val="21"/>
                <w14:textFill>
                  <w14:solidFill>
                    <w14:schemeClr w14:val="tx1"/>
                  </w14:solidFill>
                </w14:textFill>
              </w:rPr>
              <w:t>5</w:t>
            </w:r>
            <w:r>
              <w:rPr>
                <w:rFonts w:hint="eastAsia" w:ascii="宋体" w:hAnsi="宋体" w:eastAsia="宋体" w:cs="宋体"/>
                <w:color w:val="000000" w:themeColor="text1"/>
                <w:sz w:val="21"/>
                <w:szCs w:val="21"/>
                <w:lang w:val="zh-CN"/>
                <w14:textFill>
                  <w14:solidFill>
                    <w14:schemeClr w14:val="tx1"/>
                  </w14:solidFill>
                </w14:textFill>
              </w:rPr>
              <w:t>.6.1条</w:t>
            </w:r>
          </w:p>
        </w:tc>
        <w:tc>
          <w:tcPr>
            <w:tcW w:w="2145" w:type="dxa"/>
            <w:vAlign w:val="center"/>
          </w:tcPr>
          <w:p w14:paraId="62BE9316">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仓库</w:t>
            </w:r>
            <w:r>
              <w:rPr>
                <w:rFonts w:hint="eastAsia" w:ascii="宋体" w:hAnsi="宋体" w:eastAsia="宋体" w:cs="宋体"/>
                <w:color w:val="000000" w:themeColor="text1"/>
                <w:sz w:val="21"/>
                <w:szCs w:val="21"/>
                <w:lang w:val="en-US" w:eastAsia="zh-CN"/>
                <w14:textFill>
                  <w14:solidFill>
                    <w14:schemeClr w14:val="tx1"/>
                  </w14:solidFill>
                </w14:textFill>
              </w:rPr>
              <w:t>原料分区存放</w:t>
            </w:r>
            <w:r>
              <w:rPr>
                <w:rFonts w:hint="eastAsia" w:ascii="宋体" w:hAnsi="宋体" w:eastAsia="宋体" w:cs="宋体"/>
                <w:color w:val="000000" w:themeColor="text1"/>
                <w:sz w:val="21"/>
                <w:szCs w:val="21"/>
                <w:lang w:val="zh-CN"/>
                <w14:textFill>
                  <w14:solidFill>
                    <w14:schemeClr w14:val="tx1"/>
                  </w14:solidFill>
                </w14:textFill>
              </w:rPr>
              <w:t>。</w:t>
            </w:r>
          </w:p>
        </w:tc>
        <w:tc>
          <w:tcPr>
            <w:tcW w:w="720" w:type="dxa"/>
            <w:vAlign w:val="center"/>
          </w:tcPr>
          <w:p w14:paraId="365B2695">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6416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35DF95BA">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11</w:t>
            </w:r>
          </w:p>
        </w:tc>
        <w:tc>
          <w:tcPr>
            <w:tcW w:w="2520" w:type="dxa"/>
            <w:shd w:val="clear" w:color="auto" w:fill="auto"/>
            <w:vAlign w:val="center"/>
          </w:tcPr>
          <w:p w14:paraId="7049D90C">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zh-CN" w:eastAsia="zh-CN"/>
                <w14:textFill>
                  <w14:solidFill>
                    <w14:schemeClr w14:val="tx1"/>
                  </w14:solidFill>
                </w14:textFill>
              </w:rPr>
              <w:t>总平面布置，应合理地组织货流和人流，并应符合下列要求：（1）运输线路的布置，应保证物流顺畅、路径短捷、不折返；（2）应避免运输繁忙的铁路与道路平面交叉；（3）应使人、货分流，应避免运输繁忙的货流与人流交叉；（4）应避免进出厂的主要货流与企业外部交通干线的平面交叉。</w:t>
            </w:r>
          </w:p>
        </w:tc>
        <w:tc>
          <w:tcPr>
            <w:tcW w:w="2400" w:type="dxa"/>
            <w:shd w:val="clear" w:color="auto" w:fill="auto"/>
            <w:vAlign w:val="center"/>
          </w:tcPr>
          <w:p w14:paraId="0411EF9E">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zh-CN" w:eastAsia="zh-CN"/>
                <w14:textFill>
                  <w14:solidFill>
                    <w14:schemeClr w14:val="tx1"/>
                  </w14:solidFill>
                </w14:textFill>
              </w:rPr>
              <w:t>《工业企业总平面设计规范》 (GB50187-2012)</w:t>
            </w:r>
          </w:p>
          <w:p w14:paraId="252C19CB">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第5.1.10</w:t>
            </w:r>
          </w:p>
        </w:tc>
        <w:tc>
          <w:tcPr>
            <w:tcW w:w="2145" w:type="dxa"/>
            <w:shd w:val="clear" w:color="auto" w:fill="auto"/>
            <w:vAlign w:val="center"/>
          </w:tcPr>
          <w:p w14:paraId="1E5CB3F4">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zh-CN" w:eastAsia="zh-CN"/>
                <w14:textFill>
                  <w14:solidFill>
                    <w14:schemeClr w14:val="tx1"/>
                  </w14:solidFill>
                </w14:textFill>
              </w:rPr>
              <w:t>厂区合理组织货流和人流。</w:t>
            </w:r>
          </w:p>
        </w:tc>
        <w:tc>
          <w:tcPr>
            <w:tcW w:w="720" w:type="dxa"/>
            <w:shd w:val="clear" w:color="auto" w:fill="auto"/>
            <w:vAlign w:val="center"/>
          </w:tcPr>
          <w:p w14:paraId="76FBB7FD">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w:t>
            </w:r>
          </w:p>
        </w:tc>
      </w:tr>
      <w:tr w14:paraId="78C45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765F7512">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12</w:t>
            </w:r>
          </w:p>
        </w:tc>
        <w:tc>
          <w:tcPr>
            <w:tcW w:w="2520" w:type="dxa"/>
            <w:shd w:val="clear" w:color="auto" w:fill="auto"/>
            <w:vAlign w:val="center"/>
          </w:tcPr>
          <w:p w14:paraId="0056334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存在或可能产生职业病危害的生产车间、设备应按照GBZ158设置职业病危害警示标识。</w:t>
            </w:r>
          </w:p>
        </w:tc>
        <w:tc>
          <w:tcPr>
            <w:tcW w:w="2400" w:type="dxa"/>
            <w:shd w:val="clear" w:color="auto" w:fill="auto"/>
            <w:vAlign w:val="center"/>
          </w:tcPr>
          <w:p w14:paraId="151F16CE">
            <w:pPr>
              <w:keepNext w:val="0"/>
              <w:keepLines w:val="0"/>
              <w:pageBreakBefore w:val="0"/>
              <w:kinsoku/>
              <w:wordWrap/>
              <w:overflowPunct/>
              <w:topLinePunct w:val="0"/>
              <w:bidi w:val="0"/>
              <w:snapToGrid w:val="0"/>
              <w:jc w:val="left"/>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《工业企业设计卫生标准》(GBZ1-2010) 第5.2.1.6</w:t>
            </w:r>
          </w:p>
        </w:tc>
        <w:tc>
          <w:tcPr>
            <w:tcW w:w="2145" w:type="dxa"/>
            <w:shd w:val="clear" w:color="auto" w:fill="auto"/>
            <w:vAlign w:val="center"/>
          </w:tcPr>
          <w:p w14:paraId="605BA03C">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设置有相应安全警示标志和职业卫生告知牌。</w:t>
            </w:r>
          </w:p>
        </w:tc>
        <w:tc>
          <w:tcPr>
            <w:tcW w:w="720" w:type="dxa"/>
            <w:vAlign w:val="center"/>
          </w:tcPr>
          <w:p w14:paraId="06942E5F">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w:t>
            </w:r>
          </w:p>
        </w:tc>
      </w:tr>
      <w:tr w14:paraId="7D4AA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2778CF79">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3</w:t>
            </w:r>
          </w:p>
        </w:tc>
        <w:tc>
          <w:tcPr>
            <w:tcW w:w="2520" w:type="dxa"/>
            <w:vAlign w:val="center"/>
          </w:tcPr>
          <w:p w14:paraId="78E24F1D">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员工宿舍严禁设置在厂房内。</w:t>
            </w:r>
          </w:p>
        </w:tc>
        <w:tc>
          <w:tcPr>
            <w:tcW w:w="2400" w:type="dxa"/>
            <w:vAlign w:val="center"/>
          </w:tcPr>
          <w:p w14:paraId="48BC4289">
            <w:pPr>
              <w:keepNext w:val="0"/>
              <w:keepLines w:val="0"/>
              <w:pageBreakBefore w:val="0"/>
              <w:tabs>
                <w:tab w:val="left" w:pos="2898"/>
              </w:tabs>
              <w:kinsoku/>
              <w:wordWrap/>
              <w:overflowPunct/>
              <w:topLinePunct w:val="0"/>
              <w:bidi w:val="0"/>
              <w:snapToGrid w:val="0"/>
              <w:jc w:val="both"/>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《建筑设计防火规范〔2018版〕》（GB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lang w:val="zh-CN"/>
                <w14:textFill>
                  <w14:solidFill>
                    <w14:schemeClr w14:val="tx1"/>
                  </w14:solidFill>
                </w14:textFill>
              </w:rPr>
              <w:t>50016</w:t>
            </w:r>
          </w:p>
          <w:p w14:paraId="2AA23604">
            <w:pPr>
              <w:keepNext w:val="0"/>
              <w:keepLines w:val="0"/>
              <w:pageBreakBefore w:val="0"/>
              <w:tabs>
                <w:tab w:val="left" w:pos="2898"/>
              </w:tabs>
              <w:kinsoku/>
              <w:wordWrap/>
              <w:overflowPunct/>
              <w:topLinePunct w:val="0"/>
              <w:bidi w:val="0"/>
              <w:snapToGrid w:val="0"/>
              <w:jc w:val="both"/>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-2014）第3.3.5条</w:t>
            </w:r>
          </w:p>
        </w:tc>
        <w:tc>
          <w:tcPr>
            <w:tcW w:w="2145" w:type="dxa"/>
            <w:vAlign w:val="center"/>
          </w:tcPr>
          <w:p w14:paraId="6009E38A">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项目厂房内未设置员工宿舍。</w:t>
            </w:r>
          </w:p>
        </w:tc>
        <w:tc>
          <w:tcPr>
            <w:tcW w:w="720" w:type="dxa"/>
            <w:vAlign w:val="center"/>
          </w:tcPr>
          <w:p w14:paraId="3BA5B5D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符合</w:t>
            </w:r>
          </w:p>
        </w:tc>
      </w:tr>
      <w:tr w14:paraId="549FB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1353C139">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4</w:t>
            </w:r>
          </w:p>
        </w:tc>
        <w:tc>
          <w:tcPr>
            <w:tcW w:w="2520" w:type="dxa"/>
            <w:shd w:val="clear" w:color="auto" w:fill="auto"/>
            <w:vAlign w:val="center"/>
          </w:tcPr>
          <w:p w14:paraId="584389AD">
            <w:pPr>
              <w:pStyle w:val="356"/>
              <w:overflowPunct w:val="0"/>
              <w:snapToGrid w:val="0"/>
              <w:jc w:val="both"/>
              <w:rPr>
                <w:rFonts w:hint="eastAsia" w:ascii="宋体" w:hAnsi="宋体" w:eastAsia="宋体" w:cs="宋体"/>
                <w:color w:val="000000" w:themeColor="text1"/>
                <w:sz w:val="21"/>
                <w:szCs w:val="21"/>
                <w:lang w:val="zh-CN"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员工宿舍严禁设置在仓库内。</w:t>
            </w:r>
          </w:p>
        </w:tc>
        <w:tc>
          <w:tcPr>
            <w:tcW w:w="2400" w:type="dxa"/>
            <w:shd w:val="clear" w:color="auto" w:fill="auto"/>
            <w:vAlign w:val="center"/>
          </w:tcPr>
          <w:p w14:paraId="63512C81">
            <w:pPr>
              <w:pStyle w:val="356"/>
              <w:overflowPunct w:val="0"/>
              <w:snapToGrid w:val="0"/>
              <w:jc w:val="center"/>
              <w:rPr>
                <w:rFonts w:hint="eastAsia" w:ascii="宋体" w:hAnsi="宋体" w:eastAsia="宋体" w:cs="宋体"/>
                <w:color w:val="000000" w:themeColor="text1"/>
                <w:sz w:val="21"/>
                <w:szCs w:val="21"/>
                <w:lang w:val="zh-CN"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《建筑设计防火规范》（GB50016-2014，2018版）第3.3.9条</w:t>
            </w:r>
          </w:p>
        </w:tc>
        <w:tc>
          <w:tcPr>
            <w:tcW w:w="2145" w:type="dxa"/>
            <w:shd w:val="clear" w:color="auto" w:fill="auto"/>
            <w:vAlign w:val="center"/>
          </w:tcPr>
          <w:p w14:paraId="674BB93C">
            <w:pPr>
              <w:pStyle w:val="356"/>
              <w:overflowPunct w:val="0"/>
              <w:snapToGrid w:val="0"/>
              <w:jc w:val="both"/>
              <w:rPr>
                <w:rFonts w:hint="eastAsia" w:ascii="宋体" w:hAnsi="宋体" w:eastAsia="宋体" w:cs="宋体"/>
                <w:bCs/>
                <w:color w:val="000000" w:themeColor="text1"/>
                <w:sz w:val="21"/>
                <w:szCs w:val="21"/>
                <w:lang w:val="zh-CN" w:eastAsia="zh-CN" w:bidi="ar-SA"/>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仓库内未设置宿舍、办公室、休息室等。</w:t>
            </w:r>
          </w:p>
        </w:tc>
        <w:tc>
          <w:tcPr>
            <w:tcW w:w="720" w:type="dxa"/>
            <w:shd w:val="clear" w:color="auto" w:fill="auto"/>
            <w:vAlign w:val="center"/>
          </w:tcPr>
          <w:p w14:paraId="281ECB39">
            <w:pPr>
              <w:overflowPunct w:val="0"/>
              <w:adjustRightInd w:val="0"/>
              <w:snapToGrid w:val="0"/>
              <w:spacing w:line="300" w:lineRule="exact"/>
              <w:jc w:val="center"/>
              <w:rPr>
                <w:rFonts w:hint="eastAsia" w:ascii="宋体" w:hAnsi="宋体" w:eastAsia="宋体" w:cs="宋体"/>
                <w:bCs/>
                <w:color w:val="000000" w:themeColor="text1"/>
                <w:sz w:val="21"/>
                <w:szCs w:val="21"/>
                <w:lang w:val="zh-CN" w:eastAsia="zh-CN" w:bidi="ar-SA"/>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符合</w:t>
            </w:r>
          </w:p>
        </w:tc>
      </w:tr>
      <w:tr w14:paraId="3CB70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22" w:type="dxa"/>
            <w:gridSpan w:val="5"/>
            <w:vAlign w:val="center"/>
          </w:tcPr>
          <w:p w14:paraId="253BC9A6">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厂区道路检查</w:t>
            </w:r>
          </w:p>
        </w:tc>
      </w:tr>
      <w:tr w14:paraId="08A0C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1C66F801">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2520" w:type="dxa"/>
          </w:tcPr>
          <w:p w14:paraId="1FD78864">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满足生产要求，物流顺畅，线路短捷，人流、物流组织合理。</w:t>
            </w:r>
          </w:p>
        </w:tc>
        <w:tc>
          <w:tcPr>
            <w:tcW w:w="2400" w:type="dxa"/>
            <w:vAlign w:val="center"/>
          </w:tcPr>
          <w:p w14:paraId="52114CD8">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《工业企业总平面设计规范》</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sz w:val="21"/>
                <w:szCs w:val="21"/>
                <w:lang w:val="zh-CN"/>
                <w14:textFill>
                  <w14:solidFill>
                    <w14:schemeClr w14:val="tx1"/>
                  </w14:solidFill>
                </w14:textFill>
              </w:rPr>
              <w:t>GB50187-2012）第</w:t>
            </w:r>
            <w:r>
              <w:rPr>
                <w:rFonts w:hint="eastAsia" w:ascii="宋体" w:hAnsi="宋体" w:eastAsia="宋体" w:cs="宋体"/>
                <w:color w:val="000000" w:themeColor="text1"/>
                <w:sz w:val="21"/>
                <w:szCs w:val="21"/>
                <w14:textFill>
                  <w14:solidFill>
                    <w14:schemeClr w14:val="tx1"/>
                  </w14:solidFill>
                </w14:textFill>
              </w:rPr>
              <w:t>5.1.1</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4E971F9D">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物流顺畅，线路短捷。</w:t>
            </w:r>
          </w:p>
        </w:tc>
        <w:tc>
          <w:tcPr>
            <w:tcW w:w="720" w:type="dxa"/>
            <w:vAlign w:val="center"/>
          </w:tcPr>
          <w:p w14:paraId="0E1C62C3">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符合</w:t>
            </w:r>
          </w:p>
        </w:tc>
      </w:tr>
      <w:tr w14:paraId="2E21A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74A246FC">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2520" w:type="dxa"/>
          </w:tcPr>
          <w:p w14:paraId="0C017B31">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主要道路应环形布置。尽头端式道路应有足够的消防回转场地。</w:t>
            </w:r>
          </w:p>
        </w:tc>
        <w:tc>
          <w:tcPr>
            <w:tcW w:w="2400" w:type="dxa"/>
            <w:vAlign w:val="center"/>
          </w:tcPr>
          <w:p w14:paraId="5FEA097E">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《工业企业总平面设计规范》</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sz w:val="21"/>
                <w:szCs w:val="21"/>
                <w:lang w:val="zh-CN"/>
                <w14:textFill>
                  <w14:solidFill>
                    <w14:schemeClr w14:val="tx1"/>
                  </w14:solidFill>
                </w14:textFill>
              </w:rPr>
              <w:t>GB50187-2012）第</w:t>
            </w:r>
            <w:r>
              <w:rPr>
                <w:rFonts w:hint="eastAsia" w:ascii="宋体" w:hAnsi="宋体" w:eastAsia="宋体" w:cs="宋体"/>
                <w:color w:val="000000" w:themeColor="text1"/>
                <w:sz w:val="21"/>
                <w:szCs w:val="21"/>
                <w14:textFill>
                  <w14:solidFill>
                    <w14:schemeClr w14:val="tx1"/>
                  </w14:solidFill>
                </w14:textFill>
              </w:rPr>
              <w:t>5.3.3</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1DA331AD">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厂区道路布置</w:t>
            </w:r>
            <w:r>
              <w:rPr>
                <w:rFonts w:hint="eastAsia" w:ascii="宋体" w:hAnsi="宋体" w:eastAsia="宋体" w:cs="宋体"/>
                <w:color w:val="000000" w:themeColor="text1"/>
                <w:sz w:val="21"/>
                <w:szCs w:val="21"/>
                <w:lang w:eastAsia="zh-CN"/>
                <w14:textFill>
                  <w14:solidFill>
                    <w14:schemeClr w14:val="tx1"/>
                  </w14:solidFill>
                </w14:textFill>
              </w:rPr>
              <w:t>合理</w:t>
            </w:r>
          </w:p>
        </w:tc>
        <w:tc>
          <w:tcPr>
            <w:tcW w:w="720" w:type="dxa"/>
            <w:vAlign w:val="center"/>
          </w:tcPr>
          <w:p w14:paraId="4215AD12">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8B6C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3B52428B">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2520" w:type="dxa"/>
            <w:vAlign w:val="center"/>
          </w:tcPr>
          <w:p w14:paraId="2837919F">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路面平整、路基稳固、边坡整齐、排水良好。</w:t>
            </w:r>
          </w:p>
        </w:tc>
        <w:tc>
          <w:tcPr>
            <w:tcW w:w="2400" w:type="dxa"/>
            <w:vAlign w:val="center"/>
          </w:tcPr>
          <w:p w14:paraId="159578F4">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《工业企业厂内铁路、道路运输安全规程》（GB4387-2008）第</w:t>
            </w:r>
            <w:r>
              <w:rPr>
                <w:rFonts w:hint="eastAsia" w:ascii="宋体" w:hAnsi="宋体" w:eastAsia="宋体" w:cs="宋体"/>
                <w:color w:val="000000" w:themeColor="text1"/>
                <w:sz w:val="21"/>
                <w:szCs w:val="21"/>
                <w14:textFill>
                  <w14:solidFill>
                    <w14:schemeClr w14:val="tx1"/>
                  </w14:solidFill>
                </w14:textFill>
              </w:rPr>
              <w:t>5.1.1</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220BA753">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主要道路已硬化，</w:t>
            </w:r>
            <w:r>
              <w:rPr>
                <w:rFonts w:hint="eastAsia" w:ascii="宋体" w:hAnsi="宋体" w:eastAsia="宋体" w:cs="宋体"/>
                <w:color w:val="000000" w:themeColor="text1"/>
                <w:sz w:val="21"/>
                <w:szCs w:val="21"/>
                <w:lang w:val="en-US" w:eastAsia="zh-CN"/>
                <w14:textFill>
                  <w14:solidFill>
                    <w14:schemeClr w14:val="tx1"/>
                  </w14:solidFill>
                </w14:textFill>
              </w:rPr>
              <w:t>为水泥道路，排水畅通</w:t>
            </w:r>
          </w:p>
        </w:tc>
        <w:tc>
          <w:tcPr>
            <w:tcW w:w="720" w:type="dxa"/>
            <w:vAlign w:val="center"/>
          </w:tcPr>
          <w:p w14:paraId="2737B88E">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符合</w:t>
            </w:r>
          </w:p>
        </w:tc>
      </w:tr>
      <w:bookmarkEnd w:id="671"/>
      <w:bookmarkEnd w:id="672"/>
      <w:bookmarkEnd w:id="673"/>
      <w:bookmarkEnd w:id="674"/>
      <w:bookmarkEnd w:id="675"/>
    </w:tbl>
    <w:p w14:paraId="07F29BE2">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676" w:name="_Toc309682499"/>
      <w:bookmarkStart w:id="677" w:name="_Toc335926269"/>
      <w:bookmarkStart w:id="678" w:name="_Toc327017836"/>
      <w:bookmarkStart w:id="679" w:name="_Toc5142"/>
      <w:bookmarkStart w:id="680" w:name="_Toc201767301"/>
      <w:bookmarkStart w:id="681" w:name="_Toc26445"/>
      <w:bookmarkStart w:id="682" w:name="_Toc202575711"/>
      <w:bookmarkStart w:id="683" w:name="_Toc278151423"/>
      <w:bookmarkStart w:id="684" w:name="_Toc5096"/>
      <w:bookmarkStart w:id="685" w:name="_Toc2937"/>
      <w:r>
        <w:rPr>
          <w:rFonts w:hint="eastAsia" w:ascii="宋体" w:hAnsi="宋体" w:eastAsia="宋体" w:cs="宋体"/>
          <w:color w:val="000000" w:themeColor="text1"/>
          <w:lang w:val="en-US" w:eastAsia="zh-CN"/>
          <w14:textFill>
            <w14:solidFill>
              <w14:schemeClr w14:val="tx1"/>
            </w14:solidFill>
          </w14:textFill>
        </w:rPr>
        <w:t>5.1.2</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lang w:val="en-US" w:eastAsia="zh-CN"/>
          <w14:textFill>
            <w14:solidFill>
              <w14:schemeClr w14:val="tx1"/>
            </w14:solidFill>
          </w14:textFill>
        </w:rPr>
        <w:t>评价小结</w:t>
      </w:r>
      <w:bookmarkEnd w:id="676"/>
      <w:bookmarkEnd w:id="677"/>
      <w:bookmarkEnd w:id="678"/>
      <w:bookmarkEnd w:id="679"/>
      <w:bookmarkEnd w:id="680"/>
      <w:bookmarkEnd w:id="681"/>
      <w:bookmarkEnd w:id="682"/>
      <w:bookmarkEnd w:id="683"/>
      <w:bookmarkEnd w:id="684"/>
      <w:bookmarkEnd w:id="685"/>
    </w:p>
    <w:p w14:paraId="7C26AA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本章采用安全检查表法，对本项目的厂址、总平面布置、</w:t>
      </w:r>
      <w:r>
        <w:rPr>
          <w:rFonts w:hint="eastAsia" w:ascii="宋体" w:hAnsi="宋体" w:eastAsia="宋体" w:cs="宋体"/>
          <w:color w:val="000000" w:themeColor="text1"/>
          <w:sz w:val="28"/>
          <w:szCs w:val="28"/>
          <w:lang w:val="en-US" w:eastAsia="zh-CN"/>
          <w14:textFill>
            <w14:solidFill>
              <w14:schemeClr w14:val="tx1"/>
            </w14:solidFill>
          </w14:textFill>
        </w:rPr>
        <w:t>厂区道路</w:t>
      </w:r>
      <w:r>
        <w:rPr>
          <w:rFonts w:hint="eastAsia" w:ascii="宋体" w:hAnsi="宋体" w:eastAsia="宋体" w:cs="宋体"/>
          <w:color w:val="000000" w:themeColor="text1"/>
          <w:sz w:val="28"/>
          <w:szCs w:val="28"/>
          <w14:textFill>
            <w14:solidFill>
              <w14:schemeClr w14:val="tx1"/>
            </w14:solidFill>
          </w14:textFill>
        </w:rPr>
        <w:t>进行了检查，总平面布置各功能区</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分布合理，布局连续紧凑，分区明确，生产环境良好，便于管理，能够满足目前安全生产的要求。</w:t>
      </w:r>
    </w:p>
    <w:p w14:paraId="3604FEE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项目平面布置</w:t>
      </w:r>
      <w:r>
        <w:rPr>
          <w:rFonts w:hint="eastAsia" w:ascii="宋体" w:hAnsi="宋体" w:eastAsia="宋体" w:cs="宋体"/>
          <w:color w:val="000000" w:themeColor="text1"/>
          <w:sz w:val="28"/>
          <w:szCs w:val="28"/>
          <w:lang w:val="en-US" w:eastAsia="zh-CN"/>
          <w14:textFill>
            <w14:solidFill>
              <w14:schemeClr w14:val="tx1"/>
            </w14:solidFill>
          </w14:textFill>
        </w:rPr>
        <w:t>符合</w:t>
      </w:r>
      <w:r>
        <w:rPr>
          <w:rFonts w:hint="eastAsia" w:ascii="宋体" w:hAnsi="宋体" w:eastAsia="宋体" w:cs="宋体"/>
          <w:color w:val="000000" w:themeColor="text1"/>
          <w:sz w:val="28"/>
          <w:szCs w:val="28"/>
          <w14:textFill>
            <w14:solidFill>
              <w14:schemeClr w14:val="tx1"/>
            </w14:solidFill>
          </w14:textFill>
        </w:rPr>
        <w:t>《工业企业总平面设计规范》（</w:t>
      </w:r>
      <w:r>
        <w:rPr>
          <w:rFonts w:hint="eastAsia" w:ascii="宋体" w:hAnsi="宋体" w:eastAsia="宋体" w:cs="宋体"/>
          <w:color w:val="000000" w:themeColor="text1"/>
          <w:sz w:val="28"/>
          <w:szCs w:val="28"/>
          <w:lang w:val="zh-CN"/>
          <w14:textFill>
            <w14:solidFill>
              <w14:schemeClr w14:val="tx1"/>
            </w14:solidFill>
          </w14:textFill>
        </w:rPr>
        <w:t>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zh-CN"/>
          <w14:textFill>
            <w14:solidFill>
              <w14:schemeClr w14:val="tx1"/>
            </w14:solidFill>
          </w14:textFill>
        </w:rPr>
        <w:t>50187-2012）、《工业企业厂内铁路、道路运输安全规程》（GB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zh-CN"/>
          <w14:textFill>
            <w14:solidFill>
              <w14:schemeClr w14:val="tx1"/>
            </w14:solidFill>
          </w14:textFill>
        </w:rPr>
        <w:t>4387-2008）</w:t>
      </w:r>
      <w:r>
        <w:rPr>
          <w:rFonts w:hint="eastAsia" w:ascii="宋体" w:hAnsi="宋体" w:eastAsia="宋体" w:cs="宋体"/>
          <w:color w:val="000000" w:themeColor="text1"/>
          <w:sz w:val="28"/>
          <w:szCs w:val="28"/>
          <w14:textFill>
            <w14:solidFill>
              <w14:schemeClr w14:val="tx1"/>
            </w14:solidFill>
          </w14:textFill>
        </w:rPr>
        <w:t>和《建筑设计防火规范〔2018版〕》（GB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50016-2014）中的</w:t>
      </w:r>
      <w:r>
        <w:rPr>
          <w:rFonts w:hint="eastAsia" w:ascii="宋体" w:hAnsi="宋体" w:eastAsia="宋体" w:cs="宋体"/>
          <w:color w:val="000000" w:themeColor="text1"/>
          <w:sz w:val="28"/>
          <w:szCs w:val="28"/>
          <w:lang w:val="en-US" w:eastAsia="zh-CN"/>
          <w14:textFill>
            <w14:solidFill>
              <w14:schemeClr w14:val="tx1"/>
            </w14:solidFill>
          </w14:textFill>
        </w:rPr>
        <w:t>规范要求</w:t>
      </w:r>
      <w:r>
        <w:rPr>
          <w:rFonts w:hint="eastAsia" w:ascii="宋体" w:hAnsi="宋体" w:eastAsia="宋体" w:cs="宋体"/>
          <w:color w:val="000000" w:themeColor="text1"/>
          <w:sz w:val="28"/>
          <w:szCs w:val="28"/>
          <w14:textFill>
            <w14:solidFill>
              <w14:schemeClr w14:val="tx1"/>
            </w14:solidFill>
          </w14:textFill>
        </w:rPr>
        <w:t>。</w:t>
      </w:r>
    </w:p>
    <w:p w14:paraId="2A587B97">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686" w:name="_Toc32345"/>
      <w:bookmarkStart w:id="687" w:name="_Toc19848"/>
      <w:bookmarkStart w:id="688" w:name="_Toc18641"/>
      <w:bookmarkStart w:id="689" w:name="_Toc30343"/>
      <w:bookmarkStart w:id="690" w:name="_Toc313545238"/>
      <w:bookmarkStart w:id="691" w:name="_Toc8408"/>
      <w:bookmarkStart w:id="692" w:name="_Toc335926278"/>
      <w:bookmarkStart w:id="693" w:name="_Toc313453594"/>
      <w:bookmarkStart w:id="694" w:name="_Toc145775716"/>
      <w:r>
        <w:rPr>
          <w:rFonts w:hint="eastAsia" w:ascii="宋体" w:hAnsi="宋体" w:eastAsia="宋体" w:cs="宋体"/>
          <w:color w:val="000000" w:themeColor="text1"/>
          <w14:textFill>
            <w14:solidFill>
              <w14:schemeClr w14:val="tx1"/>
            </w14:solidFill>
          </w14:textFill>
        </w:rPr>
        <w:t>5.2</w:t>
      </w:r>
      <w:r>
        <w:rPr>
          <w:rFonts w:hint="eastAsia" w:ascii="宋体" w:hAnsi="宋体" w:eastAsia="宋体" w:cs="宋体"/>
          <w:color w:val="000000" w:themeColor="text1"/>
          <w:lang w:val="en-US" w:eastAsia="zh-CN"/>
          <w14:textFill>
            <w14:solidFill>
              <w14:schemeClr w14:val="tx1"/>
            </w14:solidFill>
          </w14:textFill>
        </w:rPr>
        <w:t xml:space="preserve"> 生产</w:t>
      </w:r>
      <w:r>
        <w:rPr>
          <w:rFonts w:hint="eastAsia" w:ascii="宋体" w:hAnsi="宋体" w:eastAsia="宋体" w:cs="宋体"/>
          <w:color w:val="000000" w:themeColor="text1"/>
          <w14:textFill>
            <w14:solidFill>
              <w14:schemeClr w14:val="tx1"/>
            </w14:solidFill>
          </w14:textFill>
        </w:rPr>
        <w:t>工艺</w:t>
      </w:r>
      <w:r>
        <w:rPr>
          <w:rFonts w:hint="eastAsia" w:ascii="宋体" w:hAnsi="宋体" w:eastAsia="宋体" w:cs="宋体"/>
          <w:color w:val="000000" w:themeColor="text1"/>
          <w:lang w:val="en-US" w:eastAsia="zh-CN"/>
          <w14:textFill>
            <w14:solidFill>
              <w14:schemeClr w14:val="tx1"/>
            </w14:solidFill>
          </w14:textFill>
        </w:rPr>
        <w:t>及设备设施</w:t>
      </w:r>
      <w:r>
        <w:rPr>
          <w:rFonts w:hint="eastAsia" w:ascii="宋体" w:hAnsi="宋体" w:eastAsia="宋体" w:cs="宋体"/>
          <w:color w:val="000000" w:themeColor="text1"/>
          <w14:textFill>
            <w14:solidFill>
              <w14:schemeClr w14:val="tx1"/>
            </w14:solidFill>
          </w14:textFill>
        </w:rPr>
        <w:t>评价单元</w:t>
      </w:r>
      <w:bookmarkEnd w:id="686"/>
      <w:bookmarkEnd w:id="687"/>
      <w:bookmarkEnd w:id="688"/>
      <w:bookmarkEnd w:id="689"/>
    </w:p>
    <w:p w14:paraId="14A221E3">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695" w:name="_Toc30203"/>
      <w:bookmarkStart w:id="696" w:name="_Toc23262"/>
      <w:bookmarkStart w:id="697" w:name="_Toc21729"/>
      <w:r>
        <w:rPr>
          <w:rFonts w:hint="eastAsia" w:ascii="宋体" w:hAnsi="宋体" w:eastAsia="宋体" w:cs="宋体"/>
          <w:color w:val="000000" w:themeColor="text1"/>
          <w:lang w:val="en-US" w:eastAsia="zh-CN"/>
          <w14:textFill>
            <w14:solidFill>
              <w14:schemeClr w14:val="tx1"/>
            </w14:solidFill>
          </w14:textFill>
        </w:rPr>
        <w:t>5.2.1</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lang w:val="en-US" w:eastAsia="zh-CN"/>
          <w14:textFill>
            <w14:solidFill>
              <w14:schemeClr w14:val="tx1"/>
            </w14:solidFill>
          </w14:textFill>
        </w:rPr>
        <w:t>安全检查</w:t>
      </w:r>
      <w:bookmarkEnd w:id="690"/>
      <w:r>
        <w:rPr>
          <w:rFonts w:hint="eastAsia" w:ascii="宋体" w:hAnsi="宋体" w:eastAsia="宋体" w:cs="宋体"/>
          <w:color w:val="000000" w:themeColor="text1"/>
          <w:lang w:val="en-US" w:eastAsia="zh-CN"/>
          <w14:textFill>
            <w14:solidFill>
              <w14:schemeClr w14:val="tx1"/>
            </w14:solidFill>
          </w14:textFill>
        </w:rPr>
        <w:t>表</w:t>
      </w:r>
      <w:bookmarkEnd w:id="691"/>
      <w:bookmarkEnd w:id="692"/>
      <w:bookmarkEnd w:id="695"/>
      <w:bookmarkEnd w:id="696"/>
      <w:bookmarkEnd w:id="697"/>
      <w:bookmarkStart w:id="698" w:name="_Toc335926279"/>
      <w:bookmarkStart w:id="699" w:name="_Toc21611"/>
    </w:p>
    <w:p w14:paraId="0320019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按照《生产设备安全卫生设计总则》（GB5083-</w:t>
      </w:r>
      <w:r>
        <w:rPr>
          <w:rFonts w:hint="eastAsia" w:ascii="宋体" w:hAnsi="宋体" w:eastAsia="宋体" w:cs="宋体"/>
          <w:color w:val="000000" w:themeColor="text1"/>
          <w:sz w:val="28"/>
          <w:szCs w:val="28"/>
          <w:lang w:val="en-US" w:eastAsia="zh-CN"/>
          <w14:textFill>
            <w14:solidFill>
              <w14:schemeClr w14:val="tx1"/>
            </w14:solidFill>
          </w14:textFill>
        </w:rPr>
        <w:t>2023</w:t>
      </w:r>
      <w:r>
        <w:rPr>
          <w:rFonts w:hint="eastAsia" w:ascii="宋体" w:hAnsi="宋体" w:eastAsia="宋体" w:cs="宋体"/>
          <w:color w:val="000000" w:themeColor="text1"/>
          <w:sz w:val="28"/>
          <w:szCs w:val="28"/>
          <w14:textFill>
            <w14:solidFill>
              <w14:schemeClr w14:val="tx1"/>
            </w14:solidFill>
          </w14:textFill>
        </w:rPr>
        <w:t>）、《生产过程安全卫生要求总则》（GB/T 12801-2008）、《中华人民共和国安全生产法》（中华人民共和国主席令第88号，2021年修订）、</w:t>
      </w:r>
      <w:r>
        <w:rPr>
          <w:rFonts w:hint="eastAsia" w:ascii="宋体" w:hAnsi="宋体" w:eastAsia="宋体" w:cs="宋体"/>
          <w:color w:val="000000" w:themeColor="text1"/>
          <w:kern w:val="0"/>
          <w:sz w:val="28"/>
          <w:szCs w:val="28"/>
          <w14:textFill>
            <w14:solidFill>
              <w14:schemeClr w14:val="tx1"/>
            </w14:solidFill>
          </w14:textFill>
        </w:rPr>
        <w:t>《压力容器定期检验规则》（TSG R7001-2013）</w:t>
      </w:r>
      <w:r>
        <w:rPr>
          <w:rFonts w:hint="eastAsia" w:ascii="宋体" w:hAnsi="宋体" w:eastAsia="宋体" w:cs="宋体"/>
          <w:color w:val="000000" w:themeColor="text1"/>
          <w:sz w:val="28"/>
          <w:szCs w:val="28"/>
          <w14:textFill>
            <w14:solidFill>
              <w14:schemeClr w14:val="tx1"/>
            </w14:solidFill>
          </w14:textFill>
        </w:rPr>
        <w:t>等标准规范的规定，对该项目的生产工艺设备设施采用安全检查表法进行分析评价。检查结果见表5-</w:t>
      </w: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w:t>
      </w:r>
    </w:p>
    <w:p w14:paraId="14BD37FE">
      <w:pPr>
        <w:adjustRightInd w:val="0"/>
        <w:snapToGrid w:val="0"/>
        <w:spacing w:line="240" w:lineRule="auto"/>
        <w:jc w:val="center"/>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表5-</w:t>
      </w:r>
      <w:r>
        <w:rPr>
          <w:rFonts w:hint="eastAsia" w:ascii="宋体" w:hAnsi="宋体" w:eastAsia="宋体" w:cs="宋体"/>
          <w:b/>
          <w:bCs/>
          <w:color w:val="000000" w:themeColor="text1"/>
          <w:sz w:val="24"/>
          <w:lang w:val="en-US" w:eastAsia="zh-CN"/>
          <w14:textFill>
            <w14:solidFill>
              <w14:schemeClr w14:val="tx1"/>
            </w14:solidFill>
          </w14:textFill>
        </w:rPr>
        <w:t>2</w:t>
      </w:r>
      <w:r>
        <w:rPr>
          <w:rFonts w:hint="eastAsia" w:ascii="宋体" w:hAnsi="宋体" w:eastAsia="宋体" w:cs="宋体"/>
          <w:b/>
          <w:bCs/>
          <w:color w:val="000000" w:themeColor="text1"/>
          <w:sz w:val="24"/>
          <w14:textFill>
            <w14:solidFill>
              <w14:schemeClr w14:val="tx1"/>
            </w14:solidFill>
          </w14:textFill>
        </w:rPr>
        <w:t xml:space="preserve">  生产工艺及设备设施安全检查表</w:t>
      </w:r>
    </w:p>
    <w:tbl>
      <w:tblPr>
        <w:tblStyle w:val="52"/>
        <w:tblW w:w="8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3235"/>
        <w:gridCol w:w="2140"/>
        <w:gridCol w:w="2070"/>
        <w:gridCol w:w="845"/>
      </w:tblGrid>
      <w:tr w14:paraId="4B617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57" w:type="dxa"/>
            <w:vAlign w:val="center"/>
          </w:tcPr>
          <w:p w14:paraId="48A8DCC8">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235" w:type="dxa"/>
            <w:vAlign w:val="center"/>
          </w:tcPr>
          <w:p w14:paraId="0B389B03">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检查内容</w:t>
            </w:r>
          </w:p>
        </w:tc>
        <w:tc>
          <w:tcPr>
            <w:tcW w:w="2140" w:type="dxa"/>
            <w:vAlign w:val="center"/>
          </w:tcPr>
          <w:p w14:paraId="0C0063E0">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依据标准</w:t>
            </w:r>
          </w:p>
        </w:tc>
        <w:tc>
          <w:tcPr>
            <w:tcW w:w="2070" w:type="dxa"/>
            <w:vAlign w:val="center"/>
          </w:tcPr>
          <w:p w14:paraId="24C054AE">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检查情况</w:t>
            </w:r>
          </w:p>
        </w:tc>
        <w:tc>
          <w:tcPr>
            <w:tcW w:w="845" w:type="dxa"/>
            <w:vAlign w:val="center"/>
          </w:tcPr>
          <w:p w14:paraId="4A14C9DE">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结论</w:t>
            </w:r>
          </w:p>
        </w:tc>
      </w:tr>
      <w:tr w14:paraId="0952C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7765E4CF">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5E4E6649">
            <w:pPr>
              <w:autoSpaceDE w:val="0"/>
              <w:autoSpaceDN w:val="0"/>
              <w:adjustRightInd w:val="0"/>
              <w:snapToGrid w:val="0"/>
              <w:spacing w:line="300" w:lineRule="exact"/>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生产经营单位不得使用应当淘汰的危及生产安全的工艺、设备。</w:t>
            </w:r>
          </w:p>
        </w:tc>
        <w:tc>
          <w:tcPr>
            <w:tcW w:w="2140" w:type="dxa"/>
            <w:vAlign w:val="center"/>
          </w:tcPr>
          <w:p w14:paraId="0EAA3325">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《中华人民共和国安全生产法》（中华人民共和国主席令第88号，2021年修订）</w:t>
            </w:r>
          </w:p>
          <w:p w14:paraId="32FF2D84">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第三十八条</w:t>
            </w:r>
          </w:p>
        </w:tc>
        <w:tc>
          <w:tcPr>
            <w:tcW w:w="2070" w:type="dxa"/>
            <w:vAlign w:val="center"/>
          </w:tcPr>
          <w:p w14:paraId="2E9F94F3">
            <w:pPr>
              <w:adjustRightInd w:val="0"/>
              <w:snapToGrid w:val="0"/>
              <w:spacing w:line="30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没有使用国家明令淘汰、禁止使用的危及生产安全的工艺、设备</w:t>
            </w:r>
            <w:r>
              <w:rPr>
                <w:rFonts w:hint="eastAsia" w:ascii="宋体" w:hAnsi="宋体" w:eastAsia="宋体" w:cs="宋体"/>
                <w:snapToGrid w:val="0"/>
                <w:color w:val="000000" w:themeColor="text1"/>
                <w:kern w:val="0"/>
                <w:sz w:val="21"/>
                <w:szCs w:val="21"/>
                <w14:textFill>
                  <w14:solidFill>
                    <w14:schemeClr w14:val="tx1"/>
                  </w14:solidFill>
                </w14:textFill>
              </w:rPr>
              <w:t>。</w:t>
            </w:r>
          </w:p>
        </w:tc>
        <w:tc>
          <w:tcPr>
            <w:tcW w:w="845" w:type="dxa"/>
            <w:vAlign w:val="center"/>
          </w:tcPr>
          <w:p w14:paraId="2806BE13">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A540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1107A0C2">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20D3FE3C">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对工艺、作业和施工过程的控制、检测系统的要求：</w:t>
            </w:r>
          </w:p>
          <w:p w14:paraId="10A68E9B">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a）对事故后果严重的生产过程，应按冗余原则，设计备用装置或备用系统，并能保证在出现危险时能自动转换到备用装置或备用系统；</w:t>
            </w:r>
          </w:p>
          <w:p w14:paraId="0590DA2F">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b）各种仪器、仪表、监测记录装置等，必须选用合理，灵敏可靠，易于辨识。</w:t>
            </w:r>
          </w:p>
        </w:tc>
        <w:tc>
          <w:tcPr>
            <w:tcW w:w="2140" w:type="dxa"/>
            <w:vAlign w:val="center"/>
          </w:tcPr>
          <w:p w14:paraId="2DBA1FF1">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w:t>
            </w:r>
            <w:r>
              <w:rPr>
                <w:rFonts w:hint="eastAsia" w:ascii="宋体" w:hAnsi="宋体" w:eastAsia="宋体" w:cs="宋体"/>
                <w:color w:val="000000" w:themeColor="text1"/>
                <w:sz w:val="21"/>
                <w:szCs w:val="21"/>
                <w14:textFill>
                  <w14:solidFill>
                    <w14:schemeClr w14:val="tx1"/>
                  </w14:solidFill>
                </w14:textFill>
              </w:rPr>
              <w:br w:type="textWrapping"/>
            </w:r>
            <w:r>
              <w:rPr>
                <w:rFonts w:hint="eastAsia" w:ascii="宋体" w:hAnsi="宋体" w:eastAsia="宋体" w:cs="宋体"/>
                <w:color w:val="000000" w:themeColor="text1"/>
                <w:sz w:val="21"/>
                <w:szCs w:val="21"/>
                <w14:textFill>
                  <w14:solidFill>
                    <w14:schemeClr w14:val="tx1"/>
                  </w14:solidFill>
                </w14:textFill>
              </w:rPr>
              <w:t>（GB/ T12801-2008）第5.3.2条</w:t>
            </w:r>
          </w:p>
        </w:tc>
        <w:tc>
          <w:tcPr>
            <w:tcW w:w="2070" w:type="dxa"/>
            <w:vAlign w:val="center"/>
          </w:tcPr>
          <w:p w14:paraId="735D7094">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工艺、作业满足以上要求。</w:t>
            </w:r>
          </w:p>
        </w:tc>
        <w:tc>
          <w:tcPr>
            <w:tcW w:w="845" w:type="dxa"/>
            <w:vAlign w:val="center"/>
          </w:tcPr>
          <w:p w14:paraId="69233C74">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A68B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729D1F11">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4ECD437A">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配置设备、设施、管线、电缆和组织作业区的基本要求</w:t>
            </w:r>
          </w:p>
          <w:p w14:paraId="7F31A457">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a）在生产厂房和作业场地上配置的生产设备、设施、管线、电缆以及堆放的生产物料、产品和剩余物料，不应对人员、生产和运输造成危险和有害影响；</w:t>
            </w:r>
          </w:p>
          <w:p w14:paraId="20EE3B8A">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b）各设备之间，管线之间，以及设备、管线与厂房、建（构）筑物的墙壁之间的距离，均应符合有关设计和建筑规范要求；</w:t>
            </w:r>
          </w:p>
          <w:p w14:paraId="2EF31680">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c）在设备、设施、管线上需要人员操作、监察和维修，并有发生高处坠落危险的部位，应配置扶梯、平台、围栏和系挂装置等附属设施。</w:t>
            </w:r>
          </w:p>
        </w:tc>
        <w:tc>
          <w:tcPr>
            <w:tcW w:w="2140" w:type="dxa"/>
            <w:vAlign w:val="center"/>
          </w:tcPr>
          <w:p w14:paraId="22532EC3">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w:t>
            </w:r>
            <w:r>
              <w:rPr>
                <w:rFonts w:hint="eastAsia" w:ascii="宋体" w:hAnsi="宋体" w:eastAsia="宋体" w:cs="宋体"/>
                <w:color w:val="000000" w:themeColor="text1"/>
                <w:sz w:val="21"/>
                <w:szCs w:val="21"/>
                <w14:textFill>
                  <w14:solidFill>
                    <w14:schemeClr w14:val="tx1"/>
                  </w14:solidFill>
                </w14:textFill>
              </w:rPr>
              <w:br w:type="textWrapping"/>
            </w:r>
            <w:r>
              <w:rPr>
                <w:rFonts w:hint="eastAsia" w:ascii="宋体" w:hAnsi="宋体" w:eastAsia="宋体" w:cs="宋体"/>
                <w:color w:val="000000" w:themeColor="text1"/>
                <w:sz w:val="21"/>
                <w:szCs w:val="21"/>
                <w14:textFill>
                  <w14:solidFill>
                    <w14:schemeClr w14:val="tx1"/>
                  </w14:solidFill>
                </w14:textFill>
              </w:rPr>
              <w:t>（GB/T 12801-2008）第5.7.1条</w:t>
            </w:r>
          </w:p>
        </w:tc>
        <w:tc>
          <w:tcPr>
            <w:tcW w:w="2070" w:type="dxa"/>
            <w:vAlign w:val="center"/>
          </w:tcPr>
          <w:p w14:paraId="1CEE9DE9">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配置设备、设施、管线、电缆和组织作业区满足要求。</w:t>
            </w:r>
          </w:p>
        </w:tc>
        <w:tc>
          <w:tcPr>
            <w:tcW w:w="845" w:type="dxa"/>
            <w:vAlign w:val="center"/>
          </w:tcPr>
          <w:p w14:paraId="360AA743">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49C3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4B0694CA">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55E84AAA">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设备布置的原则：</w:t>
            </w:r>
          </w:p>
          <w:p w14:paraId="3DFF4403">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a）便于操作和维护；</w:t>
            </w:r>
          </w:p>
          <w:p w14:paraId="57D02854">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b）发生火灾或出现紧急情况时，便于人员撤离；</w:t>
            </w:r>
          </w:p>
          <w:p w14:paraId="13015AA5">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c）尽量避免生产装置之间危害因素的相互影响，减小对人员的综合作用；</w:t>
            </w:r>
          </w:p>
          <w:p w14:paraId="672EA6E0">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d）布置具有潜在危险的设备时，应根据有关规定进行分散和隔离，并设置必要的提示、标志和警告信号；</w:t>
            </w:r>
          </w:p>
          <w:p w14:paraId="20E152E7">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e）对振动、爆炸敏感的设备，应进行隔离或设置屏蔽、防护墙、减振设施等；</w:t>
            </w:r>
          </w:p>
          <w:p w14:paraId="2E8B8C94">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f） 设备的噪声超过有关标准规定时，应予以隔离；</w:t>
            </w:r>
          </w:p>
          <w:p w14:paraId="47A080C4">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g）加热设备及反应釜等的作业孔、操纵器、观察孔等应有防护设施；作业区的热辐射强度不应超过有关规定。</w:t>
            </w:r>
          </w:p>
        </w:tc>
        <w:tc>
          <w:tcPr>
            <w:tcW w:w="2140" w:type="dxa"/>
            <w:vAlign w:val="center"/>
          </w:tcPr>
          <w:p w14:paraId="11A70F4A">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w:t>
            </w:r>
            <w:r>
              <w:rPr>
                <w:rFonts w:hint="eastAsia" w:ascii="宋体" w:hAnsi="宋体" w:eastAsia="宋体" w:cs="宋体"/>
                <w:color w:val="000000" w:themeColor="text1"/>
                <w:sz w:val="21"/>
                <w:szCs w:val="21"/>
                <w14:textFill>
                  <w14:solidFill>
                    <w14:schemeClr w14:val="tx1"/>
                  </w14:solidFill>
                </w14:textFill>
              </w:rPr>
              <w:br w:type="textWrapping"/>
            </w:r>
            <w:r>
              <w:rPr>
                <w:rFonts w:hint="eastAsia" w:ascii="宋体" w:hAnsi="宋体" w:eastAsia="宋体" w:cs="宋体"/>
                <w:color w:val="000000" w:themeColor="text1"/>
                <w:sz w:val="21"/>
                <w:szCs w:val="21"/>
                <w14:textFill>
                  <w14:solidFill>
                    <w14:schemeClr w14:val="tx1"/>
                  </w14:solidFill>
                </w14:textFill>
              </w:rPr>
              <w:t>（GB/T 12801-2008）第5.7.2条</w:t>
            </w:r>
          </w:p>
        </w:tc>
        <w:tc>
          <w:tcPr>
            <w:tcW w:w="2070" w:type="dxa"/>
            <w:vAlign w:val="center"/>
          </w:tcPr>
          <w:p w14:paraId="02C333DF">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该项目均选用低噪声设备，周围没有对振动要求高</w:t>
            </w:r>
            <w:r>
              <w:rPr>
                <w:rFonts w:hint="eastAsia" w:ascii="宋体" w:hAnsi="宋体" w:eastAsia="宋体" w:cs="宋体"/>
                <w:color w:val="000000" w:themeColor="text1"/>
                <w:sz w:val="21"/>
                <w:szCs w:val="21"/>
                <w:lang w:val="en-US" w:eastAsia="zh-CN"/>
                <w14:textFill>
                  <w14:solidFill>
                    <w14:schemeClr w14:val="tx1"/>
                  </w14:solidFill>
                </w14:textFill>
              </w:rPr>
              <w:t>的</w:t>
            </w:r>
            <w:r>
              <w:rPr>
                <w:rFonts w:hint="eastAsia" w:ascii="宋体" w:hAnsi="宋体" w:eastAsia="宋体" w:cs="宋体"/>
                <w:color w:val="000000" w:themeColor="text1"/>
                <w:sz w:val="21"/>
                <w:szCs w:val="21"/>
                <w14:textFill>
                  <w14:solidFill>
                    <w14:schemeClr w14:val="tx1"/>
                  </w14:solidFill>
                </w14:textFill>
              </w:rPr>
              <w:t>设备，均按相关要求规定进行布置，有足够的操作空间；设置了2个紧急出入口，发生事故便于人员撤离。</w:t>
            </w:r>
          </w:p>
        </w:tc>
        <w:tc>
          <w:tcPr>
            <w:tcW w:w="845" w:type="dxa"/>
            <w:vAlign w:val="center"/>
          </w:tcPr>
          <w:p w14:paraId="49DD316E">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AE5F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5642C1DC">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0B0B479E">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企业应按照GB11651和国家颁发的劳动防护用品配备标准和有关规定，为从业人员配备劳动防护用品。</w:t>
            </w:r>
          </w:p>
        </w:tc>
        <w:tc>
          <w:tcPr>
            <w:tcW w:w="2140" w:type="dxa"/>
            <w:vAlign w:val="center"/>
          </w:tcPr>
          <w:p w14:paraId="03415D8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w:t>
            </w:r>
            <w:r>
              <w:rPr>
                <w:rFonts w:hint="eastAsia" w:ascii="宋体" w:hAnsi="宋体" w:eastAsia="宋体" w:cs="宋体"/>
                <w:color w:val="000000" w:themeColor="text1"/>
                <w:sz w:val="21"/>
                <w:szCs w:val="21"/>
                <w14:textFill>
                  <w14:solidFill>
                    <w14:schemeClr w14:val="tx1"/>
                  </w14:solidFill>
                </w14:textFill>
              </w:rPr>
              <w:br w:type="textWrapping"/>
            </w:r>
            <w:r>
              <w:rPr>
                <w:rFonts w:hint="eastAsia" w:ascii="宋体" w:hAnsi="宋体" w:eastAsia="宋体" w:cs="宋体"/>
                <w:color w:val="000000" w:themeColor="text1"/>
                <w:sz w:val="21"/>
                <w:szCs w:val="21"/>
                <w14:textFill>
                  <w14:solidFill>
                    <w14:schemeClr w14:val="tx1"/>
                  </w14:solidFill>
                </w14:textFill>
              </w:rPr>
              <w:t>（GB/T 12801-2008）第6.2.1条</w:t>
            </w:r>
          </w:p>
        </w:tc>
        <w:tc>
          <w:tcPr>
            <w:tcW w:w="2070" w:type="dxa"/>
            <w:vAlign w:val="center"/>
          </w:tcPr>
          <w:p w14:paraId="07BCB401">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企业向从业人员定期发放劳动防护用品。</w:t>
            </w:r>
          </w:p>
        </w:tc>
        <w:tc>
          <w:tcPr>
            <w:tcW w:w="845" w:type="dxa"/>
            <w:vAlign w:val="center"/>
          </w:tcPr>
          <w:p w14:paraId="7FF8541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4ECF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564C1DF5">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7310FB0F">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具有火灾危险的工作过程，应综合考虑防火防爆措施和报警系统，合理选择和配置消防设施。</w:t>
            </w:r>
          </w:p>
        </w:tc>
        <w:tc>
          <w:tcPr>
            <w:tcW w:w="2140" w:type="dxa"/>
            <w:vAlign w:val="center"/>
          </w:tcPr>
          <w:p w14:paraId="47B78025">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《生产过程安全卫生要求总则》（GB12801-2008）</w:t>
            </w:r>
          </w:p>
          <w:p w14:paraId="4BED833C">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第6.3.1条</w:t>
            </w:r>
          </w:p>
        </w:tc>
        <w:tc>
          <w:tcPr>
            <w:tcW w:w="2070" w:type="dxa"/>
            <w:vAlign w:val="center"/>
          </w:tcPr>
          <w:p w14:paraId="5A0C5CC6">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w:t>
            </w:r>
            <w:r>
              <w:rPr>
                <w:rFonts w:hint="eastAsia" w:ascii="宋体" w:hAnsi="宋体" w:eastAsia="宋体" w:cs="宋体"/>
                <w:color w:val="000000" w:themeColor="text1"/>
                <w:sz w:val="21"/>
                <w:szCs w:val="21"/>
                <w:lang w:val="en-US" w:eastAsia="zh-CN"/>
                <w14:textFill>
                  <w14:solidFill>
                    <w14:schemeClr w14:val="tx1"/>
                  </w14:solidFill>
                </w14:textFill>
              </w:rPr>
              <w:t>生产区</w:t>
            </w:r>
            <w:r>
              <w:rPr>
                <w:rFonts w:hint="eastAsia" w:ascii="宋体" w:hAnsi="宋体" w:eastAsia="宋体" w:cs="宋体"/>
                <w:color w:val="000000" w:themeColor="text1"/>
                <w:sz w:val="21"/>
                <w:szCs w:val="21"/>
                <w14:textFill>
                  <w14:solidFill>
                    <w14:schemeClr w14:val="tx1"/>
                  </w14:solidFill>
                </w14:textFill>
              </w:rPr>
              <w:t>、办公室等区域配备了灭火器。</w:t>
            </w:r>
          </w:p>
        </w:tc>
        <w:tc>
          <w:tcPr>
            <w:tcW w:w="845" w:type="dxa"/>
            <w:vAlign w:val="center"/>
          </w:tcPr>
          <w:p w14:paraId="19351F7D">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E3C8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0372890E">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6277D940">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生产设备(包括零部件)应有符合产品安全性能的力学特性、稳定性和可靠性。在按规定条件制</w:t>
            </w:r>
          </w:p>
          <w:p w14:paraId="78D96BE4">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造、运输、储存、安装、使用和拆除时，不应对人员造成危害。</w:t>
            </w:r>
          </w:p>
        </w:tc>
        <w:tc>
          <w:tcPr>
            <w:tcW w:w="2140" w:type="dxa"/>
            <w:vAlign w:val="center"/>
          </w:tcPr>
          <w:p w14:paraId="10C51E89">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《生产设备安全卫生设计总则》（GB5083-2023）第4.2条</w:t>
            </w:r>
          </w:p>
        </w:tc>
        <w:tc>
          <w:tcPr>
            <w:tcW w:w="2070" w:type="dxa"/>
            <w:vAlign w:val="center"/>
          </w:tcPr>
          <w:p w14:paraId="28CDC02F">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该项目生产设备均通过具有生产资质的厂家采购，设备有产品合格证，各设备危险点均采取了相应防护措施。</w:t>
            </w:r>
          </w:p>
        </w:tc>
        <w:tc>
          <w:tcPr>
            <w:tcW w:w="845" w:type="dxa"/>
            <w:vAlign w:val="center"/>
          </w:tcPr>
          <w:p w14:paraId="3E305F6C">
            <w:pPr>
              <w:snapToGrid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1C99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02384FE3">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31B63D95">
            <w:pPr>
              <w:adjustRightInd w:val="0"/>
              <w:snapToGrid w:val="0"/>
              <w:spacing w:line="300" w:lineRule="exac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生产设备不应在振动、风载荷或其他外载荷作用下倾覆或产生允许范围外的运动或位移。</w:t>
            </w:r>
          </w:p>
        </w:tc>
        <w:tc>
          <w:tcPr>
            <w:tcW w:w="2140" w:type="dxa"/>
            <w:shd w:val="clear" w:color="auto" w:fill="auto"/>
            <w:vAlign w:val="center"/>
          </w:tcPr>
          <w:p w14:paraId="3C41FF07">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w:t>
            </w:r>
          </w:p>
          <w:p w14:paraId="29318B38">
            <w:pPr>
              <w:pStyle w:val="356"/>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第5.3.1条</w:t>
            </w:r>
          </w:p>
        </w:tc>
        <w:tc>
          <w:tcPr>
            <w:tcW w:w="2070" w:type="dxa"/>
            <w:shd w:val="clear" w:color="auto" w:fill="auto"/>
            <w:vAlign w:val="center"/>
          </w:tcPr>
          <w:p w14:paraId="71A054F0">
            <w:pPr>
              <w:pStyle w:val="356"/>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生产设备没有在上述条件下运动。</w:t>
            </w:r>
          </w:p>
        </w:tc>
        <w:tc>
          <w:tcPr>
            <w:tcW w:w="845" w:type="dxa"/>
            <w:shd w:val="clear" w:color="auto" w:fill="auto"/>
            <w:vAlign w:val="center"/>
          </w:tcPr>
          <w:p w14:paraId="2AC63EE3">
            <w:pPr>
              <w:pStyle w:val="356"/>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3BC6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7AAA4988">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25D42213">
            <w:pPr>
              <w:pStyle w:val="356"/>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生产设备的控制装置不应使用联锁装置代替控制开关执行常规机械功能。</w:t>
            </w:r>
          </w:p>
        </w:tc>
        <w:tc>
          <w:tcPr>
            <w:tcW w:w="2140" w:type="dxa"/>
            <w:shd w:val="clear" w:color="auto" w:fill="auto"/>
            <w:vAlign w:val="center"/>
          </w:tcPr>
          <w:p w14:paraId="6AA8F61D">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w:t>
            </w:r>
          </w:p>
          <w:p w14:paraId="4459E31E">
            <w:pPr>
              <w:pStyle w:val="356"/>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第5.6.2.9条</w:t>
            </w:r>
          </w:p>
        </w:tc>
        <w:tc>
          <w:tcPr>
            <w:tcW w:w="2070" w:type="dxa"/>
            <w:shd w:val="clear" w:color="auto" w:fill="auto"/>
            <w:vAlign w:val="center"/>
          </w:tcPr>
          <w:p w14:paraId="534AD537">
            <w:pPr>
              <w:pStyle w:val="356"/>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生产设备的控制开关为手动开关。</w:t>
            </w:r>
          </w:p>
        </w:tc>
        <w:tc>
          <w:tcPr>
            <w:tcW w:w="845" w:type="dxa"/>
            <w:shd w:val="clear" w:color="auto" w:fill="auto"/>
            <w:vAlign w:val="center"/>
          </w:tcPr>
          <w:p w14:paraId="7F4FCB3B">
            <w:pPr>
              <w:pStyle w:val="356"/>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3F9B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5B7D9686">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lang w:val="en-US" w:eastAsia="zh-CN" w:bidi="ar-SA"/>
                <w14:textFill>
                  <w14:solidFill>
                    <w14:schemeClr w14:val="tx1"/>
                  </w14:solidFill>
                </w14:textFill>
              </w:rPr>
            </w:pPr>
          </w:p>
        </w:tc>
        <w:tc>
          <w:tcPr>
            <w:tcW w:w="3235" w:type="dxa"/>
            <w:shd w:val="clear" w:color="auto" w:fill="auto"/>
            <w:vAlign w:val="center"/>
          </w:tcPr>
          <w:p w14:paraId="2D8696F2">
            <w:pPr>
              <w:pStyle w:val="356"/>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生产设备上供人员作业的操作位置应安全可靠，并应满足人机交互功能的要求。其工作空间应保证作业人员的身体各部位在作业中可正常活动。危险作业点应留有安全退避空间。</w:t>
            </w:r>
          </w:p>
        </w:tc>
        <w:tc>
          <w:tcPr>
            <w:tcW w:w="2140" w:type="dxa"/>
            <w:shd w:val="clear" w:color="auto" w:fill="auto"/>
            <w:vAlign w:val="center"/>
          </w:tcPr>
          <w:p w14:paraId="3A93B141">
            <w:pPr>
              <w:pStyle w:val="356"/>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《生产设备安全卫生设计总则》（GB5083-2023）第5.7.1条</w:t>
            </w:r>
          </w:p>
        </w:tc>
        <w:tc>
          <w:tcPr>
            <w:tcW w:w="2070" w:type="dxa"/>
            <w:shd w:val="clear" w:color="auto" w:fill="auto"/>
            <w:vAlign w:val="center"/>
          </w:tcPr>
          <w:p w14:paraId="7B9900AD">
            <w:pPr>
              <w:pStyle w:val="356"/>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设备工作空间可以保证操作人员的头、臂、手、腿、足在正常作业中有充分的活动余地。</w:t>
            </w:r>
          </w:p>
        </w:tc>
        <w:tc>
          <w:tcPr>
            <w:tcW w:w="845" w:type="dxa"/>
            <w:shd w:val="clear" w:color="auto" w:fill="auto"/>
            <w:vAlign w:val="center"/>
          </w:tcPr>
          <w:p w14:paraId="5D4FD08B">
            <w:pPr>
              <w:pStyle w:val="356"/>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094C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0DEE2BFC">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31E3DFD4">
            <w:pPr>
              <w:pStyle w:val="356"/>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生产设备的操作点和操作区域应防止各种频闪效应和眩光现象,其照明设计应按GB50034 的规定执行。生产设备本体照明设计应符合视觉工效学原则。</w:t>
            </w:r>
          </w:p>
        </w:tc>
        <w:tc>
          <w:tcPr>
            <w:tcW w:w="2140" w:type="dxa"/>
            <w:shd w:val="clear" w:color="auto" w:fill="auto"/>
            <w:vAlign w:val="center"/>
          </w:tcPr>
          <w:p w14:paraId="2C7EE0DC">
            <w:pPr>
              <w:pStyle w:val="356"/>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《生产设备安全卫生设计总则》（GB5083-2023）第5.8.1条</w:t>
            </w:r>
          </w:p>
        </w:tc>
        <w:tc>
          <w:tcPr>
            <w:tcW w:w="2070" w:type="dxa"/>
            <w:shd w:val="clear" w:color="auto" w:fill="auto"/>
            <w:vAlign w:val="center"/>
          </w:tcPr>
          <w:p w14:paraId="1A45A3BD">
            <w:pPr>
              <w:pStyle w:val="356"/>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生产车间安装照明设施。</w:t>
            </w:r>
          </w:p>
        </w:tc>
        <w:tc>
          <w:tcPr>
            <w:tcW w:w="845" w:type="dxa"/>
            <w:shd w:val="clear" w:color="auto" w:fill="auto"/>
            <w:vAlign w:val="center"/>
          </w:tcPr>
          <w:p w14:paraId="6615E7AC">
            <w:pPr>
              <w:pStyle w:val="356"/>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符合</w:t>
            </w:r>
          </w:p>
        </w:tc>
      </w:tr>
      <w:tr w14:paraId="17CED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3674AB0A">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2511ECFC">
            <w:pPr>
              <w:pStyle w:val="357"/>
              <w:overflowPunct w:val="0"/>
              <w:snapToGrid w:val="0"/>
              <w:spacing w:line="300" w:lineRule="exact"/>
              <w:jc w:val="both"/>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生产设备运行时可能触及并易造成人身伤害的可动零部件应配置安全卫生防护装置。</w:t>
            </w:r>
          </w:p>
        </w:tc>
        <w:tc>
          <w:tcPr>
            <w:tcW w:w="2140" w:type="dxa"/>
            <w:shd w:val="clear" w:color="auto" w:fill="auto"/>
            <w:vAlign w:val="center"/>
          </w:tcPr>
          <w:p w14:paraId="076A0937">
            <w:pPr>
              <w:pStyle w:val="357"/>
              <w:overflowPunct w:val="0"/>
              <w:snapToGrid w:val="0"/>
              <w:spacing w:line="300" w:lineRule="exact"/>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w:t>
            </w:r>
          </w:p>
          <w:p w14:paraId="3BE39F34">
            <w:pPr>
              <w:pStyle w:val="357"/>
              <w:overflowPunct w:val="0"/>
              <w:snapToGrid w:val="0"/>
              <w:spacing w:line="300" w:lineRule="exact"/>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第6.1.1条</w:t>
            </w:r>
          </w:p>
        </w:tc>
        <w:tc>
          <w:tcPr>
            <w:tcW w:w="2070" w:type="dxa"/>
            <w:shd w:val="clear" w:color="auto" w:fill="auto"/>
            <w:vAlign w:val="center"/>
          </w:tcPr>
          <w:p w14:paraId="32F49D5D">
            <w:pPr>
              <w:overflowPunct w:val="0"/>
              <w:snapToGrid w:val="0"/>
              <w:spacing w:line="300" w:lineRule="exac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各设备存在危险的部位均设置了防护网、罩防护。</w:t>
            </w:r>
          </w:p>
        </w:tc>
        <w:tc>
          <w:tcPr>
            <w:tcW w:w="845" w:type="dxa"/>
            <w:shd w:val="clear" w:color="auto" w:fill="auto"/>
            <w:vAlign w:val="center"/>
          </w:tcPr>
          <w:p w14:paraId="553DD881">
            <w:pPr>
              <w:overflowPunct w:val="0"/>
              <w:snapToGrid w:val="0"/>
              <w:spacing w:line="300" w:lineRule="exac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82A1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68046880">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3540336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建（构）筑物的通风换气条件，应保证作业环境空气中的危险和有害物质浓度不超过国家卫生标准和防爆规定。</w:t>
            </w:r>
          </w:p>
        </w:tc>
        <w:tc>
          <w:tcPr>
            <w:tcW w:w="2140" w:type="dxa"/>
            <w:shd w:val="clear" w:color="auto" w:fill="auto"/>
            <w:vAlign w:val="center"/>
          </w:tcPr>
          <w:p w14:paraId="5E2A0C40">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《生产过程安全卫生要求总则》 </w:t>
            </w:r>
          </w:p>
          <w:p w14:paraId="792CFA62">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(GB/T 12801-2008)</w:t>
            </w:r>
          </w:p>
          <w:p w14:paraId="7376D887">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5.4.2</w:t>
            </w:r>
          </w:p>
        </w:tc>
        <w:tc>
          <w:tcPr>
            <w:tcW w:w="2070" w:type="dxa"/>
            <w:shd w:val="clear" w:color="auto" w:fill="auto"/>
            <w:vAlign w:val="center"/>
          </w:tcPr>
          <w:p w14:paraId="45A556C6">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厂房和仓库通风条件较好。</w:t>
            </w:r>
          </w:p>
        </w:tc>
        <w:tc>
          <w:tcPr>
            <w:tcW w:w="845" w:type="dxa"/>
            <w:shd w:val="clear" w:color="auto" w:fill="auto"/>
            <w:vAlign w:val="center"/>
          </w:tcPr>
          <w:p w14:paraId="15371A7C">
            <w:pPr>
              <w:pStyle w:val="69"/>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snapToGrid w:val="0"/>
                <w:sz w:val="21"/>
                <w:szCs w:val="21"/>
                <w:lang w:val="en-US" w:eastAsia="zh-CN"/>
              </w:rPr>
              <w:t>符合</w:t>
            </w:r>
          </w:p>
        </w:tc>
      </w:tr>
      <w:tr w14:paraId="71835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18A44402">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1DAA8518">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危险性作业场所，应设置安全通道；应设应急照明、安全标志和疏散指示标志；门窗应向外开启；通道和出口应保持畅通；出入口的设置应符合有关规定。</w:t>
            </w:r>
          </w:p>
        </w:tc>
        <w:tc>
          <w:tcPr>
            <w:tcW w:w="2140" w:type="dxa"/>
            <w:shd w:val="clear" w:color="auto" w:fill="auto"/>
            <w:vAlign w:val="center"/>
          </w:tcPr>
          <w:p w14:paraId="13F59122">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《生产过程安全卫生要求总则》 </w:t>
            </w:r>
          </w:p>
          <w:p w14:paraId="2A7D6216">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(GB/T 12801-2008)</w:t>
            </w:r>
          </w:p>
          <w:p w14:paraId="78ECF40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5.4.6</w:t>
            </w:r>
          </w:p>
        </w:tc>
        <w:tc>
          <w:tcPr>
            <w:tcW w:w="2070" w:type="dxa"/>
            <w:shd w:val="clear" w:color="auto" w:fill="auto"/>
            <w:vAlign w:val="center"/>
          </w:tcPr>
          <w:p w14:paraId="7F48A850">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生产车间设置安全出口，车间内设 置的安全通道，满足要求。</w:t>
            </w:r>
          </w:p>
        </w:tc>
        <w:tc>
          <w:tcPr>
            <w:tcW w:w="845" w:type="dxa"/>
            <w:shd w:val="clear" w:color="auto" w:fill="auto"/>
            <w:vAlign w:val="center"/>
          </w:tcPr>
          <w:p w14:paraId="579B92D7">
            <w:pPr>
              <w:pStyle w:val="69"/>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snapToGrid w:val="0"/>
                <w:sz w:val="21"/>
                <w:szCs w:val="21"/>
                <w:lang w:val="en-US" w:eastAsia="zh-CN"/>
              </w:rPr>
              <w:t>符合</w:t>
            </w:r>
          </w:p>
        </w:tc>
      </w:tr>
      <w:tr w14:paraId="1B665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6DE26DC0">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lang w:val="en-US" w:eastAsia="zh-CN" w:bidi="ar-SA"/>
                <w14:textFill>
                  <w14:solidFill>
                    <w14:schemeClr w14:val="tx1"/>
                  </w14:solidFill>
                </w14:textFill>
              </w:rPr>
            </w:pPr>
          </w:p>
        </w:tc>
        <w:tc>
          <w:tcPr>
            <w:tcW w:w="3235" w:type="dxa"/>
            <w:shd w:val="clear" w:color="auto" w:fill="auto"/>
            <w:vAlign w:val="center"/>
          </w:tcPr>
          <w:p w14:paraId="50E534A5">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配置设备、设施、管线、电缆和组织作业区的基本要求：（1）在生产房和作业场地上配置的生产设备、设施、管线、电缆以及堆放的生产物料、产品和剩余物料，不应对人员、生产和运输造成危险和有害影响；（2）各设备之间，管线之间，以及设备、管线与厂房、建（构）筑物的墙壁之间的距离，均应符合有关设计和建筑规范要求；（3）在设备、设施、管线上需要人员操作、检查和维修，并有发生高处坠落危险的部位，应配置扶梯、平台、围栏和系挂装置等附属设施。</w:t>
            </w:r>
          </w:p>
        </w:tc>
        <w:tc>
          <w:tcPr>
            <w:tcW w:w="2140" w:type="dxa"/>
            <w:shd w:val="clear" w:color="auto" w:fill="auto"/>
            <w:vAlign w:val="center"/>
          </w:tcPr>
          <w:p w14:paraId="502B8EE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《生产过程安全卫生要求总则》 </w:t>
            </w:r>
          </w:p>
          <w:p w14:paraId="39D9A38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(GB/T 12801-2008)</w:t>
            </w:r>
          </w:p>
          <w:p w14:paraId="758ABF87">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5.7.1</w:t>
            </w:r>
          </w:p>
        </w:tc>
        <w:tc>
          <w:tcPr>
            <w:tcW w:w="2070" w:type="dxa"/>
            <w:shd w:val="clear" w:color="auto" w:fill="auto"/>
            <w:vAlign w:val="center"/>
          </w:tcPr>
          <w:p w14:paraId="24BCB207">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该项目在生产厂房和作业场地上配置的生产设备、设施、管线符合有关设计和建筑规范要求， 未对人员、生产和运输造成危险和有 害影响。</w:t>
            </w:r>
          </w:p>
        </w:tc>
        <w:tc>
          <w:tcPr>
            <w:tcW w:w="845" w:type="dxa"/>
            <w:shd w:val="clear" w:color="auto" w:fill="auto"/>
            <w:vAlign w:val="center"/>
          </w:tcPr>
          <w:p w14:paraId="3EA4D64C">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FCF3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4282A4C9">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3F3F9C2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机床的工作场地及通道（例如，阶梯、爬梯、平台及走道）应提供扶手、踏板和必要的防滑地面，尽量减小滑倒、绊倒和跌倒的可能性。</w:t>
            </w:r>
          </w:p>
        </w:tc>
        <w:tc>
          <w:tcPr>
            <w:tcW w:w="2140" w:type="dxa"/>
            <w:shd w:val="clear" w:color="auto" w:fill="auto"/>
            <w:vAlign w:val="center"/>
          </w:tcPr>
          <w:p w14:paraId="24F05762">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《机床安全固定式</w:t>
            </w:r>
          </w:p>
          <w:p w14:paraId="5F6FF515">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磨床》</w:t>
            </w:r>
          </w:p>
          <w:p w14:paraId="00EC0916">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（GB/T40330-2021）</w:t>
            </w:r>
          </w:p>
          <w:p w14:paraId="74E04E89">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5.15 条</w:t>
            </w:r>
          </w:p>
        </w:tc>
        <w:tc>
          <w:tcPr>
            <w:tcW w:w="2070" w:type="dxa"/>
            <w:shd w:val="clear" w:color="auto" w:fill="auto"/>
            <w:vAlign w:val="center"/>
          </w:tcPr>
          <w:p w14:paraId="63DC0583">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本项目机床设置周边定期清扫，机床本身自带的平台、通道采用波纹地面防滑。</w:t>
            </w:r>
          </w:p>
        </w:tc>
        <w:tc>
          <w:tcPr>
            <w:tcW w:w="845" w:type="dxa"/>
            <w:vAlign w:val="center"/>
          </w:tcPr>
          <w:p w14:paraId="69EE0554">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0099A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43B512D1">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6F56DF0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装配时的零、部件应清理干净。用于装配的加工件不应磕碰、划伤和锈蚀，加工件的配合面不应有修锉和打磨等痕迹。</w:t>
            </w:r>
          </w:p>
        </w:tc>
        <w:tc>
          <w:tcPr>
            <w:tcW w:w="2140" w:type="dxa"/>
            <w:shd w:val="clear" w:color="auto" w:fill="auto"/>
            <w:vAlign w:val="center"/>
          </w:tcPr>
          <w:p w14:paraId="6A933A50">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《金属切削机床装配通用技术条件》 </w:t>
            </w:r>
          </w:p>
          <w:p w14:paraId="24006A0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（GB/T25373-2010） </w:t>
            </w:r>
          </w:p>
          <w:p w14:paraId="49BBE94F">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3.3 条</w:t>
            </w:r>
          </w:p>
        </w:tc>
        <w:tc>
          <w:tcPr>
            <w:tcW w:w="2070" w:type="dxa"/>
            <w:shd w:val="clear" w:color="auto" w:fill="auto"/>
            <w:vAlign w:val="center"/>
          </w:tcPr>
          <w:p w14:paraId="4893963E">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本项目装配的零、部件在组装前进行了清理。</w:t>
            </w:r>
          </w:p>
        </w:tc>
        <w:tc>
          <w:tcPr>
            <w:tcW w:w="845" w:type="dxa"/>
            <w:shd w:val="clear" w:color="auto" w:fill="auto"/>
            <w:vAlign w:val="center"/>
          </w:tcPr>
          <w:p w14:paraId="2237A6F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214B5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7EAE5D93">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bookmarkStart w:id="700" w:name="_Toc9284"/>
          </w:p>
        </w:tc>
        <w:tc>
          <w:tcPr>
            <w:tcW w:w="3235" w:type="dxa"/>
            <w:shd w:val="clear" w:color="auto" w:fill="auto"/>
            <w:vAlign w:val="center"/>
          </w:tcPr>
          <w:p w14:paraId="74E20120">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机床的移动、转动部件装配后，运动应平稳、灵活、轻便，无阻滞现象。</w:t>
            </w:r>
          </w:p>
        </w:tc>
        <w:tc>
          <w:tcPr>
            <w:tcW w:w="2140" w:type="dxa"/>
            <w:shd w:val="clear" w:color="auto" w:fill="auto"/>
            <w:vAlign w:val="center"/>
          </w:tcPr>
          <w:p w14:paraId="7EB080CF">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《金属切削机床 装 </w:t>
            </w:r>
          </w:p>
          <w:p w14:paraId="07277488">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配通用技术条件》 </w:t>
            </w:r>
          </w:p>
          <w:p w14:paraId="56126027">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（GB/T25373-2010） </w:t>
            </w:r>
          </w:p>
          <w:p w14:paraId="519D3884">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3.6 条</w:t>
            </w:r>
          </w:p>
        </w:tc>
        <w:tc>
          <w:tcPr>
            <w:tcW w:w="2070" w:type="dxa"/>
            <w:shd w:val="clear" w:color="auto" w:fill="auto"/>
            <w:vAlign w:val="center"/>
          </w:tcPr>
          <w:p w14:paraId="691C1122">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现场检查时，未发现有异常。</w:t>
            </w:r>
          </w:p>
        </w:tc>
        <w:tc>
          <w:tcPr>
            <w:tcW w:w="845" w:type="dxa"/>
            <w:shd w:val="clear" w:color="auto" w:fill="auto"/>
            <w:vAlign w:val="center"/>
          </w:tcPr>
          <w:p w14:paraId="3539E5A3">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6428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4FE29779">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1C9D4F3F">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工具的危险运动零、部件的防护装置（如防护罩、盖等）不得任意拆卸。</w:t>
            </w:r>
          </w:p>
        </w:tc>
        <w:tc>
          <w:tcPr>
            <w:tcW w:w="2140" w:type="dxa"/>
            <w:shd w:val="clear" w:color="auto" w:fill="auto"/>
            <w:vAlign w:val="center"/>
          </w:tcPr>
          <w:p w14:paraId="2BB090E4">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《手持式电动工具的 </w:t>
            </w:r>
          </w:p>
          <w:p w14:paraId="43ED77C9">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管理、使用、检查和 </w:t>
            </w:r>
          </w:p>
          <w:p w14:paraId="6243A396">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维修安全技术规程》 </w:t>
            </w:r>
          </w:p>
          <w:p w14:paraId="2CB9AEBE">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（GB/T3787-2017） </w:t>
            </w:r>
          </w:p>
          <w:p w14:paraId="22AD5767">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5.1 条</w:t>
            </w:r>
          </w:p>
        </w:tc>
        <w:tc>
          <w:tcPr>
            <w:tcW w:w="2070" w:type="dxa"/>
            <w:shd w:val="clear" w:color="auto" w:fill="auto"/>
            <w:vAlign w:val="center"/>
          </w:tcPr>
          <w:p w14:paraId="3077ED0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现场检查时，装配使用的手持电动工具防护装置完 </w:t>
            </w:r>
          </w:p>
          <w:p w14:paraId="5C19018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好。</w:t>
            </w:r>
          </w:p>
        </w:tc>
        <w:tc>
          <w:tcPr>
            <w:tcW w:w="845" w:type="dxa"/>
            <w:shd w:val="clear" w:color="auto" w:fill="auto"/>
            <w:vAlign w:val="center"/>
          </w:tcPr>
          <w:p w14:paraId="17CF48E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D94A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01A1BCFD">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169DFFE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工具的插头、插座应按规定正确接线，插头、插座中的保护接地极在任何情况下只能单独连接保护接地（PE）。严禁插头、插座内用导线直接将保护接地极与工作中性线连接起来。</w:t>
            </w:r>
          </w:p>
        </w:tc>
        <w:tc>
          <w:tcPr>
            <w:tcW w:w="2140" w:type="dxa"/>
            <w:shd w:val="clear" w:color="auto" w:fill="auto"/>
            <w:vAlign w:val="center"/>
          </w:tcPr>
          <w:p w14:paraId="36349C2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《手持式电动工具的管理、使用、检查和维修安全技术规程》 </w:t>
            </w:r>
          </w:p>
          <w:p w14:paraId="6A2A3AA1">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（GB/T3787-2017） </w:t>
            </w:r>
          </w:p>
          <w:p w14:paraId="068B8FF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5.4 条</w:t>
            </w:r>
          </w:p>
        </w:tc>
        <w:tc>
          <w:tcPr>
            <w:tcW w:w="2070" w:type="dxa"/>
            <w:shd w:val="clear" w:color="auto" w:fill="auto"/>
            <w:vAlign w:val="center"/>
          </w:tcPr>
          <w:p w14:paraId="7A62748C">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现场检查时，未发现有前述不符合内容。</w:t>
            </w:r>
          </w:p>
        </w:tc>
        <w:tc>
          <w:tcPr>
            <w:tcW w:w="845" w:type="dxa"/>
            <w:shd w:val="clear" w:color="auto" w:fill="auto"/>
            <w:vAlign w:val="center"/>
          </w:tcPr>
          <w:p w14:paraId="1970E08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62C49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0EDB3F1C">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56A45FA9">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工具如有绝缘损坏，电源线保护套破裂、保护接地线（PE）脱落、插头插座裂开或有损于安全的机械损伤等故障时，应立即进行修理。在未修复前，不得继续使用。</w:t>
            </w:r>
          </w:p>
        </w:tc>
        <w:tc>
          <w:tcPr>
            <w:tcW w:w="2140" w:type="dxa"/>
            <w:shd w:val="clear" w:color="auto" w:fill="auto"/>
            <w:vAlign w:val="center"/>
          </w:tcPr>
          <w:p w14:paraId="147C8684">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《手持式电动工具的管理、使用、检查和维修安全技术规程》 </w:t>
            </w:r>
          </w:p>
          <w:p w14:paraId="0F755EE5">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（GB/T3787-2017） </w:t>
            </w:r>
          </w:p>
          <w:p w14:paraId="7F72FA27">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6.5 条</w:t>
            </w:r>
          </w:p>
        </w:tc>
        <w:tc>
          <w:tcPr>
            <w:tcW w:w="2070" w:type="dxa"/>
            <w:shd w:val="clear" w:color="auto" w:fill="auto"/>
            <w:vAlign w:val="center"/>
          </w:tcPr>
          <w:p w14:paraId="2BCAD16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现场检查时，在用的手持式电动工具均正常，未发现有损坏现象。</w:t>
            </w:r>
          </w:p>
        </w:tc>
        <w:tc>
          <w:tcPr>
            <w:tcW w:w="845" w:type="dxa"/>
            <w:shd w:val="clear" w:color="auto" w:fill="auto"/>
            <w:vAlign w:val="center"/>
          </w:tcPr>
          <w:p w14:paraId="16967BD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6231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167F6ADA">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442A2738">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一、二类电动工具应配置剩余电流动作保护装置。</w:t>
            </w:r>
          </w:p>
        </w:tc>
        <w:tc>
          <w:tcPr>
            <w:tcW w:w="2140" w:type="dxa"/>
            <w:shd w:val="clear" w:color="auto" w:fill="auto"/>
            <w:vAlign w:val="center"/>
          </w:tcPr>
          <w:p w14:paraId="35F53B3A">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《机械制造企业安全 </w:t>
            </w:r>
          </w:p>
          <w:p w14:paraId="51384C58">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生产标准化规范》 </w:t>
            </w:r>
          </w:p>
          <w:p w14:paraId="63A53C6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（AQ/T7009-2013） </w:t>
            </w:r>
          </w:p>
          <w:p w14:paraId="42F4850F">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4.2.9.7 条</w:t>
            </w:r>
          </w:p>
        </w:tc>
        <w:tc>
          <w:tcPr>
            <w:tcW w:w="2070" w:type="dxa"/>
            <w:shd w:val="clear" w:color="auto" w:fill="auto"/>
            <w:vAlign w:val="center"/>
          </w:tcPr>
          <w:p w14:paraId="084696A2">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本项目使用的手持电动工具，车间内均采用了带有漏电保护功能的开关备。</w:t>
            </w:r>
          </w:p>
        </w:tc>
        <w:tc>
          <w:tcPr>
            <w:tcW w:w="845" w:type="dxa"/>
            <w:shd w:val="clear" w:color="auto" w:fill="auto"/>
            <w:vAlign w:val="center"/>
          </w:tcPr>
          <w:p w14:paraId="1580F165">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F054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55B5610A">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13D8FBE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运转小车应定位准确、夹持牢固；料架（箱、斗）应结构合理、牢固，放置应平稳。</w:t>
            </w:r>
          </w:p>
        </w:tc>
        <w:tc>
          <w:tcPr>
            <w:tcW w:w="2140" w:type="dxa"/>
            <w:shd w:val="clear" w:color="auto" w:fill="auto"/>
            <w:vAlign w:val="center"/>
          </w:tcPr>
          <w:p w14:paraId="56144720">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《机械制造企业安全 </w:t>
            </w:r>
          </w:p>
          <w:p w14:paraId="7AB27132">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生产标准化规范》 </w:t>
            </w:r>
          </w:p>
          <w:p w14:paraId="2DBC889C">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（AQ/T7009-2013） </w:t>
            </w:r>
          </w:p>
          <w:p w14:paraId="3D87D635">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4.2.9.8 条</w:t>
            </w:r>
          </w:p>
        </w:tc>
        <w:tc>
          <w:tcPr>
            <w:tcW w:w="2070" w:type="dxa"/>
            <w:shd w:val="clear" w:color="auto" w:fill="auto"/>
            <w:vAlign w:val="center"/>
          </w:tcPr>
          <w:p w14:paraId="4385E2F6">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生产车间使用的转运物料板车定位准确、夹持牢固；各种配件放置平稳。</w:t>
            </w:r>
          </w:p>
        </w:tc>
        <w:tc>
          <w:tcPr>
            <w:tcW w:w="845" w:type="dxa"/>
            <w:shd w:val="clear" w:color="auto" w:fill="auto"/>
            <w:vAlign w:val="center"/>
          </w:tcPr>
          <w:p w14:paraId="2B83140F">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615E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09C56694">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7459D8A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对不易搬运的物料，应设置或采用便于吊运及搬运的装置或设施。</w:t>
            </w:r>
          </w:p>
        </w:tc>
        <w:tc>
          <w:tcPr>
            <w:tcW w:w="2140" w:type="dxa"/>
            <w:shd w:val="clear" w:color="auto" w:fill="auto"/>
            <w:vAlign w:val="center"/>
          </w:tcPr>
          <w:p w14:paraId="0ABF1970">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《生产过程安全卫生 </w:t>
            </w:r>
          </w:p>
          <w:p w14:paraId="350487CA">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要求总则》 </w:t>
            </w:r>
          </w:p>
          <w:p w14:paraId="00C7E367">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（GB/T 12801-2008） </w:t>
            </w:r>
          </w:p>
          <w:p w14:paraId="49ED27E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5.5.2 条</w:t>
            </w:r>
          </w:p>
        </w:tc>
        <w:tc>
          <w:tcPr>
            <w:tcW w:w="2070" w:type="dxa"/>
            <w:shd w:val="clear" w:color="auto" w:fill="auto"/>
            <w:vAlign w:val="center"/>
          </w:tcPr>
          <w:p w14:paraId="2CEEBB61">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本项目大型配件的搬运均采用起重设备进行搬运。</w:t>
            </w:r>
          </w:p>
        </w:tc>
        <w:tc>
          <w:tcPr>
            <w:tcW w:w="845" w:type="dxa"/>
            <w:shd w:val="clear" w:color="auto" w:fill="auto"/>
            <w:vAlign w:val="center"/>
          </w:tcPr>
          <w:p w14:paraId="7854B29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54E0B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7C19FF4F">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3408AA2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lang w:val="en-US" w:eastAsia="zh-CN" w:bidi="ar"/>
              </w:rPr>
              <w:t>起重机械应装设切断起重机械总电源的电源开关。</w:t>
            </w:r>
          </w:p>
        </w:tc>
        <w:tc>
          <w:tcPr>
            <w:tcW w:w="2140" w:type="dxa"/>
            <w:shd w:val="clear" w:color="auto" w:fill="auto"/>
            <w:vAlign w:val="center"/>
          </w:tcPr>
          <w:p w14:paraId="1DC9BB5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《起重机械安全规程 </w:t>
            </w:r>
          </w:p>
          <w:p w14:paraId="29EEC1E1">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第 1 部分：总则》 </w:t>
            </w:r>
          </w:p>
          <w:p w14:paraId="48E2A7A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（GB/T6067.1-2010）</w:t>
            </w:r>
          </w:p>
          <w:p w14:paraId="4CDA8311">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lang w:val="en-US" w:eastAsia="zh-CN" w:bidi="ar"/>
              </w:rPr>
              <w:t>第 6.2.1 条</w:t>
            </w:r>
          </w:p>
        </w:tc>
        <w:tc>
          <w:tcPr>
            <w:tcW w:w="2070" w:type="dxa"/>
            <w:shd w:val="clear" w:color="auto" w:fill="auto"/>
            <w:vAlign w:val="center"/>
          </w:tcPr>
          <w:p w14:paraId="16AE25C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lang w:val="en-US" w:eastAsia="zh-CN" w:bidi="ar"/>
              </w:rPr>
              <w:t>本项目装设有切断起重机械总电源的电源开关。</w:t>
            </w:r>
          </w:p>
        </w:tc>
        <w:tc>
          <w:tcPr>
            <w:tcW w:w="845" w:type="dxa"/>
            <w:shd w:val="clear" w:color="auto" w:fill="auto"/>
            <w:vAlign w:val="center"/>
          </w:tcPr>
          <w:p w14:paraId="114F55FD">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符合</w:t>
            </w:r>
          </w:p>
        </w:tc>
      </w:tr>
      <w:tr w14:paraId="45FB5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69D851B3">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0CF627A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每台起重机械应备有一个或多个可从操作控制站操作的紧急停止开关,当有紧急情况时，应能够停止所有运动的驱动机构。紧急停止开关动作时不应切断可能造成物品坠落的动力回路(如电磁盘、气动吸持装置)。紧急停止开关应为红色,并且不能自动复位。</w:t>
            </w:r>
          </w:p>
        </w:tc>
        <w:tc>
          <w:tcPr>
            <w:tcW w:w="2140" w:type="dxa"/>
            <w:shd w:val="clear" w:color="auto" w:fill="auto"/>
            <w:vAlign w:val="center"/>
          </w:tcPr>
          <w:p w14:paraId="2403E10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《起重机械安全规程 </w:t>
            </w:r>
          </w:p>
          <w:p w14:paraId="456F64A6">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第 1 部分：总则》 </w:t>
            </w:r>
          </w:p>
          <w:p w14:paraId="01C9572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（GB/T6067.1-2010） </w:t>
            </w:r>
          </w:p>
          <w:p w14:paraId="742DD78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第 6.2.4 条</w:t>
            </w:r>
          </w:p>
        </w:tc>
        <w:tc>
          <w:tcPr>
            <w:tcW w:w="2070" w:type="dxa"/>
            <w:shd w:val="clear" w:color="auto" w:fill="auto"/>
            <w:vAlign w:val="center"/>
          </w:tcPr>
          <w:p w14:paraId="6289EFF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起重机械装配有紧急停止开关。</w:t>
            </w:r>
          </w:p>
          <w:p w14:paraId="03BF7D12">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p>
        </w:tc>
        <w:tc>
          <w:tcPr>
            <w:tcW w:w="845" w:type="dxa"/>
            <w:shd w:val="clear" w:color="auto" w:fill="auto"/>
            <w:vAlign w:val="center"/>
          </w:tcPr>
          <w:p w14:paraId="36671A52">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符合</w:t>
            </w:r>
          </w:p>
        </w:tc>
      </w:tr>
      <w:tr w14:paraId="51CC4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7E9208C1">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5CB706F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控制与操作系统的设计和布置应能避免发生误操作的可能性，保证在正常使用中起重机械能安全可靠地运转。</w:t>
            </w:r>
          </w:p>
        </w:tc>
        <w:tc>
          <w:tcPr>
            <w:tcW w:w="2140" w:type="dxa"/>
            <w:shd w:val="clear" w:color="auto" w:fill="auto"/>
            <w:vAlign w:val="center"/>
          </w:tcPr>
          <w:p w14:paraId="4778756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《起重机械安全规程 </w:t>
            </w:r>
          </w:p>
          <w:p w14:paraId="2AE4507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第 1 部分：总则》 </w:t>
            </w:r>
          </w:p>
          <w:p w14:paraId="35946D5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（GB/T6067.1-2010） </w:t>
            </w:r>
          </w:p>
          <w:p w14:paraId="4ED1061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第 7.2 条</w:t>
            </w:r>
          </w:p>
        </w:tc>
        <w:tc>
          <w:tcPr>
            <w:tcW w:w="2070" w:type="dxa"/>
            <w:shd w:val="clear" w:color="auto" w:fill="auto"/>
            <w:vAlign w:val="center"/>
          </w:tcPr>
          <w:p w14:paraId="48DA0516">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本项目起重机械控制均为地面控制，能保证在正常使用中安全可靠地运转。</w:t>
            </w:r>
          </w:p>
        </w:tc>
        <w:tc>
          <w:tcPr>
            <w:tcW w:w="845" w:type="dxa"/>
            <w:shd w:val="clear" w:color="auto" w:fill="auto"/>
            <w:vAlign w:val="center"/>
          </w:tcPr>
          <w:p w14:paraId="716B81DE">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符合</w:t>
            </w:r>
          </w:p>
        </w:tc>
      </w:tr>
      <w:tr w14:paraId="364B6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14453AC5">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66F924C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起重机械的安全防护装置应符合GB6067.1-2010中第9章的有关规定。</w:t>
            </w:r>
          </w:p>
        </w:tc>
        <w:tc>
          <w:tcPr>
            <w:tcW w:w="2140" w:type="dxa"/>
            <w:shd w:val="clear" w:color="auto" w:fill="auto"/>
            <w:vAlign w:val="center"/>
          </w:tcPr>
          <w:p w14:paraId="31C6513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《起重机械安全规程 </w:t>
            </w:r>
          </w:p>
          <w:p w14:paraId="3A3D5C2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第 5 部分：桥式和门 </w:t>
            </w:r>
          </w:p>
          <w:p w14:paraId="4117B9C4">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式起重机》 </w:t>
            </w:r>
          </w:p>
          <w:p w14:paraId="4BD620C8">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（GB/T6067.5-2014） </w:t>
            </w:r>
          </w:p>
          <w:p w14:paraId="6E33643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第 9.1 条</w:t>
            </w:r>
          </w:p>
        </w:tc>
        <w:tc>
          <w:tcPr>
            <w:tcW w:w="2070" w:type="dxa"/>
            <w:shd w:val="clear" w:color="auto" w:fill="auto"/>
            <w:vAlign w:val="center"/>
          </w:tcPr>
          <w:p w14:paraId="4ECDAAF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本项目起重设备均按要求设置了起重量限制器、起升高度限位器、运行行程限位器、超速保护装置、缓冲器、端部止挡、作业报警装置、防碰撞装置等。</w:t>
            </w:r>
          </w:p>
        </w:tc>
        <w:tc>
          <w:tcPr>
            <w:tcW w:w="845" w:type="dxa"/>
            <w:shd w:val="clear" w:color="auto" w:fill="auto"/>
            <w:vAlign w:val="center"/>
          </w:tcPr>
          <w:p w14:paraId="5E0593BF">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符合</w:t>
            </w:r>
          </w:p>
        </w:tc>
      </w:tr>
      <w:tr w14:paraId="25E70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2828685B">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19EDE00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起重机的安装、改造、维修（以下简称施工）单位必须取得相应的特种设备安装改造维修许可，在许可的范围内进行施工，并且对施工安全和施工质量负责。</w:t>
            </w:r>
          </w:p>
        </w:tc>
        <w:tc>
          <w:tcPr>
            <w:tcW w:w="2140" w:type="dxa"/>
            <w:shd w:val="clear" w:color="auto" w:fill="auto"/>
            <w:vAlign w:val="center"/>
          </w:tcPr>
          <w:p w14:paraId="216A827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《起重机械安全技术监察规程-桥式起重机》（TSGQ0002-2008） </w:t>
            </w:r>
          </w:p>
          <w:p w14:paraId="3024A4A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第 12 条</w:t>
            </w:r>
          </w:p>
        </w:tc>
        <w:tc>
          <w:tcPr>
            <w:tcW w:w="2070" w:type="dxa"/>
            <w:shd w:val="clear" w:color="auto" w:fill="auto"/>
            <w:vAlign w:val="center"/>
          </w:tcPr>
          <w:p w14:paraId="51660F95">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本项目使用的起重机械的安装、维修均由有资质的单位进行施工作业。</w:t>
            </w:r>
          </w:p>
        </w:tc>
        <w:tc>
          <w:tcPr>
            <w:tcW w:w="845" w:type="dxa"/>
            <w:shd w:val="clear" w:color="auto" w:fill="auto"/>
            <w:vAlign w:val="center"/>
          </w:tcPr>
          <w:p w14:paraId="606A21E8">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符合</w:t>
            </w:r>
          </w:p>
        </w:tc>
      </w:tr>
      <w:tr w14:paraId="254FA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4748DBB9">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2AE0CC4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起重机均必须设置起重量限制器，当载荷超过规定的设定值时应当能自动切断起升动力源。</w:t>
            </w:r>
          </w:p>
        </w:tc>
        <w:tc>
          <w:tcPr>
            <w:tcW w:w="2140" w:type="dxa"/>
            <w:shd w:val="clear" w:color="auto" w:fill="auto"/>
            <w:vAlign w:val="center"/>
          </w:tcPr>
          <w:p w14:paraId="369E12B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《起重机械安全技术 </w:t>
            </w:r>
          </w:p>
          <w:p w14:paraId="5CC86F7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监察规程-桥式起重 </w:t>
            </w:r>
          </w:p>
          <w:p w14:paraId="465633C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机》（TSGQ0002-2008） </w:t>
            </w:r>
          </w:p>
          <w:p w14:paraId="69EE6FD4">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第 69 条</w:t>
            </w:r>
          </w:p>
        </w:tc>
        <w:tc>
          <w:tcPr>
            <w:tcW w:w="2070" w:type="dxa"/>
            <w:shd w:val="clear" w:color="auto" w:fill="auto"/>
            <w:vAlign w:val="center"/>
          </w:tcPr>
          <w:p w14:paraId="1883609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本项目起重设备均设置有起重量限制器。</w:t>
            </w:r>
          </w:p>
        </w:tc>
        <w:tc>
          <w:tcPr>
            <w:tcW w:w="845" w:type="dxa"/>
            <w:shd w:val="clear" w:color="auto" w:fill="auto"/>
            <w:vAlign w:val="center"/>
          </w:tcPr>
          <w:p w14:paraId="42148A88">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符合</w:t>
            </w:r>
          </w:p>
        </w:tc>
      </w:tr>
      <w:tr w14:paraId="67305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11A9FBCA">
            <w:pPr>
              <w:numPr>
                <w:ilvl w:val="0"/>
                <w:numId w:val="13"/>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7C3507A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在用起重机械定期检验周期如下: (1)塔式起重机、升降机、流动式起重机，每年1次； </w:t>
            </w:r>
          </w:p>
          <w:p w14:paraId="03D975E1">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(2)桥式起重机、门式起重机、门座式起重机、缆索式起重机、桅杆式起重机、机械式停车设备，每2年1次，其中涉及吊运熔融金属的起重机，每年1次。</w:t>
            </w:r>
          </w:p>
        </w:tc>
        <w:tc>
          <w:tcPr>
            <w:tcW w:w="2140" w:type="dxa"/>
            <w:shd w:val="clear" w:color="auto" w:fill="auto"/>
            <w:vAlign w:val="center"/>
          </w:tcPr>
          <w:p w14:paraId="09E0017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《起重机械定期检验 </w:t>
            </w:r>
          </w:p>
          <w:p w14:paraId="1CB5469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规则》 </w:t>
            </w:r>
          </w:p>
          <w:p w14:paraId="2DD19A0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（TSGQ7015-2016） </w:t>
            </w:r>
          </w:p>
          <w:p w14:paraId="08E31506">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第 4 条</w:t>
            </w:r>
          </w:p>
        </w:tc>
        <w:tc>
          <w:tcPr>
            <w:tcW w:w="2070" w:type="dxa"/>
            <w:shd w:val="clear" w:color="auto" w:fill="auto"/>
            <w:vAlign w:val="center"/>
          </w:tcPr>
          <w:p w14:paraId="53C40D8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本项目内使用的起重机械为桥式起重机，检验周期为每2年1次。</w:t>
            </w:r>
          </w:p>
        </w:tc>
        <w:tc>
          <w:tcPr>
            <w:tcW w:w="845" w:type="dxa"/>
            <w:shd w:val="clear" w:color="auto" w:fill="auto"/>
            <w:vAlign w:val="center"/>
          </w:tcPr>
          <w:p w14:paraId="4642571F">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符合</w:t>
            </w:r>
          </w:p>
        </w:tc>
      </w:tr>
    </w:tbl>
    <w:p w14:paraId="37F82ADB">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701" w:name="_Toc23106"/>
      <w:r>
        <w:rPr>
          <w:rFonts w:hint="eastAsia" w:ascii="宋体" w:hAnsi="宋体" w:eastAsia="宋体" w:cs="宋体"/>
          <w:color w:val="000000" w:themeColor="text1"/>
          <w:lang w:val="en-US" w:eastAsia="zh-CN"/>
          <w14:textFill>
            <w14:solidFill>
              <w14:schemeClr w14:val="tx1"/>
            </w14:solidFill>
          </w14:textFill>
        </w:rPr>
        <w:t>5.2.2作业条件危险性分析</w:t>
      </w:r>
      <w:bookmarkEnd w:id="700"/>
      <w:bookmarkEnd w:id="701"/>
    </w:p>
    <w:p w14:paraId="66BE9BE3">
      <w:pPr>
        <w:adjustRightInd w:val="0"/>
        <w:snapToGrid w:val="0"/>
        <w:spacing w:line="500" w:lineRule="exact"/>
        <w:ind w:firstLine="561"/>
        <w:contextualSpacing/>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该项目主要生产工艺过程为</w:t>
      </w:r>
      <w:r>
        <w:rPr>
          <w:rFonts w:hint="eastAsia" w:ascii="宋体" w:hAnsi="宋体" w:eastAsia="宋体" w:cs="宋体"/>
          <w:color w:val="000000" w:themeColor="text1"/>
          <w:sz w:val="28"/>
          <w:szCs w:val="28"/>
          <w:lang w:val="en-US" w:eastAsia="zh-CN"/>
          <w14:textFill>
            <w14:solidFill>
              <w14:schemeClr w14:val="tx1"/>
            </w14:solidFill>
          </w14:textFill>
        </w:rPr>
        <w:t>数控机床的加工、组装</w:t>
      </w:r>
      <w:r>
        <w:rPr>
          <w:rFonts w:hint="eastAsia" w:ascii="宋体" w:hAnsi="宋体" w:eastAsia="宋体" w:cs="宋体"/>
          <w:color w:val="000000" w:themeColor="text1"/>
          <w:sz w:val="28"/>
          <w:szCs w:val="28"/>
          <w14:textFill>
            <w14:solidFill>
              <w14:schemeClr w14:val="tx1"/>
            </w14:solidFill>
          </w14:textFill>
        </w:rPr>
        <w:t>，由于生产中供配电单元、给排水单元也具有一定的危险性，因此也单独纳入此次工艺作业条件危险性分析。根据各生产工艺在生产过程中的操作条件及作业人员进入危险环境的频次，下面分别对各生产工艺涉及的各参数进行取值计算。</w:t>
      </w:r>
    </w:p>
    <w:p w14:paraId="6E0AEF95">
      <w:pPr>
        <w:adjustRightInd w:val="0"/>
        <w:snapToGrid w:val="0"/>
        <w:spacing w:line="500" w:lineRule="exact"/>
        <w:ind w:firstLine="561"/>
        <w:contextualSpacing/>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以供配电单元为例，通过对其操作条件及危险性分析，可知此工艺生产过程中有危险事件发生可能性L，由于是可以设想，因此L值取0.5，又因操作人员逐日暴露在危险环境中，因此E值取6，根据该作业环境中产生的危害对人体的可能伤害程度，危险严重度C值取3。按照以上取值计算：</w:t>
      </w:r>
    </w:p>
    <w:p w14:paraId="131CC866">
      <w:pPr>
        <w:adjustRightInd w:val="0"/>
        <w:snapToGrid w:val="0"/>
        <w:spacing w:line="500" w:lineRule="exact"/>
        <w:ind w:firstLine="561"/>
        <w:contextualSpacing/>
        <w:jc w:val="center"/>
        <w:rPr>
          <w:rFonts w:hint="eastAsia" w:ascii="宋体" w:hAnsi="宋体" w:eastAsia="宋体" w:cs="宋体"/>
          <w:color w:val="000000" w:themeColor="text1"/>
          <w:kern w:val="0"/>
          <w:sz w:val="28"/>
          <w:szCs w:val="28"/>
          <w14:textFill>
            <w14:solidFill>
              <w14:schemeClr w14:val="tx1"/>
            </w14:solidFill>
          </w14:textFill>
        </w:rPr>
      </w:pPr>
    </w:p>
    <w:p w14:paraId="6AB7DE38">
      <w:pPr>
        <w:adjustRightInd w:val="0"/>
        <w:snapToGrid w:val="0"/>
        <w:spacing w:line="500" w:lineRule="exact"/>
        <w:ind w:firstLine="561"/>
        <w:contextualSpacing/>
        <w:jc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危险性（D）= L×E×C</w:t>
      </w:r>
    </w:p>
    <w:p w14:paraId="7B076254">
      <w:pPr>
        <w:adjustRightInd w:val="0"/>
        <w:snapToGrid w:val="0"/>
        <w:spacing w:line="500" w:lineRule="exact"/>
        <w:ind w:firstLine="561"/>
        <w:contextualSpacing/>
        <w:jc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 xml:space="preserve">           =0.5×6×3</w:t>
      </w:r>
    </w:p>
    <w:p w14:paraId="5C0A699D">
      <w:pPr>
        <w:adjustRightInd w:val="0"/>
        <w:snapToGrid w:val="0"/>
        <w:spacing w:line="500" w:lineRule="exact"/>
        <w:ind w:firstLine="561"/>
        <w:contextualSpacing/>
        <w:jc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 xml:space="preserve">      =9</w:t>
      </w:r>
    </w:p>
    <w:p w14:paraId="6497F918">
      <w:pPr>
        <w:keepNext w:val="0"/>
        <w:keepLines w:val="0"/>
        <w:pageBreakBefore w:val="0"/>
        <w:widowControl w:val="0"/>
        <w:kinsoku/>
        <w:wordWrap/>
        <w:overflowPunct/>
        <w:topLinePunct w:val="0"/>
        <w:autoSpaceDE/>
        <w:autoSpaceDN/>
        <w:bidi w:val="0"/>
        <w:adjustRightInd/>
        <w:snapToGrid/>
        <w:spacing w:line="500" w:lineRule="exact"/>
        <w:ind w:firstLine="560" w:firstLineChars="200"/>
        <w:contextualSpacing/>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根据本项目生产过程中的操作条件及作业人员进入危险环境的频次，下面分别对其他各单元涉及的各参数进行取值及计算</w:t>
      </w:r>
      <w:r>
        <w:rPr>
          <w:rFonts w:hint="eastAsia" w:ascii="宋体" w:hAnsi="宋体" w:eastAsia="宋体" w:cs="宋体"/>
          <w:color w:val="000000" w:themeColor="text1"/>
          <w:kern w:val="0"/>
          <w:sz w:val="28"/>
          <w:szCs w:val="28"/>
          <w:lang w:eastAsia="zh-CN"/>
          <w14:textFill>
            <w14:solidFill>
              <w14:schemeClr w14:val="tx1"/>
            </w14:solidFill>
          </w14:textFill>
        </w:rPr>
        <w:t>，</w:t>
      </w:r>
      <w:r>
        <w:rPr>
          <w:rFonts w:hint="eastAsia" w:ascii="宋体" w:hAnsi="宋体" w:eastAsia="宋体" w:cs="宋体"/>
          <w:color w:val="000000" w:themeColor="text1"/>
          <w:kern w:val="0"/>
          <w:sz w:val="28"/>
          <w:szCs w:val="28"/>
          <w14:textFill>
            <w14:solidFill>
              <w14:schemeClr w14:val="tx1"/>
            </w14:solidFill>
          </w14:textFill>
        </w:rPr>
        <w:t>结果列入表5-</w:t>
      </w:r>
      <w:r>
        <w:rPr>
          <w:rFonts w:hint="eastAsia" w:ascii="宋体" w:hAnsi="宋体" w:eastAsia="宋体" w:cs="宋体"/>
          <w:color w:val="000000" w:themeColor="text1"/>
          <w:kern w:val="0"/>
          <w:sz w:val="28"/>
          <w:szCs w:val="28"/>
          <w:lang w:val="en-US" w:eastAsia="zh-CN"/>
          <w14:textFill>
            <w14:solidFill>
              <w14:schemeClr w14:val="tx1"/>
            </w14:solidFill>
          </w14:textFill>
        </w:rPr>
        <w:t>3</w:t>
      </w:r>
      <w:r>
        <w:rPr>
          <w:rFonts w:hint="eastAsia" w:ascii="宋体" w:hAnsi="宋体" w:eastAsia="宋体" w:cs="宋体"/>
          <w:color w:val="000000" w:themeColor="text1"/>
          <w:kern w:val="0"/>
          <w:sz w:val="28"/>
          <w:szCs w:val="28"/>
          <w14:textFill>
            <w14:solidFill>
              <w14:schemeClr w14:val="tx1"/>
            </w14:solidFill>
          </w14:textFill>
        </w:rPr>
        <w:t>：</w:t>
      </w:r>
    </w:p>
    <w:p w14:paraId="17EE4126">
      <w:pPr>
        <w:adjustRightInd w:val="0"/>
        <w:snapToGrid w:val="0"/>
        <w:spacing w:line="500" w:lineRule="exact"/>
        <w:contextualSpacing/>
        <w:jc w:val="center"/>
        <w:rPr>
          <w:rFonts w:hint="eastAsia" w:ascii="宋体" w:hAnsi="宋体" w:eastAsia="宋体" w:cs="宋体"/>
          <w:bCs/>
          <w:color w:val="000000" w:themeColor="text1"/>
          <w:sz w:val="24"/>
          <w14:textFill>
            <w14:solidFill>
              <w14:schemeClr w14:val="tx1"/>
            </w14:solidFill>
          </w14:textFill>
        </w:rPr>
      </w:pPr>
      <w:r>
        <w:rPr>
          <w:rFonts w:hint="eastAsia" w:ascii="宋体" w:hAnsi="宋体" w:eastAsia="宋体" w:cs="宋体"/>
          <w:bCs/>
          <w:color w:val="000000" w:themeColor="text1"/>
          <w:sz w:val="24"/>
          <w14:textFill>
            <w14:solidFill>
              <w14:schemeClr w14:val="tx1"/>
            </w14:solidFill>
          </w14:textFill>
        </w:rPr>
        <w:t>表5-</w:t>
      </w:r>
      <w:r>
        <w:rPr>
          <w:rFonts w:hint="eastAsia" w:ascii="宋体" w:hAnsi="宋体" w:eastAsia="宋体" w:cs="宋体"/>
          <w:bCs/>
          <w:color w:val="000000" w:themeColor="text1"/>
          <w:sz w:val="24"/>
          <w:lang w:val="en-US" w:eastAsia="zh-CN"/>
          <w14:textFill>
            <w14:solidFill>
              <w14:schemeClr w14:val="tx1"/>
            </w14:solidFill>
          </w14:textFill>
        </w:rPr>
        <w:t>3</w:t>
      </w:r>
      <w:r>
        <w:rPr>
          <w:rFonts w:hint="eastAsia" w:ascii="宋体" w:hAnsi="宋体" w:eastAsia="宋体" w:cs="宋体"/>
          <w:bCs/>
          <w:color w:val="000000" w:themeColor="text1"/>
          <w:sz w:val="24"/>
          <w14:textFill>
            <w14:solidFill>
              <w14:schemeClr w14:val="tx1"/>
            </w14:solidFill>
          </w14:textFill>
        </w:rPr>
        <w:t xml:space="preserve"> 评价结果表</w:t>
      </w:r>
    </w:p>
    <w:tbl>
      <w:tblPr>
        <w:tblStyle w:val="5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7"/>
        <w:gridCol w:w="1634"/>
        <w:gridCol w:w="1030"/>
        <w:gridCol w:w="1125"/>
        <w:gridCol w:w="1233"/>
        <w:gridCol w:w="1108"/>
        <w:gridCol w:w="1743"/>
      </w:tblGrid>
      <w:tr w14:paraId="2ABF0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2481" w:type="dxa"/>
            <w:gridSpan w:val="2"/>
            <w:vAlign w:val="center"/>
          </w:tcPr>
          <w:p w14:paraId="3605EC99">
            <w:pPr>
              <w:pStyle w:val="22"/>
              <w:spacing w:line="3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工序项目</w:t>
            </w:r>
          </w:p>
        </w:tc>
        <w:tc>
          <w:tcPr>
            <w:tcW w:w="1030" w:type="dxa"/>
            <w:vAlign w:val="center"/>
          </w:tcPr>
          <w:p w14:paraId="660BDA4D">
            <w:pPr>
              <w:pStyle w:val="22"/>
              <w:spacing w:line="3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L</w:t>
            </w:r>
          </w:p>
        </w:tc>
        <w:tc>
          <w:tcPr>
            <w:tcW w:w="1125" w:type="dxa"/>
            <w:vAlign w:val="center"/>
          </w:tcPr>
          <w:p w14:paraId="7DCBBB7D">
            <w:pPr>
              <w:pStyle w:val="22"/>
              <w:spacing w:line="3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E</w:t>
            </w:r>
          </w:p>
        </w:tc>
        <w:tc>
          <w:tcPr>
            <w:tcW w:w="1233" w:type="dxa"/>
            <w:vAlign w:val="center"/>
          </w:tcPr>
          <w:p w14:paraId="4C0E6585">
            <w:pPr>
              <w:pStyle w:val="22"/>
              <w:spacing w:line="3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C</w:t>
            </w:r>
          </w:p>
        </w:tc>
        <w:tc>
          <w:tcPr>
            <w:tcW w:w="1108" w:type="dxa"/>
            <w:vAlign w:val="center"/>
          </w:tcPr>
          <w:p w14:paraId="0E3D744B">
            <w:pPr>
              <w:pStyle w:val="22"/>
              <w:spacing w:line="3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D</w:t>
            </w:r>
          </w:p>
        </w:tc>
        <w:tc>
          <w:tcPr>
            <w:tcW w:w="1743" w:type="dxa"/>
            <w:vAlign w:val="center"/>
          </w:tcPr>
          <w:p w14:paraId="03B7B999">
            <w:pPr>
              <w:pStyle w:val="22"/>
              <w:spacing w:line="3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危险程度分级</w:t>
            </w:r>
          </w:p>
        </w:tc>
      </w:tr>
      <w:tr w14:paraId="21E20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7" w:type="dxa"/>
            <w:vMerge w:val="restart"/>
            <w:vAlign w:val="center"/>
          </w:tcPr>
          <w:p w14:paraId="426883FD">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数控机床加工、组装</w:t>
            </w:r>
            <w:r>
              <w:rPr>
                <w:rFonts w:hint="eastAsia" w:ascii="宋体" w:hAnsi="宋体" w:eastAsia="宋体" w:cs="宋体"/>
                <w:color w:val="000000" w:themeColor="text1"/>
                <w:sz w:val="21"/>
                <w:szCs w:val="21"/>
                <w14:textFill>
                  <w14:solidFill>
                    <w14:schemeClr w14:val="tx1"/>
                  </w14:solidFill>
                </w14:textFill>
              </w:rPr>
              <w:t>工序</w:t>
            </w:r>
          </w:p>
        </w:tc>
        <w:tc>
          <w:tcPr>
            <w:tcW w:w="1634" w:type="dxa"/>
            <w:vAlign w:val="center"/>
          </w:tcPr>
          <w:p w14:paraId="167712A6">
            <w:pPr>
              <w:pStyle w:val="22"/>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加工</w:t>
            </w:r>
          </w:p>
        </w:tc>
        <w:tc>
          <w:tcPr>
            <w:tcW w:w="1030" w:type="dxa"/>
            <w:vAlign w:val="center"/>
          </w:tcPr>
          <w:p w14:paraId="0925A288">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125" w:type="dxa"/>
            <w:vAlign w:val="center"/>
          </w:tcPr>
          <w:p w14:paraId="581A655E">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1233" w:type="dxa"/>
            <w:vAlign w:val="center"/>
          </w:tcPr>
          <w:p w14:paraId="1E6B3F3E">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108" w:type="dxa"/>
            <w:vAlign w:val="center"/>
          </w:tcPr>
          <w:p w14:paraId="728652FA">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54</w:t>
            </w:r>
          </w:p>
        </w:tc>
        <w:tc>
          <w:tcPr>
            <w:tcW w:w="1743" w:type="dxa"/>
            <w:vAlign w:val="center"/>
          </w:tcPr>
          <w:p w14:paraId="518F9359">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一般</w:t>
            </w:r>
            <w:r>
              <w:rPr>
                <w:rFonts w:hint="eastAsia" w:ascii="宋体" w:hAnsi="宋体" w:eastAsia="宋体" w:cs="宋体"/>
                <w:color w:val="000000" w:themeColor="text1"/>
                <w:sz w:val="21"/>
                <w:szCs w:val="21"/>
                <w14:textFill>
                  <w14:solidFill>
                    <w14:schemeClr w14:val="tx1"/>
                  </w14:solidFill>
                </w14:textFill>
              </w:rPr>
              <w:t>危险</w:t>
            </w:r>
          </w:p>
        </w:tc>
      </w:tr>
      <w:tr w14:paraId="1C05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7" w:type="dxa"/>
            <w:vMerge w:val="continue"/>
            <w:vAlign w:val="center"/>
          </w:tcPr>
          <w:p w14:paraId="57BD4B4D">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1634" w:type="dxa"/>
            <w:vAlign w:val="center"/>
          </w:tcPr>
          <w:p w14:paraId="53805DEF">
            <w:pPr>
              <w:pStyle w:val="22"/>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组装</w:t>
            </w:r>
          </w:p>
        </w:tc>
        <w:tc>
          <w:tcPr>
            <w:tcW w:w="1030" w:type="dxa"/>
            <w:vAlign w:val="center"/>
          </w:tcPr>
          <w:p w14:paraId="5080C8BE">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125" w:type="dxa"/>
            <w:vAlign w:val="center"/>
          </w:tcPr>
          <w:p w14:paraId="166769F0">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1233" w:type="dxa"/>
            <w:vAlign w:val="center"/>
          </w:tcPr>
          <w:p w14:paraId="68AFF6F7">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108" w:type="dxa"/>
            <w:vAlign w:val="center"/>
          </w:tcPr>
          <w:p w14:paraId="73D46289">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54</w:t>
            </w:r>
          </w:p>
        </w:tc>
        <w:tc>
          <w:tcPr>
            <w:tcW w:w="1743" w:type="dxa"/>
            <w:vAlign w:val="center"/>
          </w:tcPr>
          <w:p w14:paraId="6AB59D18">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一般</w:t>
            </w:r>
            <w:r>
              <w:rPr>
                <w:rFonts w:hint="eastAsia" w:ascii="宋体" w:hAnsi="宋体" w:eastAsia="宋体" w:cs="宋体"/>
                <w:color w:val="000000" w:themeColor="text1"/>
                <w:sz w:val="21"/>
                <w:szCs w:val="21"/>
                <w14:textFill>
                  <w14:solidFill>
                    <w14:schemeClr w14:val="tx1"/>
                  </w14:solidFill>
                </w14:textFill>
              </w:rPr>
              <w:t>危险</w:t>
            </w:r>
          </w:p>
        </w:tc>
      </w:tr>
      <w:tr w14:paraId="4357E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7" w:type="dxa"/>
            <w:vMerge w:val="continue"/>
            <w:vAlign w:val="center"/>
          </w:tcPr>
          <w:p w14:paraId="3AEC8FDC">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1634" w:type="dxa"/>
            <w:vAlign w:val="center"/>
          </w:tcPr>
          <w:p w14:paraId="68B00569">
            <w:pPr>
              <w:pStyle w:val="22"/>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包装发货</w:t>
            </w:r>
          </w:p>
        </w:tc>
        <w:tc>
          <w:tcPr>
            <w:tcW w:w="1030" w:type="dxa"/>
            <w:vAlign w:val="center"/>
          </w:tcPr>
          <w:p w14:paraId="0BB3F543">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1125" w:type="dxa"/>
            <w:vAlign w:val="center"/>
          </w:tcPr>
          <w:p w14:paraId="154F58A1">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1233" w:type="dxa"/>
            <w:vAlign w:val="center"/>
          </w:tcPr>
          <w:p w14:paraId="51B8A9B5">
            <w:pPr>
              <w:pStyle w:val="22"/>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w:t>
            </w:r>
          </w:p>
        </w:tc>
        <w:tc>
          <w:tcPr>
            <w:tcW w:w="1108" w:type="dxa"/>
            <w:vAlign w:val="center"/>
          </w:tcPr>
          <w:p w14:paraId="1878769A">
            <w:pPr>
              <w:pStyle w:val="22"/>
              <w:spacing w:line="3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18</w:t>
            </w:r>
          </w:p>
        </w:tc>
        <w:tc>
          <w:tcPr>
            <w:tcW w:w="1743" w:type="dxa"/>
            <w:vAlign w:val="center"/>
          </w:tcPr>
          <w:p w14:paraId="5B49C907">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稍有</w:t>
            </w:r>
            <w:r>
              <w:rPr>
                <w:rFonts w:hint="eastAsia" w:ascii="宋体" w:hAnsi="宋体" w:eastAsia="宋体" w:cs="宋体"/>
                <w:color w:val="000000" w:themeColor="text1"/>
                <w:sz w:val="21"/>
                <w:szCs w:val="21"/>
                <w14:textFill>
                  <w14:solidFill>
                    <w14:schemeClr w14:val="tx1"/>
                  </w14:solidFill>
                </w14:textFill>
              </w:rPr>
              <w:t>危险</w:t>
            </w:r>
          </w:p>
        </w:tc>
      </w:tr>
      <w:tr w14:paraId="3CCBD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81" w:type="dxa"/>
            <w:gridSpan w:val="2"/>
            <w:vAlign w:val="center"/>
          </w:tcPr>
          <w:p w14:paraId="4565C638">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供配电系统</w:t>
            </w:r>
          </w:p>
        </w:tc>
        <w:tc>
          <w:tcPr>
            <w:tcW w:w="1030" w:type="dxa"/>
            <w:vAlign w:val="center"/>
          </w:tcPr>
          <w:p w14:paraId="31E86D6C">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1125" w:type="dxa"/>
            <w:vAlign w:val="center"/>
          </w:tcPr>
          <w:p w14:paraId="7BFA7A46">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1233" w:type="dxa"/>
            <w:vAlign w:val="center"/>
          </w:tcPr>
          <w:p w14:paraId="594A7F05">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w:t>
            </w:r>
          </w:p>
        </w:tc>
        <w:tc>
          <w:tcPr>
            <w:tcW w:w="1108" w:type="dxa"/>
            <w:vAlign w:val="center"/>
          </w:tcPr>
          <w:p w14:paraId="3DD986D8">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42</w:t>
            </w:r>
          </w:p>
        </w:tc>
        <w:tc>
          <w:tcPr>
            <w:tcW w:w="1743" w:type="dxa"/>
            <w:vAlign w:val="center"/>
          </w:tcPr>
          <w:p w14:paraId="2509BCCC">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可能危险</w:t>
            </w:r>
          </w:p>
        </w:tc>
      </w:tr>
      <w:tr w14:paraId="1AA86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81" w:type="dxa"/>
            <w:gridSpan w:val="2"/>
            <w:vAlign w:val="center"/>
          </w:tcPr>
          <w:p w14:paraId="79B7B2F5">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给排水系统</w:t>
            </w:r>
          </w:p>
        </w:tc>
        <w:tc>
          <w:tcPr>
            <w:tcW w:w="1030" w:type="dxa"/>
            <w:vAlign w:val="center"/>
          </w:tcPr>
          <w:p w14:paraId="7240C155">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1125" w:type="dxa"/>
            <w:vAlign w:val="center"/>
          </w:tcPr>
          <w:p w14:paraId="386F127A">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1233" w:type="dxa"/>
            <w:vAlign w:val="center"/>
          </w:tcPr>
          <w:p w14:paraId="48A5CBBA">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108" w:type="dxa"/>
            <w:vAlign w:val="center"/>
          </w:tcPr>
          <w:p w14:paraId="0F3FDABB">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18</w:t>
            </w:r>
          </w:p>
        </w:tc>
        <w:tc>
          <w:tcPr>
            <w:tcW w:w="1743" w:type="dxa"/>
            <w:vAlign w:val="center"/>
          </w:tcPr>
          <w:p w14:paraId="13028C13">
            <w:pPr>
              <w:pStyle w:val="22"/>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稍有危险</w:t>
            </w:r>
          </w:p>
        </w:tc>
      </w:tr>
    </w:tbl>
    <w:p w14:paraId="6911A00E">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从上表中可以看出：该项目各工序风险控制措施有效，</w:t>
      </w:r>
      <w:r>
        <w:rPr>
          <w:rFonts w:hint="eastAsia" w:ascii="宋体" w:hAnsi="宋体" w:eastAsia="宋体" w:cs="宋体"/>
          <w:color w:val="000000" w:themeColor="text1"/>
          <w:sz w:val="28"/>
          <w:szCs w:val="28"/>
          <w:lang w:val="en-US" w:eastAsia="zh-CN"/>
          <w14:textFill>
            <w14:solidFill>
              <w14:schemeClr w14:val="tx1"/>
            </w14:solidFill>
          </w14:textFill>
        </w:rPr>
        <w:t>包装发货</w:t>
      </w:r>
      <w:r>
        <w:rPr>
          <w:rFonts w:hint="eastAsia" w:ascii="宋体" w:hAnsi="宋体" w:eastAsia="宋体" w:cs="宋体"/>
          <w:color w:val="000000" w:themeColor="text1"/>
          <w:sz w:val="28"/>
          <w:szCs w:val="28"/>
          <w14:textFill>
            <w14:solidFill>
              <w14:schemeClr w14:val="tx1"/>
            </w14:solidFill>
          </w14:textFill>
        </w:rPr>
        <w:t>、给排水系统为稍有危险单元</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加工、组装、</w:t>
      </w:r>
      <w:r>
        <w:rPr>
          <w:rFonts w:hint="eastAsia" w:ascii="宋体" w:hAnsi="宋体" w:eastAsia="宋体" w:cs="宋体"/>
          <w:color w:val="000000" w:themeColor="text1"/>
          <w:sz w:val="28"/>
          <w:szCs w:val="28"/>
          <w14:textFill>
            <w14:solidFill>
              <w14:schemeClr w14:val="tx1"/>
            </w14:solidFill>
          </w14:textFill>
        </w:rPr>
        <w:t>供配电系统为</w:t>
      </w:r>
      <w:r>
        <w:rPr>
          <w:rFonts w:hint="eastAsia" w:ascii="宋体" w:hAnsi="宋体" w:eastAsia="宋体" w:cs="宋体"/>
          <w:color w:val="000000" w:themeColor="text1"/>
          <w:sz w:val="28"/>
          <w:szCs w:val="28"/>
          <w:lang w:val="en-US" w:eastAsia="zh-CN"/>
          <w14:textFill>
            <w14:solidFill>
              <w14:schemeClr w14:val="tx1"/>
            </w14:solidFill>
          </w14:textFill>
        </w:rPr>
        <w:t>一般</w:t>
      </w:r>
      <w:r>
        <w:rPr>
          <w:rFonts w:hint="eastAsia" w:ascii="宋体" w:hAnsi="宋体" w:eastAsia="宋体" w:cs="宋体"/>
          <w:color w:val="000000" w:themeColor="text1"/>
          <w:sz w:val="28"/>
          <w:szCs w:val="28"/>
          <w14:textFill>
            <w14:solidFill>
              <w14:schemeClr w14:val="tx1"/>
            </w14:solidFill>
          </w14:textFill>
        </w:rPr>
        <w:t>危险单元。</w:t>
      </w:r>
    </w:p>
    <w:p w14:paraId="3CD013B6">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702" w:name="_Toc31834"/>
      <w:bookmarkStart w:id="703" w:name="_Toc15855"/>
      <w:r>
        <w:rPr>
          <w:rFonts w:hint="eastAsia" w:ascii="宋体" w:hAnsi="宋体" w:eastAsia="宋体" w:cs="宋体"/>
          <w:color w:val="000000" w:themeColor="text1"/>
          <w:lang w:val="en-US" w:eastAsia="zh-CN"/>
          <w14:textFill>
            <w14:solidFill>
              <w14:schemeClr w14:val="tx1"/>
            </w14:solidFill>
          </w14:textFill>
        </w:rPr>
        <w:t>5.2.3单元小结</w:t>
      </w:r>
      <w:bookmarkEnd w:id="702"/>
      <w:bookmarkEnd w:id="703"/>
    </w:p>
    <w:p w14:paraId="7669C396">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通过以上分析评价可知：</w:t>
      </w:r>
    </w:p>
    <w:p w14:paraId="1DEC5E10">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安全检查表分析评价结果：该项目的生产工艺设备设施符合《生产设备安全卫生设计总则》（GB5083-</w:t>
      </w:r>
      <w:r>
        <w:rPr>
          <w:rFonts w:hint="eastAsia" w:ascii="宋体" w:hAnsi="宋体" w:eastAsia="宋体" w:cs="宋体"/>
          <w:color w:val="000000" w:themeColor="text1"/>
          <w:sz w:val="28"/>
          <w:szCs w:val="28"/>
          <w:lang w:val="en-US" w:eastAsia="zh-CN"/>
          <w14:textFill>
            <w14:solidFill>
              <w14:schemeClr w14:val="tx1"/>
            </w14:solidFill>
          </w14:textFill>
        </w:rPr>
        <w:t>2023</w:t>
      </w:r>
      <w:r>
        <w:rPr>
          <w:rFonts w:hint="eastAsia" w:ascii="宋体" w:hAnsi="宋体" w:eastAsia="宋体" w:cs="宋体"/>
          <w:color w:val="000000" w:themeColor="text1"/>
          <w:sz w:val="28"/>
          <w:szCs w:val="28"/>
          <w14:textFill>
            <w14:solidFill>
              <w14:schemeClr w14:val="tx1"/>
            </w14:solidFill>
          </w14:textFill>
        </w:rPr>
        <w:t>）、《生产过程安全卫生要求总则》（GB/T 12801-2008）、《中华人民共和国安全生产法》（中华人民共和国主席令第88号，2021年修订）</w:t>
      </w:r>
      <w:r>
        <w:rPr>
          <w:rFonts w:hint="eastAsia" w:ascii="宋体" w:hAnsi="宋体" w:eastAsia="宋体" w:cs="宋体"/>
          <w:color w:val="000000" w:themeColor="text1"/>
          <w:kern w:val="0"/>
          <w:sz w:val="28"/>
          <w:szCs w:val="28"/>
          <w:lang w:eastAsia="zh-CN"/>
          <w14:textFill>
            <w14:solidFill>
              <w14:schemeClr w14:val="tx1"/>
            </w14:solidFill>
          </w14:textFill>
        </w:rPr>
        <w:t>、</w:t>
      </w:r>
      <w:r>
        <w:rPr>
          <w:rFonts w:hint="eastAsia" w:ascii="宋体" w:hAnsi="宋体" w:eastAsia="宋体" w:cs="宋体"/>
          <w:color w:val="000000"/>
          <w:kern w:val="0"/>
          <w:sz w:val="28"/>
          <w:szCs w:val="28"/>
          <w:lang w:val="en-US" w:eastAsia="zh-CN" w:bidi="ar"/>
        </w:rPr>
        <w:t>《金属切削机床装配通用技术条件》（GB/T25373-2010）、《手持式电动工具的管理、使用、检查和维修安全技术规程》（GB/T3787-2017）</w:t>
      </w:r>
      <w:r>
        <w:rPr>
          <w:rFonts w:hint="eastAsia" w:ascii="宋体" w:hAnsi="宋体" w:eastAsia="宋体" w:cs="宋体"/>
          <w:color w:val="000000" w:themeColor="text1"/>
          <w:sz w:val="28"/>
          <w:szCs w:val="28"/>
          <w14:textFill>
            <w14:solidFill>
              <w14:schemeClr w14:val="tx1"/>
            </w14:solidFill>
          </w14:textFill>
        </w:rPr>
        <w:t>等相关规范的要求。</w:t>
      </w:r>
    </w:p>
    <w:p w14:paraId="16881B65">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作业条件危险性分析结果可知：</w:t>
      </w:r>
      <w:r>
        <w:rPr>
          <w:rFonts w:hint="eastAsia" w:ascii="宋体" w:hAnsi="宋体" w:eastAsia="宋体" w:cs="宋体"/>
          <w:color w:val="000000" w:themeColor="text1"/>
          <w:sz w:val="28"/>
          <w:szCs w:val="28"/>
          <w14:textFill>
            <w14:solidFill>
              <w14:schemeClr w14:val="tx1"/>
            </w14:solidFill>
          </w14:textFill>
        </w:rPr>
        <w:t>该项目各工序风险控制措施有效，</w:t>
      </w:r>
      <w:r>
        <w:rPr>
          <w:rFonts w:hint="eastAsia" w:ascii="宋体" w:hAnsi="宋体" w:eastAsia="宋体" w:cs="宋体"/>
          <w:color w:val="000000" w:themeColor="text1"/>
          <w:sz w:val="28"/>
          <w:szCs w:val="28"/>
          <w:lang w:val="en-US" w:eastAsia="zh-CN"/>
          <w14:textFill>
            <w14:solidFill>
              <w14:schemeClr w14:val="tx1"/>
            </w14:solidFill>
          </w14:textFill>
        </w:rPr>
        <w:t>包装发货</w:t>
      </w:r>
      <w:r>
        <w:rPr>
          <w:rFonts w:hint="eastAsia" w:ascii="宋体" w:hAnsi="宋体" w:eastAsia="宋体" w:cs="宋体"/>
          <w:color w:val="000000" w:themeColor="text1"/>
          <w:sz w:val="28"/>
          <w:szCs w:val="28"/>
          <w14:textFill>
            <w14:solidFill>
              <w14:schemeClr w14:val="tx1"/>
            </w14:solidFill>
          </w14:textFill>
        </w:rPr>
        <w:t>、给排水系统为稍有危险单元</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加工、组装、</w:t>
      </w:r>
      <w:r>
        <w:rPr>
          <w:rFonts w:hint="eastAsia" w:ascii="宋体" w:hAnsi="宋体" w:eastAsia="宋体" w:cs="宋体"/>
          <w:color w:val="000000" w:themeColor="text1"/>
          <w:sz w:val="28"/>
          <w:szCs w:val="28"/>
          <w14:textFill>
            <w14:solidFill>
              <w14:schemeClr w14:val="tx1"/>
            </w14:solidFill>
          </w14:textFill>
        </w:rPr>
        <w:t>供配电系统为可能危险单元</w:t>
      </w:r>
      <w:r>
        <w:rPr>
          <w:rFonts w:hint="eastAsia" w:ascii="宋体" w:hAnsi="宋体" w:eastAsia="宋体" w:cs="宋体"/>
          <w:color w:val="000000" w:themeColor="text1"/>
          <w:sz w:val="28"/>
          <w:szCs w:val="28"/>
          <w14:textFill>
            <w14:solidFill>
              <w14:schemeClr w14:val="tx1"/>
            </w14:solidFill>
          </w14:textFill>
        </w:rPr>
        <w:t>，企业的风险控制措施有效。</w:t>
      </w:r>
    </w:p>
    <w:p w14:paraId="0BFBB1B2">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704" w:name="_Toc61474470"/>
      <w:bookmarkStart w:id="705" w:name="_Toc20842"/>
      <w:bookmarkStart w:id="706" w:name="_Toc13490"/>
      <w:bookmarkStart w:id="707" w:name="_Toc32459"/>
      <w:bookmarkStart w:id="708" w:name="_Toc30001447"/>
      <w:bookmarkStart w:id="709" w:name="_Toc27545"/>
      <w:r>
        <w:rPr>
          <w:rFonts w:hint="eastAsia" w:ascii="宋体" w:hAnsi="宋体" w:eastAsia="宋体" w:cs="宋体"/>
          <w:color w:val="000000" w:themeColor="text1"/>
          <w14:textFill>
            <w14:solidFill>
              <w14:schemeClr w14:val="tx1"/>
            </w14:solidFill>
          </w14:textFill>
        </w:rPr>
        <w:t>5.3安全防护设施评价单元</w:t>
      </w:r>
      <w:bookmarkEnd w:id="704"/>
      <w:bookmarkEnd w:id="705"/>
      <w:bookmarkEnd w:id="706"/>
      <w:bookmarkEnd w:id="707"/>
      <w:bookmarkEnd w:id="708"/>
      <w:bookmarkEnd w:id="709"/>
    </w:p>
    <w:p w14:paraId="51DCA293">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710" w:name="_Toc61474471"/>
      <w:bookmarkStart w:id="711" w:name="_Toc26190"/>
      <w:bookmarkStart w:id="712" w:name="_Toc31600"/>
      <w:bookmarkStart w:id="713" w:name="_Toc30001448"/>
      <w:bookmarkStart w:id="714" w:name="_Toc28763"/>
      <w:bookmarkStart w:id="715" w:name="_Toc21957"/>
      <w:bookmarkStart w:id="716" w:name="_Toc4283"/>
      <w:r>
        <w:rPr>
          <w:rFonts w:hint="eastAsia" w:ascii="宋体" w:hAnsi="宋体" w:eastAsia="宋体" w:cs="宋体"/>
          <w:color w:val="000000" w:themeColor="text1"/>
          <w:lang w:val="en-US" w:eastAsia="zh-CN"/>
          <w14:textFill>
            <w14:solidFill>
              <w14:schemeClr w14:val="tx1"/>
            </w14:solidFill>
          </w14:textFill>
        </w:rPr>
        <w:t>5.3.1常规防护设施和措施安全检查表法</w:t>
      </w:r>
      <w:bookmarkEnd w:id="710"/>
      <w:bookmarkEnd w:id="711"/>
      <w:bookmarkEnd w:id="712"/>
      <w:bookmarkEnd w:id="713"/>
      <w:bookmarkEnd w:id="714"/>
      <w:bookmarkEnd w:id="715"/>
      <w:bookmarkEnd w:id="716"/>
    </w:p>
    <w:p w14:paraId="1855C1FD">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安全色》（GB2893-2008）、《安全标志及其使用导则》（GB2894-2008）、《机械安全防护装置固定式和活动式防护装置的设计与制造一般要求》（GB/T8196-2018）、《机械工业职业安全卫生设计规范》（JBJ18-2000）等规范的要求，编制了常规防护设施和措施检查表，对该项目的常规防护设施和措施进行检查，其检查结果见下表5-</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w:t>
      </w:r>
    </w:p>
    <w:p w14:paraId="2CFFBF8F">
      <w:pPr>
        <w:adjustRightInd w:val="0"/>
        <w:snapToGrid w:val="0"/>
        <w:spacing w:line="500" w:lineRule="exact"/>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表5-</w:t>
      </w:r>
      <w:r>
        <w:rPr>
          <w:rFonts w:hint="eastAsia" w:ascii="宋体" w:hAnsi="宋体" w:eastAsia="宋体" w:cs="宋体"/>
          <w:b/>
          <w:bCs/>
          <w:color w:val="000000" w:themeColor="text1"/>
          <w:szCs w:val="21"/>
          <w:lang w:val="en-US" w:eastAsia="zh-CN"/>
          <w14:textFill>
            <w14:solidFill>
              <w14:schemeClr w14:val="tx1"/>
            </w14:solidFill>
          </w14:textFill>
        </w:rPr>
        <w:t>4</w:t>
      </w:r>
      <w:r>
        <w:rPr>
          <w:rFonts w:hint="eastAsia" w:ascii="宋体" w:hAnsi="宋体" w:eastAsia="宋体" w:cs="宋体"/>
          <w:b/>
          <w:bCs/>
          <w:color w:val="000000" w:themeColor="text1"/>
          <w:szCs w:val="21"/>
          <w14:textFill>
            <w14:solidFill>
              <w14:schemeClr w14:val="tx1"/>
            </w14:solidFill>
          </w14:textFill>
        </w:rPr>
        <w:t>常规防护设施和措施安全检查表</w:t>
      </w:r>
    </w:p>
    <w:tbl>
      <w:tblPr>
        <w:tblStyle w:val="52"/>
        <w:tblW w:w="89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3335"/>
        <w:gridCol w:w="2271"/>
        <w:gridCol w:w="1808"/>
        <w:gridCol w:w="806"/>
      </w:tblGrid>
      <w:tr w14:paraId="5BF6D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750" w:type="dxa"/>
            <w:vAlign w:val="center"/>
          </w:tcPr>
          <w:p w14:paraId="7A1030C6">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335" w:type="dxa"/>
            <w:vAlign w:val="center"/>
          </w:tcPr>
          <w:p w14:paraId="4ADCA767">
            <w:pPr>
              <w:suppressAutoHyphens/>
              <w:adjustRightInd w:val="0"/>
              <w:snapToGrid w:val="0"/>
              <w:spacing w:line="300" w:lineRule="exact"/>
              <w:ind w:firstLine="211" w:firstLineChars="100"/>
              <w:jc w:val="center"/>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检查内容</w:t>
            </w:r>
          </w:p>
        </w:tc>
        <w:tc>
          <w:tcPr>
            <w:tcW w:w="2271" w:type="dxa"/>
            <w:vAlign w:val="center"/>
          </w:tcPr>
          <w:p w14:paraId="2AFE8BB2">
            <w:pPr>
              <w:suppressAutoHyphens/>
              <w:adjustRightInd w:val="0"/>
              <w:snapToGrid w:val="0"/>
              <w:spacing w:line="300" w:lineRule="exact"/>
              <w:jc w:val="center"/>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依据标准</w:t>
            </w:r>
          </w:p>
        </w:tc>
        <w:tc>
          <w:tcPr>
            <w:tcW w:w="1808" w:type="dxa"/>
            <w:vAlign w:val="center"/>
          </w:tcPr>
          <w:p w14:paraId="013768E7">
            <w:pPr>
              <w:suppressAutoHyphens/>
              <w:adjustRightInd w:val="0"/>
              <w:snapToGrid w:val="0"/>
              <w:spacing w:line="300" w:lineRule="exact"/>
              <w:jc w:val="center"/>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检查情况</w:t>
            </w:r>
          </w:p>
        </w:tc>
        <w:tc>
          <w:tcPr>
            <w:tcW w:w="806" w:type="dxa"/>
            <w:vAlign w:val="center"/>
          </w:tcPr>
          <w:p w14:paraId="0B9D098D">
            <w:pPr>
              <w:suppressAutoHyphens/>
              <w:adjustRightInd w:val="0"/>
              <w:snapToGrid w:val="0"/>
              <w:spacing w:line="300" w:lineRule="exact"/>
              <w:jc w:val="center"/>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结论</w:t>
            </w:r>
          </w:p>
        </w:tc>
      </w:tr>
      <w:tr w14:paraId="2E656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8970" w:type="dxa"/>
            <w:gridSpan w:val="5"/>
            <w:vAlign w:val="center"/>
          </w:tcPr>
          <w:p w14:paraId="1066EF2D">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安全色与安全标识</w:t>
            </w:r>
          </w:p>
        </w:tc>
      </w:tr>
      <w:tr w14:paraId="7146E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5CEFEA03">
            <w:pPr>
              <w:numPr>
                <w:ilvl w:val="0"/>
                <w:numId w:val="14"/>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488B7607">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使用安全色时要考虑周围的亮度及同其他颜色的关系,要使安全色能正确辨认。</w:t>
            </w:r>
          </w:p>
        </w:tc>
        <w:tc>
          <w:tcPr>
            <w:tcW w:w="2271" w:type="dxa"/>
            <w:vAlign w:val="center"/>
          </w:tcPr>
          <w:p w14:paraId="1F294222">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《安全色》（GB2893-2008）</w:t>
            </w:r>
          </w:p>
          <w:p w14:paraId="394FFECE">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第A.3条</w:t>
            </w:r>
          </w:p>
        </w:tc>
        <w:tc>
          <w:tcPr>
            <w:tcW w:w="1808" w:type="dxa"/>
            <w:vAlign w:val="center"/>
          </w:tcPr>
          <w:p w14:paraId="5541043D">
            <w:pPr>
              <w:tabs>
                <w:tab w:val="left" w:pos="2898"/>
              </w:tabs>
              <w:adjustRightInd w:val="0"/>
              <w:snapToGrid w:val="0"/>
              <w:spacing w:line="300" w:lineRule="exact"/>
              <w:ind w:left="210" w:hanging="210" w:hangingChars="1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该项目使用的安全色符合要求。</w:t>
            </w:r>
          </w:p>
        </w:tc>
        <w:tc>
          <w:tcPr>
            <w:tcW w:w="806" w:type="dxa"/>
            <w:vAlign w:val="center"/>
          </w:tcPr>
          <w:p w14:paraId="3E81FC87">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E5D3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D372868">
            <w:pPr>
              <w:numPr>
                <w:ilvl w:val="0"/>
                <w:numId w:val="14"/>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278329BA">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凡涂有安全色的部位，每半年应检查一次，应保持整洁、明亮，如有变色、褪色等不符合安全色范围,逆反射系数低于70%或安全色的使用环境改变时，应及时重涂或更换，以保证安全色正确、醒目，达到安全警示的目的。</w:t>
            </w:r>
          </w:p>
        </w:tc>
        <w:tc>
          <w:tcPr>
            <w:tcW w:w="2271" w:type="dxa"/>
            <w:vAlign w:val="center"/>
          </w:tcPr>
          <w:p w14:paraId="7B30EB7D">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《安全色》（GB2893-2008）</w:t>
            </w:r>
          </w:p>
          <w:p w14:paraId="0C1EC9B2">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第A.4条</w:t>
            </w:r>
          </w:p>
        </w:tc>
        <w:tc>
          <w:tcPr>
            <w:tcW w:w="1808" w:type="dxa"/>
            <w:vAlign w:val="center"/>
          </w:tcPr>
          <w:p w14:paraId="4750475B">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该公司对安全色的使用和管理符合规范要求。</w:t>
            </w:r>
          </w:p>
        </w:tc>
        <w:tc>
          <w:tcPr>
            <w:tcW w:w="806" w:type="dxa"/>
            <w:vAlign w:val="center"/>
          </w:tcPr>
          <w:p w14:paraId="10705D0B">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CC99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2435BF11">
            <w:pPr>
              <w:numPr>
                <w:ilvl w:val="0"/>
                <w:numId w:val="14"/>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0B03805E">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标志牌设置的高度，应尽量与人眼的视线高度相一致。悬排式和柱式的环境信息标志牌的下缘距地面的高度不宜小于2m，局部信息标志设置高度视具体情况确定。</w:t>
            </w:r>
          </w:p>
        </w:tc>
        <w:tc>
          <w:tcPr>
            <w:tcW w:w="2271" w:type="dxa"/>
            <w:vAlign w:val="center"/>
          </w:tcPr>
          <w:p w14:paraId="21CD17EF">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《安全标志及其使用导则》</w:t>
            </w:r>
            <w:r>
              <w:rPr>
                <w:rFonts w:hint="eastAsia" w:ascii="宋体" w:hAnsi="宋体" w:eastAsia="宋体" w:cs="宋体"/>
                <w:color w:val="000000" w:themeColor="text1"/>
                <w:kern w:val="0"/>
                <w:sz w:val="21"/>
                <w:szCs w:val="21"/>
                <w14:textFill>
                  <w14:solidFill>
                    <w14:schemeClr w14:val="tx1"/>
                  </w14:solidFill>
                </w14:textFill>
              </w:rPr>
              <w:br w:type="textWrapping"/>
            </w:r>
            <w:r>
              <w:rPr>
                <w:rFonts w:hint="eastAsia" w:ascii="宋体" w:hAnsi="宋体" w:eastAsia="宋体" w:cs="宋体"/>
                <w:color w:val="000000" w:themeColor="text1"/>
                <w:kern w:val="0"/>
                <w:sz w:val="21"/>
                <w:szCs w:val="21"/>
                <w14:textFill>
                  <w14:solidFill>
                    <w14:schemeClr w14:val="tx1"/>
                  </w14:solidFill>
                </w14:textFill>
              </w:rPr>
              <w:t>（GB 2894-2008 ）</w:t>
            </w:r>
          </w:p>
          <w:p w14:paraId="573E72B7">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第8条</w:t>
            </w:r>
          </w:p>
        </w:tc>
        <w:tc>
          <w:tcPr>
            <w:tcW w:w="1808" w:type="dxa"/>
            <w:vAlign w:val="center"/>
          </w:tcPr>
          <w:p w14:paraId="0638127F">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该项目内的标志牌设置高度符合规范要求。</w:t>
            </w:r>
          </w:p>
        </w:tc>
        <w:tc>
          <w:tcPr>
            <w:tcW w:w="806" w:type="dxa"/>
            <w:vAlign w:val="center"/>
          </w:tcPr>
          <w:p w14:paraId="6A034651">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116F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4434826C">
            <w:pPr>
              <w:numPr>
                <w:ilvl w:val="0"/>
                <w:numId w:val="14"/>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151A69C8">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标志牌不应设在门、窗、架等可移动的物体上，以免标志牌随母体物体相应移动，影响认读，标志牌前不得放置妨碍认读的障碍物。</w:t>
            </w:r>
          </w:p>
        </w:tc>
        <w:tc>
          <w:tcPr>
            <w:tcW w:w="2271" w:type="dxa"/>
            <w:vAlign w:val="center"/>
          </w:tcPr>
          <w:p w14:paraId="14168ADD">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《安全色》（GB2893-2008）</w:t>
            </w:r>
          </w:p>
          <w:p w14:paraId="0F761093">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第9.1条</w:t>
            </w:r>
          </w:p>
        </w:tc>
        <w:tc>
          <w:tcPr>
            <w:tcW w:w="1808" w:type="dxa"/>
            <w:vAlign w:val="center"/>
          </w:tcPr>
          <w:p w14:paraId="1644EAAE">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该项目内的标志牌未设置在可移动的物体上，均固定牢靠。</w:t>
            </w:r>
          </w:p>
        </w:tc>
        <w:tc>
          <w:tcPr>
            <w:tcW w:w="806" w:type="dxa"/>
            <w:vAlign w:val="center"/>
          </w:tcPr>
          <w:p w14:paraId="0BDB40EA">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BEB4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5AD36953">
            <w:pPr>
              <w:numPr>
                <w:ilvl w:val="0"/>
                <w:numId w:val="14"/>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7B1BC711">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安全标志牌至少每半年检查一次，如发现有破损、变形、褪色等不符合要求时,应及时修正或更换。</w:t>
            </w:r>
          </w:p>
        </w:tc>
        <w:tc>
          <w:tcPr>
            <w:tcW w:w="2271" w:type="dxa"/>
            <w:vAlign w:val="center"/>
          </w:tcPr>
          <w:p w14:paraId="7E0275B1">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《安全色》（GB2893-2008）</w:t>
            </w:r>
          </w:p>
          <w:p w14:paraId="46F4A35B">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第10.1条</w:t>
            </w:r>
          </w:p>
        </w:tc>
        <w:tc>
          <w:tcPr>
            <w:tcW w:w="1808" w:type="dxa"/>
            <w:vAlign w:val="center"/>
          </w:tcPr>
          <w:p w14:paraId="2A390A59">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w:t>
            </w:r>
            <w:r>
              <w:rPr>
                <w:rFonts w:hint="eastAsia" w:ascii="宋体" w:hAnsi="宋体" w:eastAsia="宋体" w:cs="宋体"/>
                <w:color w:val="000000" w:themeColor="text1"/>
                <w:sz w:val="21"/>
                <w:szCs w:val="21"/>
                <w:lang w:val="en-US" w:eastAsia="zh-CN"/>
                <w14:textFill>
                  <w14:solidFill>
                    <w14:schemeClr w14:val="tx1"/>
                  </w14:solidFill>
                </w14:textFill>
              </w:rPr>
              <w:t>生产区</w:t>
            </w:r>
            <w:r>
              <w:rPr>
                <w:rFonts w:hint="eastAsia" w:ascii="宋体" w:hAnsi="宋体" w:eastAsia="宋体" w:cs="宋体"/>
                <w:color w:val="000000" w:themeColor="text1"/>
                <w:sz w:val="21"/>
                <w:szCs w:val="21"/>
                <w14:textFill>
                  <w14:solidFill>
                    <w14:schemeClr w14:val="tx1"/>
                  </w14:solidFill>
                </w14:textFill>
              </w:rPr>
              <w:t>安全标志牌符合要求。</w:t>
            </w:r>
          </w:p>
        </w:tc>
        <w:tc>
          <w:tcPr>
            <w:tcW w:w="806" w:type="dxa"/>
            <w:vAlign w:val="center"/>
          </w:tcPr>
          <w:p w14:paraId="2FBE9AD6">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BF24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970" w:type="dxa"/>
            <w:gridSpan w:val="5"/>
            <w:vAlign w:val="center"/>
          </w:tcPr>
          <w:p w14:paraId="3BE4CA0D">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固定式钢直梯</w:t>
            </w:r>
          </w:p>
        </w:tc>
      </w:tr>
      <w:tr w14:paraId="46855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59DCB2F2">
            <w:pPr>
              <w:numPr>
                <w:ilvl w:val="0"/>
                <w:numId w:val="14"/>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1BBB77FA">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钢直梯应与其固定的结构表明平行并尽可能垂直水平面设置。</w:t>
            </w:r>
          </w:p>
        </w:tc>
        <w:tc>
          <w:tcPr>
            <w:tcW w:w="2271" w:type="dxa"/>
            <w:vAlign w:val="center"/>
          </w:tcPr>
          <w:p w14:paraId="2FF909E4">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《固定式钢梯及平台安全要求第1部分：钢直梯》</w:t>
            </w:r>
          </w:p>
          <w:p w14:paraId="4284B70C">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4053.1-2009）</w:t>
            </w:r>
          </w:p>
          <w:p w14:paraId="199EF6C2">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第4.2条</w:t>
            </w:r>
          </w:p>
        </w:tc>
        <w:tc>
          <w:tcPr>
            <w:tcW w:w="1808" w:type="dxa"/>
            <w:vAlign w:val="center"/>
          </w:tcPr>
          <w:p w14:paraId="680905FB">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该项目设置的直梯符合要求。</w:t>
            </w:r>
          </w:p>
        </w:tc>
        <w:tc>
          <w:tcPr>
            <w:tcW w:w="806" w:type="dxa"/>
            <w:vAlign w:val="center"/>
          </w:tcPr>
          <w:p w14:paraId="7E5487E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0C5E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6742E094">
            <w:pPr>
              <w:numPr>
                <w:ilvl w:val="0"/>
                <w:numId w:val="14"/>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30E9D1F6">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钢直梯应采用焊接连接，焊接要求应符合GB50205的规定。采用其他方式连接时，连接强度应不低于焊接。安装后的梯子不应有歪斜、扭曲、变形及其他缺陷。</w:t>
            </w:r>
          </w:p>
        </w:tc>
        <w:tc>
          <w:tcPr>
            <w:tcW w:w="2271" w:type="dxa"/>
            <w:vAlign w:val="center"/>
          </w:tcPr>
          <w:p w14:paraId="50C1EEB3">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《固定式钢梯及平台安全要求第1部分：钢直梯》</w:t>
            </w:r>
          </w:p>
          <w:p w14:paraId="237049BA">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4053.1-2009）</w:t>
            </w:r>
          </w:p>
          <w:p w14:paraId="15D2F333">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第4.4.1条</w:t>
            </w:r>
          </w:p>
        </w:tc>
        <w:tc>
          <w:tcPr>
            <w:tcW w:w="1808" w:type="dxa"/>
            <w:vAlign w:val="center"/>
          </w:tcPr>
          <w:p w14:paraId="49EF468F">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钢直梯</w:t>
            </w:r>
            <w:r>
              <w:rPr>
                <w:rFonts w:hint="eastAsia" w:ascii="宋体" w:hAnsi="宋体" w:eastAsia="宋体" w:cs="宋体"/>
                <w:color w:val="000000" w:themeColor="text1"/>
                <w:sz w:val="21"/>
                <w:szCs w:val="21"/>
                <w14:textFill>
                  <w14:solidFill>
                    <w14:schemeClr w14:val="tx1"/>
                  </w14:solidFill>
                </w14:textFill>
              </w:rPr>
              <w:t>采用焊接，现场查看时未发现明显缺陷。</w:t>
            </w:r>
          </w:p>
        </w:tc>
        <w:tc>
          <w:tcPr>
            <w:tcW w:w="806" w:type="dxa"/>
            <w:vAlign w:val="center"/>
          </w:tcPr>
          <w:p w14:paraId="64E8D671">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B9A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5F8EA611">
            <w:pPr>
              <w:numPr>
                <w:ilvl w:val="0"/>
                <w:numId w:val="14"/>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4866F534">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制造安装工艺应确保梯子及其所有部件的表面光滑、无锐边、尖角、毛刺或其他可能对梯子使用者造成伤害或妨碍其通过的外部缺陷。</w:t>
            </w:r>
          </w:p>
        </w:tc>
        <w:tc>
          <w:tcPr>
            <w:tcW w:w="2271" w:type="dxa"/>
            <w:vAlign w:val="center"/>
          </w:tcPr>
          <w:p w14:paraId="67F3BDDF">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《固定式钢梯及平台安全要求第1部分：钢直梯》</w:t>
            </w:r>
          </w:p>
          <w:p w14:paraId="450A24F6">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4053.1-2009）</w:t>
            </w:r>
          </w:p>
          <w:p w14:paraId="6CD8991D">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第4.4.2条</w:t>
            </w:r>
          </w:p>
        </w:tc>
        <w:tc>
          <w:tcPr>
            <w:tcW w:w="1808" w:type="dxa"/>
            <w:vAlign w:val="center"/>
          </w:tcPr>
          <w:p w14:paraId="0C50CB5A">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楼梯表面光滑、无锐边、尖角、等外部缺陷。</w:t>
            </w:r>
          </w:p>
        </w:tc>
        <w:tc>
          <w:tcPr>
            <w:tcW w:w="806" w:type="dxa"/>
            <w:vAlign w:val="center"/>
          </w:tcPr>
          <w:p w14:paraId="58009E0E">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59E1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59CF2155">
            <w:pPr>
              <w:numPr>
                <w:ilvl w:val="0"/>
                <w:numId w:val="14"/>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6D8CF806">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根据钢直梯使用场合及环境条件，应对梯子进行合适的防锈及防腐涂装。</w:t>
            </w:r>
          </w:p>
        </w:tc>
        <w:tc>
          <w:tcPr>
            <w:tcW w:w="2271" w:type="dxa"/>
            <w:vAlign w:val="center"/>
          </w:tcPr>
          <w:p w14:paraId="6E41A068">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《固定式钢梯及平台安全要求第1部分：钢直梯》</w:t>
            </w:r>
          </w:p>
          <w:p w14:paraId="0CE230BC">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4053.1-2009）</w:t>
            </w:r>
          </w:p>
          <w:p w14:paraId="38CA818B">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第4.5.2条</w:t>
            </w:r>
          </w:p>
        </w:tc>
        <w:tc>
          <w:tcPr>
            <w:tcW w:w="1808" w:type="dxa"/>
            <w:vAlign w:val="center"/>
          </w:tcPr>
          <w:p w14:paraId="098C4424">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通过现场检查，该项目的钢直梯进行了防腐油漆。</w:t>
            </w:r>
          </w:p>
        </w:tc>
        <w:tc>
          <w:tcPr>
            <w:tcW w:w="806" w:type="dxa"/>
            <w:vAlign w:val="center"/>
          </w:tcPr>
          <w:p w14:paraId="2880F6E2">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FE5F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4E36CCE8">
            <w:pPr>
              <w:numPr>
                <w:ilvl w:val="0"/>
                <w:numId w:val="14"/>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0B994A55">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在持续潮湿条件下使用的梯子,建议进行热镀锌,或采用特殊涂层或采用耐腐蚀材料。</w:t>
            </w:r>
          </w:p>
        </w:tc>
        <w:tc>
          <w:tcPr>
            <w:tcW w:w="2271" w:type="dxa"/>
            <w:vAlign w:val="center"/>
          </w:tcPr>
          <w:p w14:paraId="5C889F50">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《固定式钢梯及平台安全要求第1部分：钢直梯》</w:t>
            </w:r>
          </w:p>
          <w:p w14:paraId="31D24815">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4053.1-2009）</w:t>
            </w:r>
          </w:p>
          <w:p w14:paraId="291BFCCF">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第4.5.4条</w:t>
            </w:r>
          </w:p>
        </w:tc>
        <w:tc>
          <w:tcPr>
            <w:tcW w:w="1808" w:type="dxa"/>
            <w:vAlign w:val="center"/>
          </w:tcPr>
          <w:p w14:paraId="6D59291E">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通过现场检查，该项目的钢直梯进行了防腐涂装。</w:t>
            </w:r>
          </w:p>
        </w:tc>
        <w:tc>
          <w:tcPr>
            <w:tcW w:w="806" w:type="dxa"/>
            <w:vAlign w:val="center"/>
          </w:tcPr>
          <w:p w14:paraId="16036015">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D440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970" w:type="dxa"/>
            <w:gridSpan w:val="5"/>
            <w:vAlign w:val="center"/>
          </w:tcPr>
          <w:p w14:paraId="3899F6E1">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固定式钢斜梯</w:t>
            </w:r>
          </w:p>
        </w:tc>
      </w:tr>
      <w:tr w14:paraId="45A3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6A028F5B">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1EDD161B">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采用的钢材力学性能不应低于Q235-B，并具有含碳量合格保证。</w:t>
            </w:r>
          </w:p>
        </w:tc>
        <w:tc>
          <w:tcPr>
            <w:tcW w:w="2271" w:type="dxa"/>
            <w:vAlign w:val="center"/>
          </w:tcPr>
          <w:p w14:paraId="089F5DDE">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 第2部分：钢斜梯》</w:t>
            </w:r>
          </w:p>
          <w:p w14:paraId="24D44F18">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4053.2-2009）</w:t>
            </w:r>
          </w:p>
          <w:p w14:paraId="0544A2CD">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第4.1条</w:t>
            </w:r>
          </w:p>
        </w:tc>
        <w:tc>
          <w:tcPr>
            <w:tcW w:w="1808" w:type="dxa"/>
            <w:vAlign w:val="center"/>
          </w:tcPr>
          <w:p w14:paraId="1CE84D86">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该项目采用的钢材符合相关的要求。</w:t>
            </w:r>
          </w:p>
        </w:tc>
        <w:tc>
          <w:tcPr>
            <w:tcW w:w="806" w:type="dxa"/>
            <w:vAlign w:val="center"/>
          </w:tcPr>
          <w:p w14:paraId="58A3F579">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CAAA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CAB5D02">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1271FC48">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钢斜梯应采用焊接连接。</w:t>
            </w:r>
          </w:p>
        </w:tc>
        <w:tc>
          <w:tcPr>
            <w:tcW w:w="2271" w:type="dxa"/>
            <w:vAlign w:val="center"/>
          </w:tcPr>
          <w:p w14:paraId="57F7BB12">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《固定式钢梯及平台安全要求第2部分：钢斜梯》</w:t>
            </w:r>
          </w:p>
          <w:p w14:paraId="25D7B095">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4053.2-2009）</w:t>
            </w:r>
          </w:p>
          <w:p w14:paraId="0AE37D8F">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第4.4.1条</w:t>
            </w:r>
          </w:p>
        </w:tc>
        <w:tc>
          <w:tcPr>
            <w:tcW w:w="1808" w:type="dxa"/>
            <w:vAlign w:val="center"/>
          </w:tcPr>
          <w:p w14:paraId="7240E673">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项目的钢斜梯采用焊接连接。</w:t>
            </w:r>
          </w:p>
        </w:tc>
        <w:tc>
          <w:tcPr>
            <w:tcW w:w="806" w:type="dxa"/>
            <w:vAlign w:val="center"/>
          </w:tcPr>
          <w:p w14:paraId="19ED5436">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8E02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184D4525">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3F30D7FD">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制造安装工艺应确保梯子及其所有构件的表面光滑、无锐边、尖角、毛刺或其他可能对梯子使用者造成伤害或者妨碍其通过的外部缺陷。</w:t>
            </w:r>
          </w:p>
        </w:tc>
        <w:tc>
          <w:tcPr>
            <w:tcW w:w="2271" w:type="dxa"/>
            <w:vAlign w:val="center"/>
          </w:tcPr>
          <w:p w14:paraId="21AAD988">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《固定式钢梯及平台安全要求第2部分：钢斜梯》</w:t>
            </w:r>
          </w:p>
          <w:p w14:paraId="2D8908D3">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4053.2-2009）</w:t>
            </w:r>
          </w:p>
          <w:p w14:paraId="7EEEE525">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第4.4.2条</w:t>
            </w:r>
          </w:p>
        </w:tc>
        <w:tc>
          <w:tcPr>
            <w:tcW w:w="1808" w:type="dxa"/>
            <w:vAlign w:val="center"/>
          </w:tcPr>
          <w:p w14:paraId="67E33FF0">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项目内的钢斜梯符合相关要求。</w:t>
            </w:r>
          </w:p>
        </w:tc>
        <w:tc>
          <w:tcPr>
            <w:tcW w:w="806" w:type="dxa"/>
            <w:vAlign w:val="center"/>
          </w:tcPr>
          <w:p w14:paraId="4AC2642F">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80AC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6EC9A83D">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2EE4C17F">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根据钢斜梯使用场合及环境条件,应对梯子进行合适的防锈及防腐涂装。</w:t>
            </w:r>
          </w:p>
        </w:tc>
        <w:tc>
          <w:tcPr>
            <w:tcW w:w="2271" w:type="dxa"/>
            <w:vAlign w:val="center"/>
          </w:tcPr>
          <w:p w14:paraId="0DE64A03">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《固定式钢梯及平台安全要求第2部分：钢斜梯》</w:t>
            </w:r>
          </w:p>
          <w:p w14:paraId="2E16974C">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4053.2-2009）</w:t>
            </w:r>
          </w:p>
          <w:p w14:paraId="0C95C99A">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第4.5.2条</w:t>
            </w:r>
          </w:p>
        </w:tc>
        <w:tc>
          <w:tcPr>
            <w:tcW w:w="1808" w:type="dxa"/>
            <w:vAlign w:val="center"/>
          </w:tcPr>
          <w:p w14:paraId="5443FB35">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项目内的钢斜梯均进行了相关的防锈及防腐涂装。</w:t>
            </w:r>
          </w:p>
        </w:tc>
        <w:tc>
          <w:tcPr>
            <w:tcW w:w="806" w:type="dxa"/>
            <w:vAlign w:val="center"/>
          </w:tcPr>
          <w:p w14:paraId="6619E19A">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4A00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C23FFE9">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567147A2">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在室外安装的钢斜梯和连按部分的防雷电保护,连接和接地附件应符合相关要求。</w:t>
            </w:r>
          </w:p>
        </w:tc>
        <w:tc>
          <w:tcPr>
            <w:tcW w:w="2271" w:type="dxa"/>
            <w:vAlign w:val="center"/>
          </w:tcPr>
          <w:p w14:paraId="0F860C65">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《固定式钢梯及平台安全要求第2部分：钢斜梯》</w:t>
            </w:r>
          </w:p>
          <w:p w14:paraId="69AD3E0F">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4053.2-2009）</w:t>
            </w:r>
          </w:p>
          <w:p w14:paraId="6D13EFA3">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第4.6条</w:t>
            </w:r>
          </w:p>
        </w:tc>
        <w:tc>
          <w:tcPr>
            <w:tcW w:w="1808" w:type="dxa"/>
            <w:vAlign w:val="center"/>
          </w:tcPr>
          <w:p w14:paraId="42B55002">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项目内的钢斜梯均设置了相应的防雷电保护设施。</w:t>
            </w:r>
          </w:p>
        </w:tc>
        <w:tc>
          <w:tcPr>
            <w:tcW w:w="806" w:type="dxa"/>
            <w:vAlign w:val="center"/>
          </w:tcPr>
          <w:p w14:paraId="5782DD4A">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BF51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8424EDD">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2112CEF9">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扶手应沿其整个长度方向上连续可抓握。</w:t>
            </w:r>
          </w:p>
        </w:tc>
        <w:tc>
          <w:tcPr>
            <w:tcW w:w="2271" w:type="dxa"/>
            <w:vAlign w:val="center"/>
          </w:tcPr>
          <w:p w14:paraId="7F1912F6">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《固定式钢梯及平台安全要求第2部分：钢斜梯》</w:t>
            </w:r>
          </w:p>
          <w:p w14:paraId="5A102D26">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4053.2-2009）</w:t>
            </w:r>
          </w:p>
          <w:p w14:paraId="09DA1AB5">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第5.6.8条</w:t>
            </w:r>
          </w:p>
        </w:tc>
        <w:tc>
          <w:tcPr>
            <w:tcW w:w="1808" w:type="dxa"/>
            <w:vAlign w:val="center"/>
          </w:tcPr>
          <w:p w14:paraId="1977ED34">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该项目内钢斜梯的扶手符合要求。</w:t>
            </w:r>
          </w:p>
        </w:tc>
        <w:tc>
          <w:tcPr>
            <w:tcW w:w="806" w:type="dxa"/>
            <w:vAlign w:val="center"/>
          </w:tcPr>
          <w:p w14:paraId="62366FD3">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91D6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970" w:type="dxa"/>
            <w:gridSpan w:val="5"/>
            <w:vAlign w:val="center"/>
          </w:tcPr>
          <w:p w14:paraId="7EBE2145">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工业防护栏杆及钢平台</w:t>
            </w:r>
          </w:p>
        </w:tc>
      </w:tr>
      <w:tr w14:paraId="6DB34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166CA162">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72CA1426">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距下方相邻地板或地面1.2m 及以上的平台、通道或工作面的所有敞开边缘应设置防护栏杆。</w:t>
            </w:r>
          </w:p>
        </w:tc>
        <w:tc>
          <w:tcPr>
            <w:tcW w:w="2271" w:type="dxa"/>
            <w:vAlign w:val="center"/>
          </w:tcPr>
          <w:p w14:paraId="00BCEFF3">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《固定式钢梯及平台安全要求第3部分工业防护栏杆及钢平台》</w:t>
            </w:r>
          </w:p>
          <w:p w14:paraId="20672DCC">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4053.3-2009）</w:t>
            </w:r>
          </w:p>
          <w:p w14:paraId="547321BA">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第4.1.1条</w:t>
            </w:r>
          </w:p>
        </w:tc>
        <w:tc>
          <w:tcPr>
            <w:tcW w:w="1808" w:type="dxa"/>
            <w:vAlign w:val="center"/>
          </w:tcPr>
          <w:p w14:paraId="715BB780">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平台设置了防护栏杆。</w:t>
            </w:r>
          </w:p>
        </w:tc>
        <w:tc>
          <w:tcPr>
            <w:tcW w:w="806" w:type="dxa"/>
            <w:vAlign w:val="center"/>
          </w:tcPr>
          <w:p w14:paraId="5F7BDFBF">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39C9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3A8914E8">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tcPr>
          <w:p w14:paraId="33FB9CDD">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bookmarkStart w:id="717" w:name="_Toc30641"/>
            <w:bookmarkStart w:id="718" w:name="_Toc5942"/>
            <w:bookmarkStart w:id="719" w:name="_Toc22279"/>
            <w:bookmarkStart w:id="720" w:name="_Toc27337"/>
            <w:bookmarkStart w:id="721" w:name="_Toc26173"/>
            <w:bookmarkStart w:id="722" w:name="_Toc20226"/>
            <w:bookmarkStart w:id="723" w:name="_Toc12967"/>
            <w:bookmarkStart w:id="724" w:name="_Toc12194"/>
            <w:bookmarkStart w:id="725" w:name="_Toc30564"/>
            <w:bookmarkStart w:id="726" w:name="_Toc2892"/>
            <w:bookmarkStart w:id="727" w:name="_Toc9402"/>
            <w:bookmarkStart w:id="728" w:name="_Toc728"/>
            <w:bookmarkStart w:id="729" w:name="_Toc8677"/>
            <w:bookmarkStart w:id="730" w:name="_Toc1708"/>
            <w:bookmarkStart w:id="731" w:name="_Toc532"/>
            <w:r>
              <w:rPr>
                <w:rFonts w:hint="eastAsia" w:ascii="宋体" w:hAnsi="宋体" w:eastAsia="宋体" w:cs="宋体"/>
                <w:color w:val="000000" w:themeColor="text1"/>
                <w:sz w:val="21"/>
                <w:szCs w:val="21"/>
                <w14:textFill>
                  <w14:solidFill>
                    <w14:schemeClr w14:val="tx1"/>
                  </w14:solidFill>
                </w14:textFill>
              </w:rPr>
              <w:t>防护栏杆及钢平台应采用焊接连接，焊接要求应符合GB 50205 的规定。</w:t>
            </w:r>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p>
          <w:p w14:paraId="1B1A95FA">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bookmarkStart w:id="732" w:name="_Toc1808"/>
            <w:bookmarkStart w:id="733" w:name="_Toc30638"/>
            <w:bookmarkStart w:id="734" w:name="_Toc12075"/>
            <w:bookmarkStart w:id="735" w:name="_Toc4823"/>
            <w:bookmarkStart w:id="736" w:name="_Toc20920"/>
            <w:bookmarkStart w:id="737" w:name="_Toc2131"/>
            <w:bookmarkStart w:id="738" w:name="_Toc20274"/>
            <w:bookmarkStart w:id="739" w:name="_Toc30759"/>
            <w:bookmarkStart w:id="740" w:name="_Toc12547"/>
            <w:bookmarkStart w:id="741" w:name="_Toc18729"/>
            <w:bookmarkStart w:id="742" w:name="_Toc1362"/>
            <w:bookmarkStart w:id="743" w:name="_Toc18355"/>
            <w:bookmarkStart w:id="744" w:name="_Toc5331"/>
            <w:bookmarkStart w:id="745" w:name="_Toc13685"/>
            <w:bookmarkStart w:id="746" w:name="_Toc23531"/>
            <w:r>
              <w:rPr>
                <w:rFonts w:hint="eastAsia" w:ascii="宋体" w:hAnsi="宋体" w:eastAsia="宋体" w:cs="宋体"/>
                <w:color w:val="000000" w:themeColor="text1"/>
                <w:sz w:val="21"/>
                <w:szCs w:val="21"/>
                <w14:textFill>
                  <w14:solidFill>
                    <w14:schemeClr w14:val="tx1"/>
                  </w14:solidFill>
                </w14:textFill>
              </w:rPr>
              <w:t>当不便焊接时，可用螺栓连接，但应保证设计的结构强度。安装后的防护栏杆及钢平台不应有歪斜、扭曲、变形及其它缺陷。</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p>
        </w:tc>
        <w:tc>
          <w:tcPr>
            <w:tcW w:w="2271" w:type="dxa"/>
            <w:vAlign w:val="center"/>
          </w:tcPr>
          <w:p w14:paraId="02DA4C52">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《固定式钢梯及平台安全要求第3部分工业防护栏杆及钢平台》</w:t>
            </w:r>
          </w:p>
          <w:p w14:paraId="709F6288">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4053.3-2009）</w:t>
            </w:r>
          </w:p>
          <w:p w14:paraId="2B3A0D8A">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第4.5.1条</w:t>
            </w:r>
          </w:p>
        </w:tc>
        <w:tc>
          <w:tcPr>
            <w:tcW w:w="1808" w:type="dxa"/>
            <w:vAlign w:val="center"/>
          </w:tcPr>
          <w:p w14:paraId="37FE76BD">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防护栏杆及钢平台采用焊接连接。</w:t>
            </w:r>
          </w:p>
        </w:tc>
        <w:tc>
          <w:tcPr>
            <w:tcW w:w="806" w:type="dxa"/>
            <w:vAlign w:val="center"/>
          </w:tcPr>
          <w:p w14:paraId="1C3E3ACF">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14F0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6E845438">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6833D61D">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防护栏杆制造安装工艺应确保所有构件及其连接部分表面光滑，无锐边、尖角、毛刺或其它可能对人员造成伤害或妨碍其通过的外部缺陷。</w:t>
            </w:r>
          </w:p>
        </w:tc>
        <w:tc>
          <w:tcPr>
            <w:tcW w:w="2271" w:type="dxa"/>
            <w:vAlign w:val="center"/>
          </w:tcPr>
          <w:p w14:paraId="5CE5A364">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《固定式钢梯及平台安全要求第3部分工业防护栏杆及钢平台》</w:t>
            </w:r>
          </w:p>
          <w:p w14:paraId="47BE3B2A">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4053.3-2009）</w:t>
            </w:r>
          </w:p>
          <w:p w14:paraId="757718CA">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第4.5.2条</w:t>
            </w:r>
          </w:p>
        </w:tc>
        <w:tc>
          <w:tcPr>
            <w:tcW w:w="1808" w:type="dxa"/>
            <w:vAlign w:val="center"/>
          </w:tcPr>
          <w:p w14:paraId="3192752D">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现场检查扶手无尖角、不光滑等外部缺陷。</w:t>
            </w:r>
          </w:p>
        </w:tc>
        <w:tc>
          <w:tcPr>
            <w:tcW w:w="806" w:type="dxa"/>
            <w:vAlign w:val="center"/>
          </w:tcPr>
          <w:p w14:paraId="03EAE4E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5448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47B2E02E">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76C78C75">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安装后的平台钢梁应平直，铺板应平整，不应有歪斜、翘曲、变形及其它缺陷。</w:t>
            </w:r>
          </w:p>
        </w:tc>
        <w:tc>
          <w:tcPr>
            <w:tcW w:w="2271" w:type="dxa"/>
            <w:vAlign w:val="center"/>
          </w:tcPr>
          <w:p w14:paraId="45583CE3">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《固定式钢梯及平台安全要求第3部分</w:t>
            </w:r>
            <w:r>
              <w:rPr>
                <w:rFonts w:hint="eastAsia" w:ascii="宋体" w:hAnsi="宋体" w:eastAsia="宋体" w:cs="宋体"/>
                <w:color w:val="000000" w:themeColor="text1"/>
                <w:kern w:val="0"/>
                <w:sz w:val="21"/>
                <w:szCs w:val="21"/>
                <w14:textFill>
                  <w14:solidFill>
                    <w14:schemeClr w14:val="tx1"/>
                  </w14:solidFill>
                </w14:textFill>
              </w:rPr>
              <w:t>工业防护栏杆及钢平台</w:t>
            </w:r>
            <w:r>
              <w:rPr>
                <w:rFonts w:hint="eastAsia" w:ascii="宋体" w:hAnsi="宋体" w:eastAsia="宋体" w:cs="宋体"/>
                <w:color w:val="000000" w:themeColor="text1"/>
                <w:sz w:val="21"/>
                <w:szCs w:val="21"/>
                <w14:textFill>
                  <w14:solidFill>
                    <w14:schemeClr w14:val="tx1"/>
                  </w14:solidFill>
                </w14:textFill>
              </w:rPr>
              <w:t>》</w:t>
            </w:r>
          </w:p>
          <w:p w14:paraId="0C06D2B3">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Style w:val="55"/>
                <w:rFonts w:hint="eastAsia" w:ascii="宋体" w:hAnsi="宋体" w:eastAsia="宋体" w:cs="宋体"/>
                <w:b w:val="0"/>
                <w:color w:val="000000" w:themeColor="text1"/>
                <w:sz w:val="21"/>
                <w:szCs w:val="21"/>
                <w14:textFill>
                  <w14:solidFill>
                    <w14:schemeClr w14:val="tx1"/>
                  </w14:solidFill>
                </w14:textFill>
              </w:rPr>
              <w:t>（GB 4053.3-2009）</w:t>
            </w:r>
          </w:p>
          <w:p w14:paraId="3641859E">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第4.5.4条</w:t>
            </w:r>
          </w:p>
        </w:tc>
        <w:tc>
          <w:tcPr>
            <w:tcW w:w="1808" w:type="dxa"/>
            <w:vAlign w:val="center"/>
          </w:tcPr>
          <w:p w14:paraId="6410B2AC">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现场检查时未发现平台存在明显缺陷。</w:t>
            </w:r>
          </w:p>
        </w:tc>
        <w:tc>
          <w:tcPr>
            <w:tcW w:w="806" w:type="dxa"/>
            <w:vAlign w:val="center"/>
          </w:tcPr>
          <w:p w14:paraId="0B960EC0">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B8BD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03DAC785">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4EE7DBFC">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根据防护栏杆和钢平台使用场合及环境条件，应对其进行合适的防锈及防腐涂装。</w:t>
            </w:r>
          </w:p>
        </w:tc>
        <w:tc>
          <w:tcPr>
            <w:tcW w:w="2271" w:type="dxa"/>
            <w:vAlign w:val="center"/>
          </w:tcPr>
          <w:p w14:paraId="1F4C2777">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《固定式钢梯及平台安全要求第3部分</w:t>
            </w:r>
            <w:r>
              <w:rPr>
                <w:rFonts w:hint="eastAsia" w:ascii="宋体" w:hAnsi="宋体" w:eastAsia="宋体" w:cs="宋体"/>
                <w:color w:val="000000" w:themeColor="text1"/>
                <w:kern w:val="0"/>
                <w:sz w:val="21"/>
                <w:szCs w:val="21"/>
                <w14:textFill>
                  <w14:solidFill>
                    <w14:schemeClr w14:val="tx1"/>
                  </w14:solidFill>
                </w14:textFill>
              </w:rPr>
              <w:t>工业防护栏杆及钢平台</w:t>
            </w:r>
            <w:r>
              <w:rPr>
                <w:rFonts w:hint="eastAsia" w:ascii="宋体" w:hAnsi="宋体" w:eastAsia="宋体" w:cs="宋体"/>
                <w:color w:val="000000" w:themeColor="text1"/>
                <w:sz w:val="21"/>
                <w:szCs w:val="21"/>
                <w14:textFill>
                  <w14:solidFill>
                    <w14:schemeClr w14:val="tx1"/>
                  </w14:solidFill>
                </w14:textFill>
              </w:rPr>
              <w:t>》</w:t>
            </w:r>
          </w:p>
          <w:p w14:paraId="77F52FF1">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Style w:val="55"/>
                <w:rFonts w:hint="eastAsia" w:ascii="宋体" w:hAnsi="宋体" w:eastAsia="宋体" w:cs="宋体"/>
                <w:b w:val="0"/>
                <w:color w:val="000000" w:themeColor="text1"/>
                <w:sz w:val="21"/>
                <w:szCs w:val="21"/>
                <w14:textFill>
                  <w14:solidFill>
                    <w14:schemeClr w14:val="tx1"/>
                  </w14:solidFill>
                </w14:textFill>
              </w:rPr>
              <w:t>（GB 4053.3-2009）</w:t>
            </w:r>
          </w:p>
          <w:p w14:paraId="070DC9DF">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第4.6.2条</w:t>
            </w:r>
          </w:p>
        </w:tc>
        <w:tc>
          <w:tcPr>
            <w:tcW w:w="1808" w:type="dxa"/>
            <w:vAlign w:val="center"/>
          </w:tcPr>
          <w:p w14:paraId="45E79D9E">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项目的防护栏杆和钢平台进行了防腐涂装。</w:t>
            </w:r>
          </w:p>
        </w:tc>
        <w:tc>
          <w:tcPr>
            <w:tcW w:w="806" w:type="dxa"/>
            <w:vAlign w:val="center"/>
          </w:tcPr>
          <w:p w14:paraId="51229243">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F78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8970" w:type="dxa"/>
            <w:gridSpan w:val="5"/>
            <w:vAlign w:val="center"/>
          </w:tcPr>
          <w:p w14:paraId="1976F8A9">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机械设备防护装置</w:t>
            </w:r>
          </w:p>
        </w:tc>
      </w:tr>
      <w:tr w14:paraId="44992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61A2B34F">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3711696A">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在设计和应用防护装置时，应适当考虑在机器整个预期寿命期间的运行和可预见的机器环境方面的因素。对这些方面的考虑不当可能导致不安全或机器不能运行，以致人为的使防护装置失效，从而使人员暴露在更大的风险中。</w:t>
            </w:r>
          </w:p>
        </w:tc>
        <w:tc>
          <w:tcPr>
            <w:tcW w:w="2271" w:type="dxa"/>
            <w:vAlign w:val="center"/>
          </w:tcPr>
          <w:p w14:paraId="294DAA44">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《机械安全防护装置固定式和活动式防护装置的设计与制造一般要求》</w:t>
            </w:r>
          </w:p>
          <w:p w14:paraId="5A29468F">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5F82289D">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第5.1.1条</w:t>
            </w:r>
          </w:p>
        </w:tc>
        <w:tc>
          <w:tcPr>
            <w:tcW w:w="1808" w:type="dxa"/>
            <w:vAlign w:val="center"/>
          </w:tcPr>
          <w:p w14:paraId="2B1F626E">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该项目的采用的防护装置均考虑了相关的因素。</w:t>
            </w:r>
          </w:p>
        </w:tc>
        <w:tc>
          <w:tcPr>
            <w:tcW w:w="806" w:type="dxa"/>
            <w:vAlign w:val="center"/>
          </w:tcPr>
          <w:p w14:paraId="732F71F9">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E65F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33FF0140">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6623A0C0">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在可行时,为尽可能减少进入危险区,防护装置和机械的设计应使得不用打开或拆卸防护装置就可进行例行的调整、润滑和维护。</w:t>
            </w:r>
          </w:p>
          <w:p w14:paraId="1BEF1724">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如果需要进入被防护区域，则应尽可能做到可自由、畅通无阻地进入。</w:t>
            </w:r>
          </w:p>
        </w:tc>
        <w:tc>
          <w:tcPr>
            <w:tcW w:w="2271" w:type="dxa"/>
            <w:vAlign w:val="center"/>
          </w:tcPr>
          <w:p w14:paraId="08D7A042">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《机械安全防护装置固定式和活动式防护装置的设计与制造一般要求》</w:t>
            </w:r>
          </w:p>
          <w:p w14:paraId="149A0150">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34DC298F">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第5.1.2条</w:t>
            </w:r>
          </w:p>
        </w:tc>
        <w:tc>
          <w:tcPr>
            <w:tcW w:w="1808" w:type="dxa"/>
            <w:vAlign w:val="center"/>
          </w:tcPr>
          <w:p w14:paraId="64B5374D">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该项目的防护装置符合相关的要求。</w:t>
            </w:r>
          </w:p>
        </w:tc>
        <w:tc>
          <w:tcPr>
            <w:tcW w:w="806" w:type="dxa"/>
            <w:vAlign w:val="center"/>
          </w:tcPr>
          <w:p w14:paraId="7694BE3A">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DC52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8FC9541">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47CA0631">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对于用于防止进入危险区的防护装置，其设计、制造和定位应满足 ISO 13857，以防止人体各部位触及危险区。对联锁活动式防护装置，还应满足ISO 13855 的安全距离。</w:t>
            </w:r>
          </w:p>
        </w:tc>
        <w:tc>
          <w:tcPr>
            <w:tcW w:w="2271" w:type="dxa"/>
            <w:vAlign w:val="center"/>
          </w:tcPr>
          <w:p w14:paraId="1B4DB4FE">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《机械安全防护装置固定式和活动式防护装置的设计与制造一般要求》</w:t>
            </w:r>
          </w:p>
          <w:p w14:paraId="55525814">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5ADCF6B6">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第5.2.2条</w:t>
            </w:r>
          </w:p>
        </w:tc>
        <w:tc>
          <w:tcPr>
            <w:tcW w:w="1808" w:type="dxa"/>
            <w:vAlign w:val="center"/>
          </w:tcPr>
          <w:p w14:paraId="2B7FAD1B">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该项目的防护装置符合相关的要求。</w:t>
            </w:r>
          </w:p>
        </w:tc>
        <w:tc>
          <w:tcPr>
            <w:tcW w:w="806" w:type="dxa"/>
            <w:vAlign w:val="center"/>
          </w:tcPr>
          <w:p w14:paraId="0125717B">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F567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D6E2E93">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1D518881">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连接牢固性：焊接、粘接或机械式紧固连接应有足够的强度，以承受正常的可预见的载荷。在使用粘接剂的场合，应使其与所采用的工艺和使用的材料相匹配。在使用机械紧固件的场合，其强度、数量和位置应足以保证防护装置的稳定性和刚度。</w:t>
            </w:r>
          </w:p>
        </w:tc>
        <w:tc>
          <w:tcPr>
            <w:tcW w:w="2271" w:type="dxa"/>
            <w:vAlign w:val="center"/>
          </w:tcPr>
          <w:p w14:paraId="738DB5F4">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《机械安全防护装置固定式和活动式防护装置的设计与制造一般要求》</w:t>
            </w:r>
          </w:p>
          <w:p w14:paraId="2F9C7B4C">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2E5EA35B">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第5.3.8条</w:t>
            </w:r>
          </w:p>
        </w:tc>
        <w:tc>
          <w:tcPr>
            <w:tcW w:w="1808" w:type="dxa"/>
            <w:vAlign w:val="center"/>
          </w:tcPr>
          <w:p w14:paraId="292E4542">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该项目防护装置连接牢固性基本符合要求，现场检查时未发现明显缺陷。</w:t>
            </w:r>
          </w:p>
        </w:tc>
        <w:tc>
          <w:tcPr>
            <w:tcW w:w="806" w:type="dxa"/>
            <w:vAlign w:val="center"/>
          </w:tcPr>
          <w:p w14:paraId="2A8EDD8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2A87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47E60EE7">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531E96B5">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只能用工具拆卸：防护装置的可拆卸部件应只能借助工具才可以拆卸。</w:t>
            </w:r>
          </w:p>
        </w:tc>
        <w:tc>
          <w:tcPr>
            <w:tcW w:w="2271" w:type="dxa"/>
            <w:vAlign w:val="center"/>
          </w:tcPr>
          <w:p w14:paraId="14ED2B4A">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《机械安全防护装置固定式和活动式防护装置的设计与制造一般要求》</w:t>
            </w:r>
          </w:p>
          <w:p w14:paraId="1F8DE85D">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1BFC1985">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第5.3.9条</w:t>
            </w:r>
          </w:p>
        </w:tc>
        <w:tc>
          <w:tcPr>
            <w:tcW w:w="1808" w:type="dxa"/>
            <w:vAlign w:val="center"/>
          </w:tcPr>
          <w:p w14:paraId="1DE9EE69">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该项目防护装置可拆卸部件设计符合相关要求。</w:t>
            </w:r>
          </w:p>
        </w:tc>
        <w:tc>
          <w:tcPr>
            <w:tcW w:w="806" w:type="dxa"/>
            <w:vAlign w:val="center"/>
          </w:tcPr>
          <w:p w14:paraId="529E5F7E">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DAC4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13EB934">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13FB3FCC">
            <w:pPr>
              <w:tabs>
                <w:tab w:val="left" w:pos="2898"/>
              </w:tabs>
              <w:autoSpaceDE w:val="0"/>
              <w:autoSpaceDN w:val="0"/>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对于带轮、传动带、齿轮、齿条齿轮和传动轴等运动的传动部件产生的危险,应采用固定式防护装置或联锁的活动式防护装置进行防护。</w:t>
            </w:r>
          </w:p>
        </w:tc>
        <w:tc>
          <w:tcPr>
            <w:tcW w:w="2271" w:type="dxa"/>
            <w:vAlign w:val="center"/>
          </w:tcPr>
          <w:p w14:paraId="459BA258">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《机械安全防护装置固定式和活动式防护装置的设计与制造一般要求》</w:t>
            </w:r>
          </w:p>
          <w:p w14:paraId="2A616319">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133818FE">
            <w:pPr>
              <w:tabs>
                <w:tab w:val="left" w:pos="2898"/>
              </w:tabs>
              <w:autoSpaceDE w:val="0"/>
              <w:autoSpaceDN w:val="0"/>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第6.4.2条</w:t>
            </w:r>
          </w:p>
        </w:tc>
        <w:tc>
          <w:tcPr>
            <w:tcW w:w="1808" w:type="dxa"/>
            <w:vAlign w:val="center"/>
          </w:tcPr>
          <w:p w14:paraId="6EE40C85">
            <w:pPr>
              <w:tabs>
                <w:tab w:val="left" w:pos="2898"/>
              </w:tabs>
              <w:autoSpaceDE w:val="0"/>
              <w:autoSpaceDN w:val="0"/>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该项目的转动或传动机械设备部位设置了机械防护装置。</w:t>
            </w:r>
          </w:p>
        </w:tc>
        <w:tc>
          <w:tcPr>
            <w:tcW w:w="806" w:type="dxa"/>
            <w:vAlign w:val="center"/>
          </w:tcPr>
          <w:p w14:paraId="41BF23F5">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ECFE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051F111F">
            <w:pPr>
              <w:numPr>
                <w:ilvl w:val="0"/>
                <w:numId w:val="14"/>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393E1BC0">
            <w:pPr>
              <w:tabs>
                <w:tab w:val="left" w:pos="2898"/>
              </w:tabs>
              <w:autoSpaceDE w:val="0"/>
              <w:autoSpaceDN w:val="0"/>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车间的地面应平坦、不打滑。</w:t>
            </w:r>
          </w:p>
        </w:tc>
        <w:tc>
          <w:tcPr>
            <w:tcW w:w="2271" w:type="dxa"/>
            <w:vAlign w:val="center"/>
          </w:tcPr>
          <w:p w14:paraId="311CC757">
            <w:pPr>
              <w:tabs>
                <w:tab w:val="left" w:pos="2898"/>
              </w:tabs>
              <w:autoSpaceDE w:val="0"/>
              <w:autoSpaceDN w:val="0"/>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《机械工业职业安全卫生设计规范》</w:t>
            </w:r>
            <w:r>
              <w:rPr>
                <w:rFonts w:hint="eastAsia" w:ascii="宋体" w:hAnsi="宋体" w:eastAsia="宋体" w:cs="宋体"/>
                <w:color w:val="000000" w:themeColor="text1"/>
                <w:kern w:val="0"/>
                <w:sz w:val="21"/>
                <w:szCs w:val="21"/>
                <w14:textFill>
                  <w14:solidFill>
                    <w14:schemeClr w14:val="tx1"/>
                  </w14:solidFill>
                </w14:textFill>
              </w:rPr>
              <w:br w:type="textWrapping"/>
            </w:r>
            <w:r>
              <w:rPr>
                <w:rFonts w:hint="eastAsia" w:ascii="宋体" w:hAnsi="宋体" w:eastAsia="宋体" w:cs="宋体"/>
                <w:color w:val="000000" w:themeColor="text1"/>
                <w:kern w:val="0"/>
                <w:sz w:val="21"/>
                <w:szCs w:val="21"/>
                <w14:textFill>
                  <w14:solidFill>
                    <w14:schemeClr w14:val="tx1"/>
                  </w14:solidFill>
                </w14:textFill>
              </w:rPr>
              <w:t>（JBJ 18-2000）</w:t>
            </w:r>
          </w:p>
          <w:p w14:paraId="3402A8E0">
            <w:pPr>
              <w:tabs>
                <w:tab w:val="left" w:pos="2898"/>
              </w:tabs>
              <w:autoSpaceDE w:val="0"/>
              <w:autoSpaceDN w:val="0"/>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第3.1.4条</w:t>
            </w:r>
          </w:p>
        </w:tc>
        <w:tc>
          <w:tcPr>
            <w:tcW w:w="1808" w:type="dxa"/>
            <w:vAlign w:val="center"/>
          </w:tcPr>
          <w:p w14:paraId="6FE01E2A">
            <w:pPr>
              <w:tabs>
                <w:tab w:val="left" w:pos="2898"/>
              </w:tabs>
              <w:autoSpaceDE w:val="0"/>
              <w:autoSpaceDN w:val="0"/>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该项目车间地面平坦、不打滑。</w:t>
            </w:r>
          </w:p>
        </w:tc>
        <w:tc>
          <w:tcPr>
            <w:tcW w:w="806" w:type="dxa"/>
            <w:vAlign w:val="center"/>
          </w:tcPr>
          <w:p w14:paraId="3AD7F5E7">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16E8BEE7">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747" w:name="_Toc5797"/>
      <w:bookmarkStart w:id="748" w:name="_Toc5267"/>
      <w:bookmarkStart w:id="749" w:name="_Toc16943"/>
      <w:bookmarkStart w:id="750" w:name="_Toc11877"/>
      <w:bookmarkStart w:id="751" w:name="_Toc11760"/>
      <w:bookmarkStart w:id="752" w:name="_Toc61474472"/>
      <w:bookmarkStart w:id="753" w:name="_Toc30001449"/>
      <w:r>
        <w:rPr>
          <w:rFonts w:hint="eastAsia" w:ascii="宋体" w:hAnsi="宋体" w:eastAsia="宋体" w:cs="宋体"/>
          <w:color w:val="000000" w:themeColor="text1"/>
          <w:lang w:val="en-US" w:eastAsia="zh-CN"/>
          <w14:textFill>
            <w14:solidFill>
              <w14:schemeClr w14:val="tx1"/>
            </w14:solidFill>
          </w14:textFill>
        </w:rPr>
        <w:t>5.3.2防雷、防静电安全评价子单元安全检查表</w:t>
      </w:r>
      <w:bookmarkEnd w:id="747"/>
      <w:bookmarkEnd w:id="748"/>
      <w:bookmarkEnd w:id="749"/>
      <w:bookmarkEnd w:id="750"/>
    </w:p>
    <w:p w14:paraId="79F07344">
      <w:pPr>
        <w:spacing w:line="500" w:lineRule="exact"/>
        <w:ind w:firstLine="560" w:firstLineChars="200"/>
        <w:jc w:val="left"/>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根据</w:t>
      </w:r>
      <w:r>
        <w:rPr>
          <w:rFonts w:hint="eastAsia" w:ascii="宋体" w:hAnsi="宋体" w:eastAsia="宋体" w:cs="宋体"/>
          <w:color w:val="000000" w:themeColor="text1"/>
          <w:kern w:val="0"/>
          <w:sz w:val="28"/>
          <w:szCs w:val="28"/>
          <w14:textFill>
            <w14:solidFill>
              <w14:schemeClr w14:val="tx1"/>
            </w14:solidFill>
          </w14:textFill>
        </w:rPr>
        <w:t>《建筑物防雷设计规范》（</w:t>
      </w:r>
      <w:r>
        <w:rPr>
          <w:rFonts w:hint="eastAsia" w:ascii="宋体" w:hAnsi="宋体" w:eastAsia="宋体" w:cs="宋体"/>
          <w:color w:val="000000" w:themeColor="text1"/>
          <w:kern w:val="0"/>
          <w:sz w:val="28"/>
          <w:szCs w:val="28"/>
          <w14:textFill>
            <w14:solidFill>
              <w14:schemeClr w14:val="tx1"/>
            </w14:solidFill>
          </w14:textFill>
        </w:rPr>
        <w:t>GB50057-2010</w:t>
      </w:r>
      <w:r>
        <w:rPr>
          <w:rFonts w:hint="eastAsia" w:ascii="宋体" w:hAnsi="宋体" w:eastAsia="宋体" w:cs="宋体"/>
          <w:color w:val="000000" w:themeColor="text1"/>
          <w:kern w:val="0"/>
          <w:sz w:val="28"/>
          <w:szCs w:val="28"/>
          <w14:textFill>
            <w14:solidFill>
              <w14:schemeClr w14:val="tx1"/>
            </w14:solidFill>
          </w14:textFill>
        </w:rPr>
        <w:t>）、《生产设备安全卫生设计总则》（GB5083-2023）、《防止静电事故通用导则》（</w:t>
      </w:r>
      <w:r>
        <w:rPr>
          <w:rFonts w:hint="eastAsia" w:ascii="宋体" w:hAnsi="宋体" w:eastAsia="宋体" w:cs="宋体"/>
          <w:color w:val="000000" w:themeColor="text1"/>
          <w:kern w:val="0"/>
          <w:sz w:val="28"/>
          <w:szCs w:val="28"/>
          <w14:textFill>
            <w14:solidFill>
              <w14:schemeClr w14:val="tx1"/>
            </w14:solidFill>
          </w14:textFill>
        </w:rPr>
        <w:t>GB12158-2006</w:t>
      </w:r>
      <w:r>
        <w:rPr>
          <w:rFonts w:hint="eastAsia" w:ascii="宋体" w:hAnsi="宋体" w:eastAsia="宋体" w:cs="宋体"/>
          <w:color w:val="000000" w:themeColor="text1"/>
          <w:kern w:val="0"/>
          <w:sz w:val="28"/>
          <w:szCs w:val="28"/>
          <w14:textFill>
            <w14:solidFill>
              <w14:schemeClr w14:val="tx1"/>
            </w14:solidFill>
          </w14:textFill>
        </w:rPr>
        <w:t>）</w:t>
      </w:r>
      <w:r>
        <w:rPr>
          <w:rFonts w:hint="eastAsia" w:ascii="宋体" w:hAnsi="宋体" w:eastAsia="宋体" w:cs="宋体"/>
          <w:color w:val="000000" w:themeColor="text1"/>
          <w:kern w:val="0"/>
          <w:sz w:val="28"/>
          <w:szCs w:val="28"/>
          <w14:textFill>
            <w14:solidFill>
              <w14:schemeClr w14:val="tx1"/>
            </w14:solidFill>
          </w14:textFill>
        </w:rPr>
        <w:t>等标准、规范要求，对该项目区的防雷、防静电设施进行安全评价，具体情况见下表5-</w:t>
      </w:r>
      <w:r>
        <w:rPr>
          <w:rFonts w:hint="eastAsia" w:ascii="宋体" w:hAnsi="宋体" w:eastAsia="宋体" w:cs="宋体"/>
          <w:color w:val="000000" w:themeColor="text1"/>
          <w:kern w:val="0"/>
          <w:sz w:val="28"/>
          <w:szCs w:val="28"/>
          <w:lang w:val="en-US" w:eastAsia="zh-CN"/>
          <w14:textFill>
            <w14:solidFill>
              <w14:schemeClr w14:val="tx1"/>
            </w14:solidFill>
          </w14:textFill>
        </w:rPr>
        <w:t>5</w:t>
      </w:r>
      <w:r>
        <w:rPr>
          <w:rFonts w:hint="eastAsia" w:ascii="宋体" w:hAnsi="宋体" w:eastAsia="宋体" w:cs="宋体"/>
          <w:color w:val="000000" w:themeColor="text1"/>
          <w:kern w:val="0"/>
          <w:sz w:val="28"/>
          <w:szCs w:val="28"/>
          <w14:textFill>
            <w14:solidFill>
              <w14:schemeClr w14:val="tx1"/>
            </w14:solidFill>
          </w14:textFill>
        </w:rPr>
        <w:t>所示。</w:t>
      </w:r>
    </w:p>
    <w:p w14:paraId="1882DF42">
      <w:pPr>
        <w:pStyle w:val="31"/>
        <w:autoSpaceDE w:val="0"/>
        <w:autoSpaceDN w:val="0"/>
        <w:adjustRightInd w:val="0"/>
        <w:snapToGrid w:val="0"/>
        <w:spacing w:after="0" w:line="500" w:lineRule="exact"/>
        <w:ind w:left="0" w:leftChars="0" w:firstLine="482" w:firstLineChars="200"/>
        <w:jc w:val="center"/>
        <w:rPr>
          <w:rFonts w:hint="eastAsia" w:ascii="宋体" w:hAnsi="宋体" w:eastAsia="宋体" w:cs="宋体"/>
          <w:snapToGrid w:val="0"/>
          <w:color w:val="000000" w:themeColor="text1"/>
          <w:kern w:val="0"/>
          <w:sz w:val="24"/>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表5-</w:t>
      </w:r>
      <w:r>
        <w:rPr>
          <w:rFonts w:hint="eastAsia" w:ascii="宋体" w:hAnsi="宋体" w:eastAsia="宋体" w:cs="宋体"/>
          <w:b/>
          <w:bCs/>
          <w:color w:val="000000" w:themeColor="text1"/>
          <w:szCs w:val="21"/>
          <w:lang w:val="en-US" w:eastAsia="zh-CN"/>
          <w14:textFill>
            <w14:solidFill>
              <w14:schemeClr w14:val="tx1"/>
            </w14:solidFill>
          </w14:textFill>
        </w:rPr>
        <w:t xml:space="preserve">5 </w:t>
      </w:r>
      <w:r>
        <w:rPr>
          <w:rFonts w:hint="eastAsia" w:ascii="宋体" w:hAnsi="宋体" w:eastAsia="宋体" w:cs="宋体"/>
          <w:b/>
          <w:bCs/>
          <w:color w:val="000000" w:themeColor="text1"/>
          <w:szCs w:val="21"/>
          <w14:textFill>
            <w14:solidFill>
              <w14:schemeClr w14:val="tx1"/>
            </w14:solidFill>
          </w14:textFill>
        </w:rPr>
        <w:t>防雷、防静电设施安全检查表</w:t>
      </w:r>
    </w:p>
    <w:tbl>
      <w:tblPr>
        <w:tblStyle w:val="52"/>
        <w:tblW w:w="9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1"/>
        <w:gridCol w:w="2316"/>
        <w:gridCol w:w="1843"/>
        <w:gridCol w:w="3449"/>
        <w:gridCol w:w="1228"/>
      </w:tblGrid>
      <w:tr w14:paraId="0F51B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21" w:type="dxa"/>
            <w:vAlign w:val="center"/>
          </w:tcPr>
          <w:p w14:paraId="6FBB9BA6">
            <w:pPr>
              <w:autoSpaceDE w:val="0"/>
              <w:autoSpaceDN w:val="0"/>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2316" w:type="dxa"/>
            <w:vAlign w:val="center"/>
          </w:tcPr>
          <w:p w14:paraId="0B4F23BF">
            <w:pPr>
              <w:autoSpaceDE w:val="0"/>
              <w:autoSpaceDN w:val="0"/>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检查内容</w:t>
            </w:r>
          </w:p>
        </w:tc>
        <w:tc>
          <w:tcPr>
            <w:tcW w:w="1843" w:type="dxa"/>
            <w:vAlign w:val="center"/>
          </w:tcPr>
          <w:p w14:paraId="761B1459">
            <w:pPr>
              <w:autoSpaceDE w:val="0"/>
              <w:autoSpaceDN w:val="0"/>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检查依据</w:t>
            </w:r>
          </w:p>
        </w:tc>
        <w:tc>
          <w:tcPr>
            <w:tcW w:w="3449" w:type="dxa"/>
            <w:vAlign w:val="center"/>
          </w:tcPr>
          <w:p w14:paraId="07E8A2DB">
            <w:pPr>
              <w:autoSpaceDE w:val="0"/>
              <w:autoSpaceDN w:val="0"/>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检查记录</w:t>
            </w:r>
          </w:p>
        </w:tc>
        <w:tc>
          <w:tcPr>
            <w:tcW w:w="1228" w:type="dxa"/>
            <w:vAlign w:val="center"/>
          </w:tcPr>
          <w:p w14:paraId="02BC5D3D">
            <w:pPr>
              <w:autoSpaceDE w:val="0"/>
              <w:autoSpaceDN w:val="0"/>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检查结果</w:t>
            </w:r>
          </w:p>
        </w:tc>
      </w:tr>
      <w:tr w14:paraId="0434E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21" w:type="dxa"/>
            <w:vAlign w:val="center"/>
          </w:tcPr>
          <w:p w14:paraId="4C01E291">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2316" w:type="dxa"/>
            <w:vAlign w:val="center"/>
          </w:tcPr>
          <w:p w14:paraId="7F5DB0E9">
            <w:pPr>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可能遭受雷击的生产设备，应有防雷等措施</w:t>
            </w:r>
            <w:r>
              <w:rPr>
                <w:rFonts w:hint="eastAsia" w:ascii="宋体" w:hAnsi="宋体" w:eastAsia="宋体" w:cs="宋体"/>
                <w:color w:val="000000" w:themeColor="text1"/>
                <w:sz w:val="21"/>
                <w:szCs w:val="21"/>
                <w14:textFill>
                  <w14:solidFill>
                    <w14:schemeClr w14:val="tx1"/>
                  </w14:solidFill>
                </w14:textFill>
              </w:rPr>
              <w:t>。</w:t>
            </w:r>
          </w:p>
        </w:tc>
        <w:tc>
          <w:tcPr>
            <w:tcW w:w="1843" w:type="dxa"/>
            <w:vAlign w:val="center"/>
          </w:tcPr>
          <w:p w14:paraId="4858CB7D">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w:t>
            </w:r>
          </w:p>
          <w:p w14:paraId="1183432B">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GB5083-2023</w:t>
            </w:r>
            <w:r>
              <w:rPr>
                <w:rFonts w:hint="eastAsia" w:ascii="宋体" w:hAnsi="宋体" w:eastAsia="宋体" w:cs="宋体"/>
                <w:color w:val="000000" w:themeColor="text1"/>
                <w:sz w:val="21"/>
                <w:szCs w:val="21"/>
                <w14:textFill>
                  <w14:solidFill>
                    <w14:schemeClr w14:val="tx1"/>
                  </w14:solidFill>
                </w14:textFill>
              </w:rPr>
              <w:t>）</w:t>
            </w:r>
          </w:p>
          <w:p w14:paraId="73B48A68">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第6.1</w:t>
            </w:r>
            <w:r>
              <w:rPr>
                <w:rFonts w:hint="eastAsia" w:ascii="宋体" w:hAnsi="宋体" w:eastAsia="宋体" w:cs="宋体"/>
                <w:color w:val="000000" w:themeColor="text1"/>
                <w:sz w:val="21"/>
                <w:szCs w:val="21"/>
                <w14:textFill>
                  <w14:solidFill>
                    <w14:schemeClr w14:val="tx1"/>
                  </w14:solidFill>
                </w14:textFill>
              </w:rPr>
              <w:t>0.1</w:t>
            </w:r>
            <w:r>
              <w:rPr>
                <w:rFonts w:hint="eastAsia" w:ascii="宋体" w:hAnsi="宋体" w:eastAsia="宋体" w:cs="宋体"/>
                <w:color w:val="000000" w:themeColor="text1"/>
                <w:sz w:val="21"/>
                <w:szCs w:val="21"/>
                <w14:textFill>
                  <w14:solidFill>
                    <w14:schemeClr w14:val="tx1"/>
                  </w14:solidFill>
                </w14:textFill>
              </w:rPr>
              <w:t>条</w:t>
            </w:r>
          </w:p>
        </w:tc>
        <w:tc>
          <w:tcPr>
            <w:tcW w:w="3449" w:type="dxa"/>
            <w:vAlign w:val="center"/>
          </w:tcPr>
          <w:p w14:paraId="702EA40D">
            <w:pPr>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本项目防雷接地设施于202</w:t>
            </w:r>
            <w:r>
              <w:rPr>
                <w:rFonts w:hint="eastAsia" w:ascii="宋体" w:hAnsi="宋体" w:eastAsia="宋体" w:cs="宋体"/>
                <w:color w:val="000000" w:themeColor="text1"/>
                <w:sz w:val="21"/>
                <w:szCs w:val="21"/>
                <w:lang w:val="en-US" w:eastAsia="zh-CN"/>
                <w14:textFill>
                  <w14:solidFill>
                    <w14:schemeClr w14:val="tx1"/>
                  </w14:solidFill>
                </w14:textFill>
              </w:rPr>
              <w:t>4</w:t>
            </w:r>
            <w:r>
              <w:rPr>
                <w:rFonts w:hint="eastAsia" w:ascii="宋体" w:hAnsi="宋体" w:eastAsia="宋体" w:cs="宋体"/>
                <w:color w:val="000000" w:themeColor="text1"/>
                <w:sz w:val="21"/>
                <w:szCs w:val="21"/>
                <w14:textFill>
                  <w14:solidFill>
                    <w14:schemeClr w14:val="tx1"/>
                  </w14:solidFill>
                </w14:textFill>
              </w:rPr>
              <w:t>年</w:t>
            </w:r>
            <w:r>
              <w:rPr>
                <w:rFonts w:hint="eastAsia" w:ascii="宋体" w:hAnsi="宋体" w:eastAsia="宋体" w:cs="宋体"/>
                <w:color w:val="000000" w:themeColor="text1"/>
                <w:sz w:val="21"/>
                <w:szCs w:val="21"/>
                <w:lang w:val="en-US" w:eastAsia="zh-CN"/>
                <w14:textFill>
                  <w14:solidFill>
                    <w14:schemeClr w14:val="tx1"/>
                  </w14:solidFill>
                </w14:textFill>
              </w:rPr>
              <w:t>11</w:t>
            </w:r>
            <w:r>
              <w:rPr>
                <w:rFonts w:hint="eastAsia" w:ascii="宋体" w:hAnsi="宋体" w:eastAsia="宋体" w:cs="宋体"/>
                <w:color w:val="000000" w:themeColor="text1"/>
                <w:sz w:val="21"/>
                <w:szCs w:val="21"/>
                <w14:textFill>
                  <w14:solidFill>
                    <w14:schemeClr w14:val="tx1"/>
                  </w14:solidFill>
                </w14:textFill>
              </w:rPr>
              <w:t>月</w:t>
            </w:r>
            <w:r>
              <w:rPr>
                <w:rFonts w:hint="eastAsia" w:ascii="宋体" w:hAnsi="宋体" w:eastAsia="宋体" w:cs="宋体"/>
                <w:color w:val="000000" w:themeColor="text1"/>
                <w:sz w:val="21"/>
                <w:szCs w:val="21"/>
                <w:lang w:val="en-US" w:eastAsia="zh-CN"/>
                <w14:textFill>
                  <w14:solidFill>
                    <w14:schemeClr w14:val="tx1"/>
                  </w14:solidFill>
                </w14:textFill>
              </w:rPr>
              <w:t>04</w:t>
            </w:r>
            <w:r>
              <w:rPr>
                <w:rFonts w:hint="eastAsia" w:ascii="宋体" w:hAnsi="宋体" w:eastAsia="宋体" w:cs="宋体"/>
                <w:color w:val="000000" w:themeColor="text1"/>
                <w:sz w:val="21"/>
                <w:szCs w:val="21"/>
                <w14:textFill>
                  <w14:solidFill>
                    <w14:schemeClr w14:val="tx1"/>
                  </w14:solidFill>
                </w14:textFill>
              </w:rPr>
              <w:t>日</w:t>
            </w:r>
            <w:r>
              <w:rPr>
                <w:rFonts w:hint="eastAsia" w:ascii="宋体" w:hAnsi="宋体" w:eastAsia="宋体" w:cs="宋体"/>
                <w:color w:val="000000" w:themeColor="text1"/>
                <w:sz w:val="21"/>
                <w:szCs w:val="21"/>
                <w:lang w:val="en-US" w:eastAsia="zh-CN"/>
                <w14:textFill>
                  <w14:solidFill>
                    <w14:schemeClr w14:val="tx1"/>
                  </w14:solidFill>
                </w14:textFill>
              </w:rPr>
              <w:t>由云南标普电气检测技术有限公司</w:t>
            </w:r>
            <w:r>
              <w:rPr>
                <w:rFonts w:hint="eastAsia" w:ascii="宋体" w:hAnsi="宋体" w:eastAsia="宋体" w:cs="宋体"/>
                <w:color w:val="000000" w:themeColor="text1"/>
                <w:sz w:val="21"/>
                <w:szCs w:val="21"/>
                <w14:textFill>
                  <w14:solidFill>
                    <w14:schemeClr w14:val="tx1"/>
                  </w14:solidFill>
                </w14:textFill>
              </w:rPr>
              <w:t>检测完成</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检测结果均为合格，有效</w:t>
            </w:r>
            <w:r>
              <w:rPr>
                <w:rFonts w:hint="eastAsia" w:ascii="宋体" w:hAnsi="宋体" w:eastAsia="宋体" w:cs="宋体"/>
                <w:color w:val="000000" w:themeColor="text1"/>
                <w:sz w:val="21"/>
                <w:szCs w:val="21"/>
                <w:lang w:val="en-US" w:eastAsia="zh-CN"/>
                <w14:textFill>
                  <w14:solidFill>
                    <w14:schemeClr w14:val="tx1"/>
                  </w14:solidFill>
                </w14:textFill>
              </w:rPr>
              <w:t>期至：2025年11月03日，报告编号：（1252022002）[2024]0697号。</w:t>
            </w:r>
          </w:p>
        </w:tc>
        <w:tc>
          <w:tcPr>
            <w:tcW w:w="1228" w:type="dxa"/>
            <w:vAlign w:val="center"/>
          </w:tcPr>
          <w:p w14:paraId="485872B2">
            <w:pPr>
              <w:pStyle w:val="163"/>
              <w:widowControl w:val="0"/>
              <w:adjustRightInd/>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AAAB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521" w:type="dxa"/>
            <w:vAlign w:val="center"/>
          </w:tcPr>
          <w:p w14:paraId="7C85A758">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2316" w:type="dxa"/>
            <w:vAlign w:val="center"/>
          </w:tcPr>
          <w:p w14:paraId="2E71D960">
            <w:pPr>
              <w:autoSpaceDE w:val="0"/>
              <w:autoSpaceDN w:val="0"/>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各类防雷建构物应设防直击雷的外部防雷装置，并应采取防雷电电涌浸入措施。</w:t>
            </w:r>
          </w:p>
        </w:tc>
        <w:tc>
          <w:tcPr>
            <w:tcW w:w="1843" w:type="dxa"/>
            <w:vAlign w:val="center"/>
          </w:tcPr>
          <w:p w14:paraId="60ACFBD5">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《建筑物防雷设计规范》（GB50057-2010）</w:t>
            </w:r>
          </w:p>
          <w:p w14:paraId="674610EA">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第4.1.1条</w:t>
            </w:r>
          </w:p>
        </w:tc>
        <w:tc>
          <w:tcPr>
            <w:tcW w:w="3449" w:type="dxa"/>
            <w:vAlign w:val="center"/>
          </w:tcPr>
          <w:p w14:paraId="0603C87D">
            <w:pPr>
              <w:autoSpaceDE w:val="0"/>
              <w:autoSpaceDN w:val="0"/>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根据现场检查可知，该项目设置了防雷和防静电接地。</w:t>
            </w:r>
          </w:p>
        </w:tc>
        <w:tc>
          <w:tcPr>
            <w:tcW w:w="1228" w:type="dxa"/>
            <w:vAlign w:val="center"/>
          </w:tcPr>
          <w:p w14:paraId="5A2F10F7">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E37C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521" w:type="dxa"/>
            <w:vAlign w:val="center"/>
          </w:tcPr>
          <w:p w14:paraId="63556EBD">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2316" w:type="dxa"/>
            <w:vAlign w:val="center"/>
          </w:tcPr>
          <w:p w14:paraId="5F864603">
            <w:pPr>
              <w:autoSpaceDE w:val="0"/>
              <w:autoSpaceDN w:val="0"/>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各类防雷建构筑物应设置内部防雷装置。</w:t>
            </w:r>
          </w:p>
        </w:tc>
        <w:tc>
          <w:tcPr>
            <w:tcW w:w="1843" w:type="dxa"/>
            <w:vAlign w:val="center"/>
          </w:tcPr>
          <w:p w14:paraId="3D38DCDF">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《建筑物防雷设计规范》（GB50057-2010）</w:t>
            </w:r>
          </w:p>
          <w:p w14:paraId="497E338C">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第4.1.2条</w:t>
            </w:r>
          </w:p>
        </w:tc>
        <w:tc>
          <w:tcPr>
            <w:tcW w:w="3449" w:type="dxa"/>
            <w:vAlign w:val="center"/>
          </w:tcPr>
          <w:p w14:paraId="098C6837">
            <w:pPr>
              <w:autoSpaceDE w:val="0"/>
              <w:autoSpaceDN w:val="0"/>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构筑物已设置内部防雷装置。</w:t>
            </w:r>
          </w:p>
        </w:tc>
        <w:tc>
          <w:tcPr>
            <w:tcW w:w="1228" w:type="dxa"/>
            <w:vAlign w:val="center"/>
          </w:tcPr>
          <w:p w14:paraId="6A86BE19">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C0CA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521" w:type="dxa"/>
            <w:vAlign w:val="center"/>
          </w:tcPr>
          <w:p w14:paraId="4CE02FF5">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p>
        </w:tc>
        <w:tc>
          <w:tcPr>
            <w:tcW w:w="2316" w:type="dxa"/>
            <w:vAlign w:val="center"/>
          </w:tcPr>
          <w:p w14:paraId="4F9CAF75">
            <w:pPr>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在静电危险场所，所有属于静电导体的物体必须接地。对金属物体必须采用金属导体与大地做导通性连接，对金属以外的静电导体及亚导体则应间接接地。</w:t>
            </w:r>
          </w:p>
        </w:tc>
        <w:tc>
          <w:tcPr>
            <w:tcW w:w="1843" w:type="dxa"/>
            <w:vAlign w:val="center"/>
          </w:tcPr>
          <w:p w14:paraId="4903F318">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《防止静电事故通用导则》</w:t>
            </w:r>
          </w:p>
          <w:p w14:paraId="3791C685">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（GB12158-2006）</w:t>
            </w:r>
          </w:p>
          <w:p w14:paraId="6E79BE3F">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第6.1.2条</w:t>
            </w:r>
          </w:p>
        </w:tc>
        <w:tc>
          <w:tcPr>
            <w:tcW w:w="3449" w:type="dxa"/>
            <w:vAlign w:val="center"/>
          </w:tcPr>
          <w:p w14:paraId="4F84603C">
            <w:pPr>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本项目防雷接地设施于202</w:t>
            </w:r>
            <w:r>
              <w:rPr>
                <w:rFonts w:hint="eastAsia" w:ascii="宋体" w:hAnsi="宋体" w:eastAsia="宋体" w:cs="宋体"/>
                <w:color w:val="000000" w:themeColor="text1"/>
                <w:sz w:val="21"/>
                <w:szCs w:val="21"/>
                <w:lang w:val="en-US" w:eastAsia="zh-CN"/>
                <w14:textFill>
                  <w14:solidFill>
                    <w14:schemeClr w14:val="tx1"/>
                  </w14:solidFill>
                </w14:textFill>
              </w:rPr>
              <w:t>4</w:t>
            </w:r>
            <w:r>
              <w:rPr>
                <w:rFonts w:hint="eastAsia" w:ascii="宋体" w:hAnsi="宋体" w:eastAsia="宋体" w:cs="宋体"/>
                <w:color w:val="000000" w:themeColor="text1"/>
                <w:sz w:val="21"/>
                <w:szCs w:val="21"/>
                <w14:textFill>
                  <w14:solidFill>
                    <w14:schemeClr w14:val="tx1"/>
                  </w14:solidFill>
                </w14:textFill>
              </w:rPr>
              <w:t>年</w:t>
            </w:r>
            <w:r>
              <w:rPr>
                <w:rFonts w:hint="eastAsia" w:ascii="宋体" w:hAnsi="宋体" w:eastAsia="宋体" w:cs="宋体"/>
                <w:color w:val="000000" w:themeColor="text1"/>
                <w:sz w:val="21"/>
                <w:szCs w:val="21"/>
                <w:lang w:val="en-US" w:eastAsia="zh-CN"/>
                <w14:textFill>
                  <w14:solidFill>
                    <w14:schemeClr w14:val="tx1"/>
                  </w14:solidFill>
                </w14:textFill>
              </w:rPr>
              <w:t>11</w:t>
            </w:r>
            <w:r>
              <w:rPr>
                <w:rFonts w:hint="eastAsia" w:ascii="宋体" w:hAnsi="宋体" w:eastAsia="宋体" w:cs="宋体"/>
                <w:color w:val="000000" w:themeColor="text1"/>
                <w:sz w:val="21"/>
                <w:szCs w:val="21"/>
                <w14:textFill>
                  <w14:solidFill>
                    <w14:schemeClr w14:val="tx1"/>
                  </w14:solidFill>
                </w14:textFill>
              </w:rPr>
              <w:t>月</w:t>
            </w:r>
            <w:r>
              <w:rPr>
                <w:rFonts w:hint="eastAsia" w:ascii="宋体" w:hAnsi="宋体" w:eastAsia="宋体" w:cs="宋体"/>
                <w:color w:val="000000" w:themeColor="text1"/>
                <w:sz w:val="21"/>
                <w:szCs w:val="21"/>
                <w:lang w:val="en-US" w:eastAsia="zh-CN"/>
                <w14:textFill>
                  <w14:solidFill>
                    <w14:schemeClr w14:val="tx1"/>
                  </w14:solidFill>
                </w14:textFill>
              </w:rPr>
              <w:t>04</w:t>
            </w:r>
            <w:r>
              <w:rPr>
                <w:rFonts w:hint="eastAsia" w:ascii="宋体" w:hAnsi="宋体" w:eastAsia="宋体" w:cs="宋体"/>
                <w:color w:val="000000" w:themeColor="text1"/>
                <w:sz w:val="21"/>
                <w:szCs w:val="21"/>
                <w14:textFill>
                  <w14:solidFill>
                    <w14:schemeClr w14:val="tx1"/>
                  </w14:solidFill>
                </w14:textFill>
              </w:rPr>
              <w:t>日</w:t>
            </w:r>
            <w:r>
              <w:rPr>
                <w:rFonts w:hint="eastAsia" w:ascii="宋体" w:hAnsi="宋体" w:eastAsia="宋体" w:cs="宋体"/>
                <w:color w:val="000000" w:themeColor="text1"/>
                <w:sz w:val="21"/>
                <w:szCs w:val="21"/>
                <w:lang w:val="en-US" w:eastAsia="zh-CN"/>
                <w14:textFill>
                  <w14:solidFill>
                    <w14:schemeClr w14:val="tx1"/>
                  </w14:solidFill>
                </w14:textFill>
              </w:rPr>
              <w:t>由云南标普电气检测技术有限公司</w:t>
            </w:r>
            <w:r>
              <w:rPr>
                <w:rFonts w:hint="eastAsia" w:ascii="宋体" w:hAnsi="宋体" w:eastAsia="宋体" w:cs="宋体"/>
                <w:color w:val="000000" w:themeColor="text1"/>
                <w:sz w:val="21"/>
                <w:szCs w:val="21"/>
                <w14:textFill>
                  <w14:solidFill>
                    <w14:schemeClr w14:val="tx1"/>
                  </w14:solidFill>
                </w14:textFill>
              </w:rPr>
              <w:t>检测完成</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检测结果均为合格，有效</w:t>
            </w:r>
            <w:r>
              <w:rPr>
                <w:rFonts w:hint="eastAsia" w:ascii="宋体" w:hAnsi="宋体" w:eastAsia="宋体" w:cs="宋体"/>
                <w:color w:val="000000" w:themeColor="text1"/>
                <w:sz w:val="21"/>
                <w:szCs w:val="21"/>
                <w:lang w:val="en-US" w:eastAsia="zh-CN"/>
                <w14:textFill>
                  <w14:solidFill>
                    <w14:schemeClr w14:val="tx1"/>
                  </w14:solidFill>
                </w14:textFill>
              </w:rPr>
              <w:t>期至：2025年11月03日，报告编号：（1252022002）[2024]0697号。</w:t>
            </w:r>
          </w:p>
        </w:tc>
        <w:tc>
          <w:tcPr>
            <w:tcW w:w="1228" w:type="dxa"/>
            <w:vAlign w:val="center"/>
          </w:tcPr>
          <w:p w14:paraId="246CC6A0">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0B63CCFE">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754" w:name="_Toc22920"/>
      <w:bookmarkStart w:id="755" w:name="_Toc24965"/>
      <w:bookmarkStart w:id="756" w:name="_Toc28849"/>
      <w:bookmarkStart w:id="757" w:name="_Toc10208"/>
      <w:r>
        <w:rPr>
          <w:rFonts w:hint="eastAsia" w:ascii="宋体" w:hAnsi="宋体" w:eastAsia="宋体" w:cs="宋体"/>
          <w:color w:val="000000" w:themeColor="text1"/>
          <w:lang w:val="en-US" w:eastAsia="zh-CN"/>
          <w14:textFill>
            <w14:solidFill>
              <w14:schemeClr w14:val="tx1"/>
            </w14:solidFill>
          </w14:textFill>
        </w:rPr>
        <w:t>5.3.3单元评价小结</w:t>
      </w:r>
      <w:bookmarkEnd w:id="751"/>
      <w:bookmarkEnd w:id="752"/>
      <w:bookmarkEnd w:id="753"/>
      <w:bookmarkEnd w:id="754"/>
      <w:bookmarkEnd w:id="755"/>
      <w:bookmarkEnd w:id="756"/>
      <w:bookmarkEnd w:id="757"/>
    </w:p>
    <w:p w14:paraId="0EBBD26A">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安全检查表分析评价结果：该项目的安全防护设施符合《安全色》（GB2893-2008）、《安全标志及其使用导则》（GB2894-2008）、《机械安全防护装置固定式和活动式防护装置的设计与制造一般要求》（GB/T8196-2018）、《机械工业职业安全卫生设计规范》（JBJ18-2000）等国家相关标准、规范的规定和要求。</w:t>
      </w:r>
    </w:p>
    <w:p w14:paraId="665E2F35">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安全检查表分析评价结果</w:t>
      </w:r>
      <w:r>
        <w:rPr>
          <w:rFonts w:hint="eastAsia" w:ascii="宋体" w:hAnsi="宋体" w:eastAsia="宋体" w:cs="宋体"/>
          <w:color w:val="000000" w:themeColor="text1"/>
          <w:kern w:val="0"/>
          <w:sz w:val="28"/>
          <w:szCs w:val="28"/>
          <w14:textFill>
            <w14:solidFill>
              <w14:schemeClr w14:val="tx1"/>
            </w14:solidFill>
          </w14:textFill>
        </w:rPr>
        <w:t>：该项目防雷、防静电装置符合《建筑物防雷设计规范》（GB50057-2010）、《生产设备安全卫生设计总则》（GB5083-</w:t>
      </w:r>
      <w:r>
        <w:rPr>
          <w:rFonts w:hint="eastAsia" w:ascii="宋体" w:hAnsi="宋体" w:eastAsia="宋体" w:cs="宋体"/>
          <w:color w:val="000000" w:themeColor="text1"/>
          <w:kern w:val="0"/>
          <w:sz w:val="28"/>
          <w:szCs w:val="28"/>
          <w14:textFill>
            <w14:solidFill>
              <w14:schemeClr w14:val="tx1"/>
            </w14:solidFill>
          </w14:textFill>
        </w:rPr>
        <w:t>2023</w:t>
      </w:r>
      <w:r>
        <w:rPr>
          <w:rFonts w:hint="eastAsia" w:ascii="宋体" w:hAnsi="宋体" w:eastAsia="宋体" w:cs="宋体"/>
          <w:color w:val="000000" w:themeColor="text1"/>
          <w:kern w:val="0"/>
          <w:sz w:val="28"/>
          <w:szCs w:val="28"/>
          <w14:textFill>
            <w14:solidFill>
              <w14:schemeClr w14:val="tx1"/>
            </w14:solidFill>
          </w14:textFill>
        </w:rPr>
        <w:t>）</w:t>
      </w:r>
      <w:r>
        <w:rPr>
          <w:rFonts w:hint="eastAsia" w:ascii="宋体" w:hAnsi="宋体" w:eastAsia="宋体" w:cs="宋体"/>
          <w:color w:val="000000" w:themeColor="text1"/>
          <w:kern w:val="0"/>
          <w:sz w:val="28"/>
          <w:szCs w:val="28"/>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《防止静电事故通用导则》（</w:t>
      </w:r>
      <w:r>
        <w:rPr>
          <w:rFonts w:hint="eastAsia" w:ascii="宋体" w:hAnsi="宋体" w:eastAsia="宋体" w:cs="宋体"/>
          <w:color w:val="000000" w:themeColor="text1"/>
          <w:sz w:val="28"/>
          <w:szCs w:val="28"/>
          <w14:textFill>
            <w14:solidFill>
              <w14:schemeClr w14:val="tx1"/>
            </w14:solidFill>
          </w14:textFill>
        </w:rPr>
        <w:t>GB12158-2006</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kern w:val="0"/>
          <w:sz w:val="28"/>
          <w:szCs w:val="28"/>
          <w14:textFill>
            <w14:solidFill>
              <w14:schemeClr w14:val="tx1"/>
            </w14:solidFill>
          </w14:textFill>
        </w:rPr>
        <w:t>等标准、规范的要求</w:t>
      </w:r>
      <w:r>
        <w:rPr>
          <w:rFonts w:hint="eastAsia" w:ascii="宋体" w:hAnsi="宋体" w:eastAsia="宋体" w:cs="宋体"/>
          <w:color w:val="000000" w:themeColor="text1"/>
          <w:sz w:val="28"/>
          <w:szCs w:val="28"/>
          <w14:textFill>
            <w14:solidFill>
              <w14:schemeClr w14:val="tx1"/>
            </w14:solidFill>
          </w14:textFill>
        </w:rPr>
        <w:t>。</w:t>
      </w:r>
    </w:p>
    <w:bookmarkEnd w:id="693"/>
    <w:bookmarkEnd w:id="694"/>
    <w:bookmarkEnd w:id="698"/>
    <w:bookmarkEnd w:id="699"/>
    <w:p w14:paraId="3D2EEEEF">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758" w:name="_Toc4845"/>
      <w:bookmarkStart w:id="759" w:name="_Toc15595"/>
      <w:bookmarkStart w:id="760" w:name="_Toc13427"/>
      <w:bookmarkStart w:id="761" w:name="_Toc5881"/>
      <w:bookmarkStart w:id="762" w:name="_Toc313453596"/>
      <w:bookmarkStart w:id="763" w:name="_Toc11730"/>
      <w:bookmarkStart w:id="764" w:name="_Toc335926300"/>
      <w:bookmarkStart w:id="765" w:name="_Toc145775743"/>
      <w:bookmarkStart w:id="766" w:name="_Toc313493993"/>
      <w:r>
        <w:rPr>
          <w:rFonts w:hint="eastAsia" w:ascii="宋体" w:hAnsi="宋体" w:eastAsia="宋体" w:cs="宋体"/>
          <w:color w:val="000000" w:themeColor="text1"/>
          <w14:textFill>
            <w14:solidFill>
              <w14:schemeClr w14:val="tx1"/>
            </w14:solidFill>
          </w14:textFill>
        </w:rPr>
        <w:t>5.</w:t>
      </w:r>
      <w:r>
        <w:rPr>
          <w:rFonts w:hint="eastAsia" w:ascii="宋体" w:hAnsi="宋体" w:eastAsia="宋体" w:cs="宋体"/>
          <w:color w:val="000000" w:themeColor="text1"/>
          <w:lang w:val="en-US" w:eastAsia="zh-CN"/>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公用工程及辅助设施评价单元</w:t>
      </w:r>
      <w:bookmarkEnd w:id="758"/>
      <w:bookmarkEnd w:id="759"/>
      <w:bookmarkEnd w:id="760"/>
      <w:bookmarkEnd w:id="761"/>
    </w:p>
    <w:p w14:paraId="00773BD8">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767" w:name="_Toc27554"/>
      <w:bookmarkStart w:id="768" w:name="_Toc433009881"/>
      <w:bookmarkStart w:id="769" w:name="_Toc32325"/>
      <w:bookmarkStart w:id="770" w:name="_Toc278282327"/>
      <w:bookmarkStart w:id="771" w:name="_Toc211237913"/>
      <w:r>
        <w:rPr>
          <w:rFonts w:hint="eastAsia" w:ascii="宋体" w:hAnsi="宋体" w:eastAsia="宋体" w:cs="宋体"/>
          <w:color w:val="000000" w:themeColor="text1"/>
          <w:lang w:val="en-US" w:eastAsia="zh-CN"/>
          <w14:textFill>
            <w14:solidFill>
              <w14:schemeClr w14:val="tx1"/>
            </w14:solidFill>
          </w14:textFill>
        </w:rPr>
        <w:t>5.</w:t>
      </w:r>
      <w:r>
        <w:rPr>
          <w:rFonts w:hint="eastAsia" w:ascii="宋体" w:hAnsi="宋体" w:eastAsia="宋体" w:cs="宋体"/>
          <w:color w:val="000000" w:themeColor="text1"/>
          <w:lang w:val="en-US" w:eastAsia="zh-CN"/>
          <w14:textFill>
            <w14:solidFill>
              <w14:schemeClr w14:val="tx1"/>
            </w14:solidFill>
          </w14:textFill>
        </w:rPr>
        <w:t>4</w:t>
      </w:r>
      <w:r>
        <w:rPr>
          <w:rFonts w:hint="eastAsia" w:ascii="宋体" w:hAnsi="宋体" w:eastAsia="宋体" w:cs="宋体"/>
          <w:color w:val="000000" w:themeColor="text1"/>
          <w:lang w:val="en-US" w:eastAsia="zh-CN"/>
          <w14:textFill>
            <w14:solidFill>
              <w14:schemeClr w14:val="tx1"/>
            </w14:solidFill>
          </w14:textFill>
        </w:rPr>
        <w:t>.1</w:t>
      </w:r>
      <w:r>
        <w:rPr>
          <w:rFonts w:hint="eastAsia" w:ascii="宋体" w:hAnsi="宋体" w:eastAsia="宋体" w:cs="宋体"/>
          <w:color w:val="000000" w:themeColor="text1"/>
          <w:lang w:val="en-US" w:eastAsia="zh-CN"/>
          <w14:textFill>
            <w14:solidFill>
              <w14:schemeClr w14:val="tx1"/>
            </w14:solidFill>
          </w14:textFill>
        </w:rPr>
        <w:t xml:space="preserve"> 供配电系统</w:t>
      </w:r>
      <w:r>
        <w:rPr>
          <w:rFonts w:hint="eastAsia" w:ascii="宋体" w:hAnsi="宋体" w:eastAsia="宋体" w:cs="宋体"/>
          <w:color w:val="000000" w:themeColor="text1"/>
          <w:lang w:val="en-US" w:eastAsia="zh-CN"/>
          <w14:textFill>
            <w14:solidFill>
              <w14:schemeClr w14:val="tx1"/>
            </w14:solidFill>
          </w14:textFill>
        </w:rPr>
        <w:t>安全检查表</w:t>
      </w:r>
      <w:bookmarkEnd w:id="767"/>
      <w:bookmarkEnd w:id="768"/>
      <w:bookmarkEnd w:id="769"/>
    </w:p>
    <w:p w14:paraId="6F54A2F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依据《用电安全导则》（GB/T 13869-2017）、《低压配电设计规范》（GB 50054-2011）等标准规范的规定，对本项目的供配电采用安全检查表法进行分析评价。检查结果见下表。</w:t>
      </w:r>
    </w:p>
    <w:p w14:paraId="76841EB5">
      <w:pPr>
        <w:numPr>
          <w:ilvl w:val="0"/>
          <w:numId w:val="0"/>
        </w:numPr>
        <w:adjustRightInd w:val="0"/>
        <w:snapToGrid w:val="0"/>
        <w:ind w:leftChars="0"/>
        <w:jc w:val="center"/>
        <w:rPr>
          <w:rFonts w:hint="eastAsia" w:ascii="宋体" w:hAnsi="宋体" w:eastAsia="宋体" w:cs="宋体"/>
          <w:b/>
          <w:bCs w:val="0"/>
          <w:color w:val="000000" w:themeColor="text1"/>
          <w:sz w:val="24"/>
          <w14:textFill>
            <w14:solidFill>
              <w14:schemeClr w14:val="tx1"/>
            </w14:solidFill>
          </w14:textFill>
        </w:rPr>
      </w:pPr>
      <w:r>
        <w:rPr>
          <w:rFonts w:hint="eastAsia" w:ascii="宋体" w:hAnsi="宋体" w:eastAsia="宋体" w:cs="宋体"/>
          <w:b/>
          <w:bCs w:val="0"/>
          <w:color w:val="000000" w:themeColor="text1"/>
          <w:sz w:val="24"/>
          <w:lang w:val="en-US" w:eastAsia="zh-CN"/>
          <w14:textFill>
            <w14:solidFill>
              <w14:schemeClr w14:val="tx1"/>
            </w14:solidFill>
          </w14:textFill>
        </w:rPr>
        <w:t xml:space="preserve">表5-6 </w:t>
      </w:r>
      <w:r>
        <w:rPr>
          <w:rFonts w:hint="eastAsia" w:ascii="宋体" w:hAnsi="宋体" w:eastAsia="宋体" w:cs="宋体"/>
          <w:b/>
          <w:bCs w:val="0"/>
          <w:color w:val="000000" w:themeColor="text1"/>
          <w:sz w:val="24"/>
          <w14:textFill>
            <w14:solidFill>
              <w14:schemeClr w14:val="tx1"/>
            </w14:solidFill>
          </w14:textFill>
        </w:rPr>
        <w:t>供配电安全检查表</w:t>
      </w:r>
    </w:p>
    <w:tbl>
      <w:tblPr>
        <w:tblStyle w:val="52"/>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343"/>
        <w:gridCol w:w="2126"/>
        <w:gridCol w:w="2539"/>
        <w:gridCol w:w="700"/>
      </w:tblGrid>
      <w:tr w14:paraId="42DFC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50" w:type="dxa"/>
            <w:vAlign w:val="center"/>
          </w:tcPr>
          <w:p w14:paraId="15C0FD0D">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343" w:type="dxa"/>
            <w:vAlign w:val="center"/>
          </w:tcPr>
          <w:p w14:paraId="249C610A">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检查内容</w:t>
            </w:r>
          </w:p>
        </w:tc>
        <w:tc>
          <w:tcPr>
            <w:tcW w:w="2126" w:type="dxa"/>
            <w:vAlign w:val="center"/>
          </w:tcPr>
          <w:p w14:paraId="2EF9E568">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依据标准</w:t>
            </w:r>
          </w:p>
        </w:tc>
        <w:tc>
          <w:tcPr>
            <w:tcW w:w="2539" w:type="dxa"/>
            <w:vAlign w:val="center"/>
          </w:tcPr>
          <w:p w14:paraId="3ADEF5BB">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检查情况</w:t>
            </w:r>
          </w:p>
        </w:tc>
        <w:tc>
          <w:tcPr>
            <w:tcW w:w="700" w:type="dxa"/>
            <w:vAlign w:val="center"/>
          </w:tcPr>
          <w:p w14:paraId="3D6A2BFC">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结论</w:t>
            </w:r>
          </w:p>
        </w:tc>
      </w:tr>
      <w:tr w14:paraId="469D1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3D815579">
            <w:pPr>
              <w:numPr>
                <w:ilvl w:val="0"/>
                <w:numId w:val="15"/>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343" w:type="dxa"/>
            <w:vAlign w:val="center"/>
          </w:tcPr>
          <w:p w14:paraId="02F46605">
            <w:pPr>
              <w:spacing w:line="240" w:lineRule="auto"/>
              <w:ind w:firstLine="0" w:firstLineChars="0"/>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配电线路应装设短路保护和过负荷保护</w:t>
            </w:r>
          </w:p>
        </w:tc>
        <w:tc>
          <w:tcPr>
            <w:tcW w:w="2126" w:type="dxa"/>
            <w:vAlign w:val="center"/>
          </w:tcPr>
          <w:p w14:paraId="57CD8887">
            <w:pPr>
              <w:spacing w:line="240" w:lineRule="auto"/>
              <w:ind w:firstLine="0" w:firstLineChars="0"/>
              <w:jc w:val="center"/>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《低压配电设计规范》（GB 50054-2011）6.1.1</w:t>
            </w:r>
          </w:p>
        </w:tc>
        <w:tc>
          <w:tcPr>
            <w:tcW w:w="2539" w:type="dxa"/>
            <w:vAlign w:val="center"/>
          </w:tcPr>
          <w:p w14:paraId="7EFC52FA">
            <w:pPr>
              <w:spacing w:line="240" w:lineRule="auto"/>
              <w:ind w:firstLine="0" w:firstLineChars="0"/>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配电线路装设短路保护，过载保护和接地保护。</w:t>
            </w:r>
          </w:p>
        </w:tc>
        <w:tc>
          <w:tcPr>
            <w:tcW w:w="700" w:type="dxa"/>
            <w:vAlign w:val="center"/>
          </w:tcPr>
          <w:p w14:paraId="1E5B50C8">
            <w:pPr>
              <w:spacing w:line="240" w:lineRule="auto"/>
              <w:ind w:firstLine="0" w:firstLineChars="0"/>
              <w:jc w:val="center"/>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符合</w:t>
            </w:r>
          </w:p>
        </w:tc>
      </w:tr>
      <w:tr w14:paraId="0E826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7298E210">
            <w:pPr>
              <w:numPr>
                <w:ilvl w:val="0"/>
                <w:numId w:val="15"/>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343" w:type="dxa"/>
            <w:shd w:val="clear" w:color="auto" w:fill="auto"/>
            <w:vAlign w:val="center"/>
          </w:tcPr>
          <w:p w14:paraId="192B005E">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电气线路应具有足够的绝缘强度、机械强度和导电能力，其安装应符合相应产品标准的规定。</w:t>
            </w:r>
          </w:p>
        </w:tc>
        <w:tc>
          <w:tcPr>
            <w:tcW w:w="2126" w:type="dxa"/>
            <w:shd w:val="clear" w:color="auto" w:fill="auto"/>
            <w:vAlign w:val="center"/>
          </w:tcPr>
          <w:p w14:paraId="05A85F3B">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GB/T13869-2017第5.1.2条</w:t>
            </w:r>
          </w:p>
        </w:tc>
        <w:tc>
          <w:tcPr>
            <w:tcW w:w="2539" w:type="dxa"/>
            <w:shd w:val="clear" w:color="auto" w:fill="auto"/>
            <w:vAlign w:val="center"/>
          </w:tcPr>
          <w:p w14:paraId="175C2A98">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电气线路由专业电气操作人员安装、维护。</w:t>
            </w:r>
          </w:p>
        </w:tc>
        <w:tc>
          <w:tcPr>
            <w:tcW w:w="700" w:type="dxa"/>
            <w:shd w:val="clear" w:color="auto" w:fill="auto"/>
            <w:vAlign w:val="center"/>
          </w:tcPr>
          <w:p w14:paraId="28403DDA">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BF75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60EDB983">
            <w:pPr>
              <w:numPr>
                <w:ilvl w:val="0"/>
                <w:numId w:val="15"/>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343" w:type="dxa"/>
            <w:shd w:val="clear" w:color="auto" w:fill="auto"/>
            <w:vAlign w:val="center"/>
          </w:tcPr>
          <w:p w14:paraId="1A265807">
            <w:pPr>
              <w:spacing w:line="36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在控制室、屋内配电装置室及屋内主要通道等处，应装设事故照明。</w:t>
            </w:r>
          </w:p>
        </w:tc>
        <w:tc>
          <w:tcPr>
            <w:tcW w:w="2126" w:type="dxa"/>
            <w:shd w:val="clear" w:color="auto" w:fill="auto"/>
            <w:vAlign w:val="top"/>
          </w:tcPr>
          <w:p w14:paraId="4DAD9429">
            <w:pPr>
              <w:spacing w:line="36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《用电安全导则》GB/T13869-2017</w:t>
            </w:r>
          </w:p>
        </w:tc>
        <w:tc>
          <w:tcPr>
            <w:tcW w:w="2539" w:type="dxa"/>
            <w:shd w:val="clear" w:color="auto" w:fill="auto"/>
            <w:vAlign w:val="center"/>
          </w:tcPr>
          <w:p w14:paraId="12822930">
            <w:pPr>
              <w:widowControl/>
              <w:spacing w:line="36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根据生产需求，未设置配电室。</w:t>
            </w:r>
          </w:p>
        </w:tc>
        <w:tc>
          <w:tcPr>
            <w:tcW w:w="700" w:type="dxa"/>
            <w:shd w:val="clear" w:color="auto" w:fill="auto"/>
            <w:vAlign w:val="center"/>
          </w:tcPr>
          <w:p w14:paraId="58AB9969">
            <w:pPr>
              <w:spacing w:line="360" w:lineRule="auto"/>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13BAA19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由上述安全检查表的结果可知，</w:t>
      </w:r>
      <w:bookmarkStart w:id="772" w:name="_Hlk51319922"/>
      <w:r>
        <w:rPr>
          <w:rFonts w:hint="eastAsia" w:ascii="宋体" w:hAnsi="宋体" w:eastAsia="宋体" w:cs="宋体"/>
          <w:color w:val="000000" w:themeColor="text1"/>
          <w:sz w:val="28"/>
          <w:szCs w:val="28"/>
          <w14:textFill>
            <w14:solidFill>
              <w14:schemeClr w14:val="tx1"/>
            </w14:solidFill>
          </w14:textFill>
        </w:rPr>
        <w:t>本项目的供配电系统</w:t>
      </w:r>
      <w:bookmarkEnd w:id="772"/>
      <w:r>
        <w:rPr>
          <w:rFonts w:hint="eastAsia" w:ascii="宋体" w:hAnsi="宋体" w:eastAsia="宋体" w:cs="宋体"/>
          <w:color w:val="000000" w:themeColor="text1"/>
          <w:sz w:val="28"/>
          <w:szCs w:val="28"/>
          <w14:textFill>
            <w14:solidFill>
              <w14:schemeClr w14:val="tx1"/>
            </w14:solidFill>
          </w14:textFill>
        </w:rPr>
        <w:t>符合《用电安全导则》（GB/T 13869-2017）、《低压配电设计规范》（GB 50054-2011）等标准规范的要求。</w:t>
      </w:r>
    </w:p>
    <w:p w14:paraId="2267E65C">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773" w:name="_Toc5385"/>
      <w:bookmarkStart w:id="774" w:name="_Toc433009882"/>
      <w:r>
        <w:rPr>
          <w:rFonts w:hint="eastAsia" w:ascii="宋体" w:hAnsi="宋体" w:eastAsia="宋体" w:cs="宋体"/>
          <w:color w:val="000000" w:themeColor="text1"/>
          <w:lang w:val="en-US" w:eastAsia="zh-CN"/>
          <w14:textFill>
            <w14:solidFill>
              <w14:schemeClr w14:val="tx1"/>
            </w14:solidFill>
          </w14:textFill>
        </w:rPr>
        <w:t>5.</w:t>
      </w:r>
      <w:r>
        <w:rPr>
          <w:rFonts w:hint="eastAsia" w:ascii="宋体" w:hAnsi="宋体" w:eastAsia="宋体" w:cs="宋体"/>
          <w:color w:val="000000" w:themeColor="text1"/>
          <w:lang w:val="en-US" w:eastAsia="zh-CN"/>
          <w14:textFill>
            <w14:solidFill>
              <w14:schemeClr w14:val="tx1"/>
            </w14:solidFill>
          </w14:textFill>
        </w:rPr>
        <w:t>4.</w:t>
      </w:r>
      <w:r>
        <w:rPr>
          <w:rFonts w:hint="eastAsia" w:ascii="宋体" w:hAnsi="宋体" w:eastAsia="宋体" w:cs="宋体"/>
          <w:color w:val="000000" w:themeColor="text1"/>
          <w:lang w:val="en-US" w:eastAsia="zh-CN"/>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lang w:val="en-US" w:eastAsia="zh-CN"/>
          <w14:textFill>
            <w14:solidFill>
              <w14:schemeClr w14:val="tx1"/>
            </w14:solidFill>
          </w14:textFill>
        </w:rPr>
        <w:t>给排水系统</w:t>
      </w:r>
      <w:r>
        <w:rPr>
          <w:rFonts w:hint="eastAsia" w:ascii="宋体" w:hAnsi="宋体" w:eastAsia="宋体" w:cs="宋体"/>
          <w:color w:val="000000" w:themeColor="text1"/>
          <w:lang w:val="en-US" w:eastAsia="zh-CN"/>
          <w14:textFill>
            <w14:solidFill>
              <w14:schemeClr w14:val="tx1"/>
            </w14:solidFill>
          </w14:textFill>
        </w:rPr>
        <w:t>安全检查表</w:t>
      </w:r>
      <w:bookmarkEnd w:id="773"/>
    </w:p>
    <w:bookmarkEnd w:id="770"/>
    <w:bookmarkEnd w:id="771"/>
    <w:bookmarkEnd w:id="774"/>
    <w:p w14:paraId="48F6CC28">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依据《工业企业总平面设计规范》（GB50187-2012）等标准规范的要求，对该厂的给排水进行安全检查。检查结果见下表5-</w:t>
      </w:r>
      <w:r>
        <w:rPr>
          <w:rFonts w:hint="eastAsia" w:ascii="宋体" w:hAnsi="宋体" w:eastAsia="宋体" w:cs="宋体"/>
          <w:color w:val="000000" w:themeColor="text1"/>
          <w:sz w:val="28"/>
          <w:szCs w:val="28"/>
          <w:lang w:val="en-US" w:eastAsia="zh-CN"/>
          <w14:textFill>
            <w14:solidFill>
              <w14:schemeClr w14:val="tx1"/>
            </w14:solidFill>
          </w14:textFill>
        </w:rPr>
        <w:t>7</w:t>
      </w:r>
      <w:r>
        <w:rPr>
          <w:rFonts w:hint="eastAsia" w:ascii="宋体" w:hAnsi="宋体" w:eastAsia="宋体" w:cs="宋体"/>
          <w:color w:val="000000" w:themeColor="text1"/>
          <w:sz w:val="28"/>
          <w:szCs w:val="28"/>
          <w14:textFill>
            <w14:solidFill>
              <w14:schemeClr w14:val="tx1"/>
            </w14:solidFill>
          </w14:textFill>
        </w:rPr>
        <w:t>。</w:t>
      </w:r>
    </w:p>
    <w:p w14:paraId="6EC517FD">
      <w:pPr>
        <w:spacing w:line="500" w:lineRule="exact"/>
        <w:jc w:val="center"/>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表5-</w:t>
      </w:r>
      <w:r>
        <w:rPr>
          <w:rFonts w:hint="eastAsia" w:ascii="宋体" w:hAnsi="宋体" w:eastAsia="宋体" w:cs="宋体"/>
          <w:b/>
          <w:bCs/>
          <w:color w:val="000000" w:themeColor="text1"/>
          <w:lang w:val="en-US" w:eastAsia="zh-CN"/>
          <w14:textFill>
            <w14:solidFill>
              <w14:schemeClr w14:val="tx1"/>
            </w14:solidFill>
          </w14:textFill>
        </w:rPr>
        <w:t>7</w:t>
      </w:r>
      <w:r>
        <w:rPr>
          <w:rFonts w:hint="eastAsia" w:ascii="宋体" w:hAnsi="宋体" w:eastAsia="宋体" w:cs="宋体"/>
          <w:b/>
          <w:bCs/>
          <w:color w:val="000000" w:themeColor="text1"/>
          <w14:textFill>
            <w14:solidFill>
              <w14:schemeClr w14:val="tx1"/>
            </w14:solidFill>
          </w14:textFill>
        </w:rPr>
        <w:t xml:space="preserve">  给排水安全检查表</w:t>
      </w:r>
    </w:p>
    <w:tbl>
      <w:tblPr>
        <w:tblStyle w:val="5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3838"/>
        <w:gridCol w:w="2160"/>
        <w:gridCol w:w="1320"/>
        <w:gridCol w:w="676"/>
      </w:tblGrid>
      <w:tr w14:paraId="1E4F6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0" w:type="auto"/>
            <w:vAlign w:val="center"/>
          </w:tcPr>
          <w:p w14:paraId="53813D65">
            <w:pPr>
              <w:tabs>
                <w:tab w:val="left" w:pos="810"/>
              </w:tabs>
              <w:jc w:val="left"/>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r>
              <w:rPr>
                <w:rFonts w:hint="eastAsia" w:ascii="宋体" w:hAnsi="宋体" w:eastAsia="宋体" w:cs="宋体"/>
                <w:color w:val="000000" w:themeColor="text1"/>
                <w:sz w:val="21"/>
                <w:szCs w:val="21"/>
                <w14:textFill>
                  <w14:solidFill>
                    <w14:schemeClr w14:val="tx1"/>
                  </w14:solidFill>
                </w14:textFill>
              </w:rPr>
              <w:tab/>
            </w:r>
            <w:r>
              <w:rPr>
                <w:rFonts w:hint="eastAsia" w:ascii="宋体" w:hAnsi="宋体" w:eastAsia="宋体" w:cs="宋体"/>
                <w:b/>
                <w:color w:val="000000" w:themeColor="text1"/>
                <w:sz w:val="21"/>
                <w:szCs w:val="21"/>
                <w14:textFill>
                  <w14:solidFill>
                    <w14:schemeClr w14:val="tx1"/>
                  </w14:solidFill>
                </w14:textFill>
              </w:rPr>
              <w:t>序号</w:t>
            </w:r>
          </w:p>
        </w:tc>
        <w:tc>
          <w:tcPr>
            <w:tcW w:w="3838" w:type="dxa"/>
            <w:vAlign w:val="center"/>
          </w:tcPr>
          <w:p w14:paraId="1CAAB471">
            <w:pPr>
              <w:snapToGrid w:val="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检查内容</w:t>
            </w:r>
          </w:p>
        </w:tc>
        <w:tc>
          <w:tcPr>
            <w:tcW w:w="2160" w:type="dxa"/>
            <w:vAlign w:val="center"/>
          </w:tcPr>
          <w:p w14:paraId="463FB8DD">
            <w:pPr>
              <w:snapToGrid w:val="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依据标准</w:t>
            </w:r>
          </w:p>
        </w:tc>
        <w:tc>
          <w:tcPr>
            <w:tcW w:w="1320" w:type="dxa"/>
            <w:vAlign w:val="center"/>
          </w:tcPr>
          <w:p w14:paraId="10ECA172">
            <w:pPr>
              <w:snapToGrid w:val="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检查情况</w:t>
            </w:r>
          </w:p>
        </w:tc>
        <w:tc>
          <w:tcPr>
            <w:tcW w:w="676" w:type="dxa"/>
            <w:vAlign w:val="center"/>
          </w:tcPr>
          <w:p w14:paraId="6FE4DFA6">
            <w:pPr>
              <w:snapToGrid w:val="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结论</w:t>
            </w:r>
          </w:p>
        </w:tc>
      </w:tr>
      <w:tr w14:paraId="344FD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0" w:type="auto"/>
            <w:vAlign w:val="center"/>
          </w:tcPr>
          <w:p w14:paraId="2D8B2299">
            <w:pPr>
              <w:snapToGrid w:val="0"/>
              <w:jc w:val="center"/>
              <w:rPr>
                <w:rFonts w:hint="eastAsia" w:ascii="宋体" w:hAnsi="宋体" w:eastAsia="宋体" w:cs="宋体"/>
                <w:b/>
                <w:color w:val="000000" w:themeColor="text1"/>
                <w:sz w:val="21"/>
                <w:szCs w:val="21"/>
                <w:lang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1</w:t>
            </w:r>
          </w:p>
        </w:tc>
        <w:tc>
          <w:tcPr>
            <w:tcW w:w="3838" w:type="dxa"/>
            <w:vAlign w:val="center"/>
          </w:tcPr>
          <w:p w14:paraId="107748A1">
            <w:pPr>
              <w:keepNext w:val="0"/>
              <w:keepLines w:val="0"/>
              <w:pageBreakBefore w:val="0"/>
              <w:widowControl w:val="0"/>
              <w:kinsoku/>
              <w:wordWrap/>
              <w:overflowPunct/>
              <w:topLinePunct w:val="0"/>
              <w:autoSpaceDE/>
              <w:autoSpaceDN/>
              <w:bidi w:val="0"/>
              <w:adjustRightInd/>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场地应有完整、有效的雨水排水系统。场地雨水的排除方式，应结合工业企业所在地区的雨水排除方式、建筑密度、环境卫生要求、地质和气候条件等因素，合理选择暗管、明沟或地面自然排渗等方式，并应符合下列要求：（1）厂区雨水排水管、沟应与厂外排雨水系统相衔接，场地雨水不得任意排至厂外；（2）有条件的工业企业应建立雨水收集系统，应对收集的雨水充分利用；（3）厂区雨水宜采用暗管排水。</w:t>
            </w:r>
          </w:p>
        </w:tc>
        <w:tc>
          <w:tcPr>
            <w:tcW w:w="2160" w:type="dxa"/>
            <w:vAlign w:val="center"/>
          </w:tcPr>
          <w:p w14:paraId="4D88CF8D">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50187-</w:t>
            </w:r>
          </w:p>
          <w:p w14:paraId="3B09E706">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2012）第7.4.</w:t>
            </w: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14:textFill>
                  <w14:solidFill>
                    <w14:schemeClr w14:val="tx1"/>
                  </w14:solidFill>
                </w14:textFill>
              </w:rPr>
              <w:t>条</w:t>
            </w:r>
          </w:p>
        </w:tc>
        <w:tc>
          <w:tcPr>
            <w:tcW w:w="1320" w:type="dxa"/>
            <w:vAlign w:val="center"/>
          </w:tcPr>
          <w:p w14:paraId="6FDFC041">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本项目有较为完整、有效的排水系统。</w:t>
            </w:r>
          </w:p>
        </w:tc>
        <w:tc>
          <w:tcPr>
            <w:tcW w:w="676" w:type="dxa"/>
            <w:vAlign w:val="center"/>
          </w:tcPr>
          <w:p w14:paraId="375EFB5A">
            <w:pPr>
              <w:spacing w:line="34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75A5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0" w:type="auto"/>
            <w:vAlign w:val="center"/>
          </w:tcPr>
          <w:p w14:paraId="7BAB8048">
            <w:pPr>
              <w:snapToGrid w:val="0"/>
              <w:jc w:val="center"/>
              <w:rPr>
                <w:rFonts w:hint="eastAsia" w:ascii="宋体" w:hAnsi="宋体" w:eastAsia="宋体" w:cs="宋体"/>
                <w:b/>
                <w:color w:val="000000" w:themeColor="text1"/>
                <w:sz w:val="21"/>
                <w:szCs w:val="21"/>
                <w:lang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2</w:t>
            </w:r>
          </w:p>
        </w:tc>
        <w:tc>
          <w:tcPr>
            <w:tcW w:w="3838" w:type="dxa"/>
            <w:vAlign w:val="center"/>
          </w:tcPr>
          <w:p w14:paraId="2E7C8FB0">
            <w:pPr>
              <w:snapToGrid w:val="0"/>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场地雨水排水设计流量计算，应符合现行国家标准《室外排水设计</w:t>
            </w:r>
            <w:r>
              <w:rPr>
                <w:rFonts w:hint="eastAsia" w:ascii="宋体" w:hAnsi="宋体" w:eastAsia="宋体" w:cs="宋体"/>
                <w:color w:val="000000" w:themeColor="text1"/>
                <w:sz w:val="21"/>
                <w:szCs w:val="21"/>
                <w:lang w:eastAsia="zh-CN"/>
                <w14:textFill>
                  <w14:solidFill>
                    <w14:schemeClr w14:val="tx1"/>
                  </w14:solidFill>
                </w14:textFill>
              </w:rPr>
              <w:t>规范</w:t>
            </w:r>
            <w:r>
              <w:rPr>
                <w:rFonts w:hint="eastAsia" w:ascii="宋体" w:hAnsi="宋体" w:eastAsia="宋体" w:cs="宋体"/>
                <w:color w:val="000000" w:themeColor="text1"/>
                <w:sz w:val="21"/>
                <w:szCs w:val="21"/>
                <w14:textFill>
                  <w14:solidFill>
                    <w14:schemeClr w14:val="tx1"/>
                  </w14:solidFill>
                </w14:textFill>
              </w:rPr>
              <w:t>》GB 50014的有关规定。</w:t>
            </w:r>
          </w:p>
        </w:tc>
        <w:tc>
          <w:tcPr>
            <w:tcW w:w="2160" w:type="dxa"/>
            <w:vAlign w:val="center"/>
          </w:tcPr>
          <w:p w14:paraId="25FCBF3D">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50187-</w:t>
            </w:r>
          </w:p>
          <w:p w14:paraId="61894041">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2012）第7.4.</w:t>
            </w: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条</w:t>
            </w:r>
          </w:p>
        </w:tc>
        <w:tc>
          <w:tcPr>
            <w:tcW w:w="1320" w:type="dxa"/>
            <w:vAlign w:val="center"/>
          </w:tcPr>
          <w:p w14:paraId="22CBC0EC">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本项目场地雨水排量符合相关要求。</w:t>
            </w:r>
          </w:p>
        </w:tc>
        <w:tc>
          <w:tcPr>
            <w:tcW w:w="676" w:type="dxa"/>
            <w:vAlign w:val="center"/>
          </w:tcPr>
          <w:p w14:paraId="465B01F6">
            <w:pPr>
              <w:spacing w:line="34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072E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0" w:type="auto"/>
            <w:vAlign w:val="center"/>
          </w:tcPr>
          <w:p w14:paraId="4AEB9D4E">
            <w:pPr>
              <w:snapToGrid w:val="0"/>
              <w:jc w:val="center"/>
              <w:rPr>
                <w:rFonts w:hint="eastAsia" w:ascii="宋体" w:hAnsi="宋体" w:eastAsia="宋体" w:cs="宋体"/>
                <w:b/>
                <w:color w:val="000000" w:themeColor="text1"/>
                <w:sz w:val="21"/>
                <w:szCs w:val="21"/>
                <w:lang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3</w:t>
            </w:r>
          </w:p>
        </w:tc>
        <w:tc>
          <w:tcPr>
            <w:tcW w:w="3838" w:type="dxa"/>
            <w:vAlign w:val="center"/>
          </w:tcPr>
          <w:p w14:paraId="12829C54">
            <w:pPr>
              <w:snapToGrid w:val="0"/>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当采用明沟排水时，排水沟宜沿铁路、道路布置，并宜避免与其交叉。排出厂外的雨水，不得对其它工程设施或农田造成危害。</w:t>
            </w:r>
          </w:p>
        </w:tc>
        <w:tc>
          <w:tcPr>
            <w:tcW w:w="2160" w:type="dxa"/>
            <w:vAlign w:val="center"/>
          </w:tcPr>
          <w:p w14:paraId="4338C3AF">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50187-</w:t>
            </w:r>
          </w:p>
          <w:p w14:paraId="0A456ADB">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2012）第7.4.</w:t>
            </w:r>
            <w:r>
              <w:rPr>
                <w:rFonts w:hint="eastAsia" w:ascii="宋体" w:hAnsi="宋体" w:eastAsia="宋体" w:cs="宋体"/>
                <w:color w:val="000000" w:themeColor="text1"/>
                <w:sz w:val="21"/>
                <w:szCs w:val="21"/>
                <w:lang w:val="en-US" w:eastAsia="zh-CN"/>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条</w:t>
            </w:r>
          </w:p>
        </w:tc>
        <w:tc>
          <w:tcPr>
            <w:tcW w:w="1320" w:type="dxa"/>
            <w:vAlign w:val="center"/>
          </w:tcPr>
          <w:p w14:paraId="4890FDDE">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采用明沟排水，明沟沿道路设置，不会对其他设施造成危害。</w:t>
            </w:r>
          </w:p>
        </w:tc>
        <w:tc>
          <w:tcPr>
            <w:tcW w:w="676" w:type="dxa"/>
            <w:vAlign w:val="center"/>
          </w:tcPr>
          <w:p w14:paraId="7BBE3B5F">
            <w:pPr>
              <w:spacing w:line="34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7E32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0" w:type="auto"/>
            <w:vAlign w:val="center"/>
          </w:tcPr>
          <w:p w14:paraId="7243E9FD">
            <w:pPr>
              <w:snapToGrid w:val="0"/>
              <w:jc w:val="center"/>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4</w:t>
            </w:r>
          </w:p>
        </w:tc>
        <w:tc>
          <w:tcPr>
            <w:tcW w:w="3838" w:type="dxa"/>
            <w:vAlign w:val="center"/>
          </w:tcPr>
          <w:p w14:paraId="35B8CAE1">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排水明沟的铺砌方式，应根据所处地段的土质和流速等情况确定，应符合下列规定：（1）厂区明沟宜加铺砌；（2）对厂容、卫生和安全要求较高的地段，尚应铺设盖板；（3）矿山及厂区的边缘地段，可采用土明沟。</w:t>
            </w:r>
          </w:p>
        </w:tc>
        <w:tc>
          <w:tcPr>
            <w:tcW w:w="2160" w:type="dxa"/>
            <w:vAlign w:val="center"/>
          </w:tcPr>
          <w:p w14:paraId="6F494BEC">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50187-</w:t>
            </w:r>
          </w:p>
          <w:p w14:paraId="45888448">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2012）第7.4.5条</w:t>
            </w:r>
          </w:p>
        </w:tc>
        <w:tc>
          <w:tcPr>
            <w:tcW w:w="1320" w:type="dxa"/>
            <w:vAlign w:val="center"/>
          </w:tcPr>
          <w:p w14:paraId="64F7A395">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本项目的排水设施均按要求进行了布置。</w:t>
            </w:r>
          </w:p>
        </w:tc>
        <w:tc>
          <w:tcPr>
            <w:tcW w:w="676" w:type="dxa"/>
            <w:vAlign w:val="center"/>
          </w:tcPr>
          <w:p w14:paraId="403246D7">
            <w:pPr>
              <w:spacing w:line="34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33CC2DE1">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775" w:name="_Toc27509"/>
      <w:bookmarkStart w:id="776" w:name="_Toc335838637"/>
      <w:bookmarkStart w:id="777" w:name="_Toc267853224"/>
      <w:bookmarkStart w:id="778" w:name="_Toc7538"/>
      <w:bookmarkStart w:id="779" w:name="_Toc335926303"/>
      <w:bookmarkStart w:id="780" w:name="_Toc278282328"/>
      <w:bookmarkStart w:id="781" w:name="_Toc18522"/>
      <w:bookmarkStart w:id="782" w:name="_Toc313493995"/>
      <w:bookmarkStart w:id="783" w:name="_Toc433009883"/>
      <w:bookmarkStart w:id="784" w:name="_Toc211237914"/>
      <w:bookmarkStart w:id="785" w:name="_Toc278282330"/>
      <w:r>
        <w:rPr>
          <w:rFonts w:hint="eastAsia" w:ascii="宋体" w:hAnsi="宋体" w:eastAsia="宋体" w:cs="宋体"/>
          <w:color w:val="000000" w:themeColor="text1"/>
          <w:lang w:val="en-US" w:eastAsia="zh-CN"/>
          <w14:textFill>
            <w14:solidFill>
              <w14:schemeClr w14:val="tx1"/>
            </w14:solidFill>
          </w14:textFill>
        </w:rPr>
        <w:t>5.</w:t>
      </w:r>
      <w:r>
        <w:rPr>
          <w:rFonts w:hint="eastAsia" w:ascii="宋体" w:hAnsi="宋体" w:eastAsia="宋体" w:cs="宋体"/>
          <w:color w:val="000000" w:themeColor="text1"/>
          <w:lang w:val="en-US" w:eastAsia="zh-CN"/>
          <w14:textFill>
            <w14:solidFill>
              <w14:schemeClr w14:val="tx1"/>
            </w14:solidFill>
          </w14:textFill>
        </w:rPr>
        <w:t>4</w:t>
      </w:r>
      <w:r>
        <w:rPr>
          <w:rFonts w:hint="eastAsia" w:ascii="宋体" w:hAnsi="宋体" w:eastAsia="宋体" w:cs="宋体"/>
          <w:color w:val="000000" w:themeColor="text1"/>
          <w:lang w:val="en-US"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3</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lang w:val="en-US" w:eastAsia="zh-CN"/>
          <w14:textFill>
            <w14:solidFill>
              <w14:schemeClr w14:val="tx1"/>
            </w14:solidFill>
          </w14:textFill>
        </w:rPr>
        <w:t>消防</w:t>
      </w:r>
      <w:r>
        <w:rPr>
          <w:rFonts w:hint="eastAsia" w:ascii="宋体" w:hAnsi="宋体" w:eastAsia="宋体" w:cs="宋体"/>
          <w:color w:val="000000" w:themeColor="text1"/>
          <w:lang w:val="en-US" w:eastAsia="zh-CN"/>
          <w14:textFill>
            <w14:solidFill>
              <w14:schemeClr w14:val="tx1"/>
            </w14:solidFill>
          </w14:textFill>
        </w:rPr>
        <w:t>系统</w:t>
      </w:r>
      <w:r>
        <w:rPr>
          <w:rFonts w:hint="eastAsia" w:ascii="宋体" w:hAnsi="宋体" w:eastAsia="宋体" w:cs="宋体"/>
          <w:color w:val="000000" w:themeColor="text1"/>
          <w:lang w:val="en-US" w:eastAsia="zh-CN"/>
          <w14:textFill>
            <w14:solidFill>
              <w14:schemeClr w14:val="tx1"/>
            </w14:solidFill>
          </w14:textFill>
        </w:rPr>
        <w:t>安全检查表</w:t>
      </w:r>
      <w:bookmarkEnd w:id="775"/>
    </w:p>
    <w:bookmarkEnd w:id="776"/>
    <w:bookmarkEnd w:id="777"/>
    <w:bookmarkEnd w:id="778"/>
    <w:bookmarkEnd w:id="779"/>
    <w:bookmarkEnd w:id="780"/>
    <w:bookmarkEnd w:id="781"/>
    <w:p w14:paraId="786A8D6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依据《中华人民共和国消防法》</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《建筑灭火器配置设计规范》（GB50140-2005）、《建筑设计防火规范（2018版）》（GB50016-2014）等相关法律法规、标准规范的要求，对该厂的消防进行安全检查。检查结果见下表。</w:t>
      </w:r>
    </w:p>
    <w:p w14:paraId="60A6EBEA">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表5-</w:t>
      </w:r>
      <w:r>
        <w:rPr>
          <w:rFonts w:hint="eastAsia" w:ascii="宋体" w:hAnsi="宋体" w:eastAsia="宋体" w:cs="宋体"/>
          <w:b/>
          <w:bCs/>
          <w:color w:val="000000" w:themeColor="text1"/>
          <w:lang w:val="en-US" w:eastAsia="zh-CN"/>
          <w14:textFill>
            <w14:solidFill>
              <w14:schemeClr w14:val="tx1"/>
            </w14:solidFill>
          </w14:textFill>
        </w:rPr>
        <w:t>8</w:t>
      </w:r>
      <w:r>
        <w:rPr>
          <w:rFonts w:hint="eastAsia" w:ascii="宋体" w:hAnsi="宋体" w:eastAsia="宋体" w:cs="宋体"/>
          <w:b/>
          <w:bCs/>
          <w:color w:val="000000" w:themeColor="text1"/>
          <w14:textFill>
            <w14:solidFill>
              <w14:schemeClr w14:val="tx1"/>
            </w14:solidFill>
          </w14:textFill>
        </w:rPr>
        <w:t xml:space="preserve">  消防系统安全检查表</w:t>
      </w:r>
    </w:p>
    <w:tbl>
      <w:tblPr>
        <w:tblStyle w:val="52"/>
        <w:tblW w:w="510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4"/>
        <w:gridCol w:w="3510"/>
        <w:gridCol w:w="2475"/>
        <w:gridCol w:w="1779"/>
        <w:gridCol w:w="652"/>
      </w:tblGrid>
      <w:tr w14:paraId="77239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72" w:type="pct"/>
            <w:tcBorders>
              <w:top w:val="single" w:color="auto" w:sz="4" w:space="0"/>
              <w:left w:val="single" w:color="auto" w:sz="4" w:space="0"/>
              <w:bottom w:val="single" w:color="auto" w:sz="4" w:space="0"/>
              <w:right w:val="single" w:color="auto" w:sz="4" w:space="0"/>
            </w:tcBorders>
            <w:vAlign w:val="center"/>
          </w:tcPr>
          <w:p w14:paraId="6F9C7727">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1971" w:type="pct"/>
            <w:tcBorders>
              <w:top w:val="single" w:color="auto" w:sz="4" w:space="0"/>
              <w:left w:val="single" w:color="auto" w:sz="4" w:space="0"/>
              <w:bottom w:val="single" w:color="auto" w:sz="4" w:space="0"/>
              <w:right w:val="single" w:color="auto" w:sz="4" w:space="0"/>
            </w:tcBorders>
            <w:vAlign w:val="center"/>
          </w:tcPr>
          <w:p w14:paraId="283ECD30">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检查内容</w:t>
            </w:r>
          </w:p>
        </w:tc>
        <w:tc>
          <w:tcPr>
            <w:tcW w:w="1390" w:type="pct"/>
            <w:tcBorders>
              <w:top w:val="single" w:color="auto" w:sz="4" w:space="0"/>
              <w:left w:val="single" w:color="auto" w:sz="4" w:space="0"/>
              <w:bottom w:val="single" w:color="auto" w:sz="4" w:space="0"/>
              <w:right w:val="single" w:color="auto" w:sz="4" w:space="0"/>
            </w:tcBorders>
            <w:vAlign w:val="center"/>
          </w:tcPr>
          <w:p w14:paraId="2F8D7DC6">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依据标准</w:t>
            </w:r>
          </w:p>
        </w:tc>
        <w:tc>
          <w:tcPr>
            <w:tcW w:w="999" w:type="pct"/>
            <w:tcBorders>
              <w:top w:val="single" w:color="auto" w:sz="4" w:space="0"/>
              <w:left w:val="single" w:color="auto" w:sz="4" w:space="0"/>
              <w:bottom w:val="single" w:color="auto" w:sz="4" w:space="0"/>
              <w:right w:val="single" w:color="auto" w:sz="4" w:space="0"/>
            </w:tcBorders>
            <w:vAlign w:val="center"/>
          </w:tcPr>
          <w:p w14:paraId="2E9FB567">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检查情况</w:t>
            </w:r>
          </w:p>
        </w:tc>
        <w:tc>
          <w:tcPr>
            <w:tcW w:w="366" w:type="pct"/>
            <w:tcBorders>
              <w:top w:val="single" w:color="auto" w:sz="4" w:space="0"/>
              <w:left w:val="single" w:color="auto" w:sz="4" w:space="0"/>
              <w:bottom w:val="single" w:color="auto" w:sz="4" w:space="0"/>
              <w:right w:val="single" w:color="auto" w:sz="4" w:space="0"/>
            </w:tcBorders>
            <w:vAlign w:val="center"/>
          </w:tcPr>
          <w:p w14:paraId="6FB9C7E5">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结论</w:t>
            </w:r>
          </w:p>
        </w:tc>
      </w:tr>
      <w:tr w14:paraId="5BC92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4" w:type="dxa"/>
            <w:tcBorders>
              <w:top w:val="single" w:color="auto" w:sz="4" w:space="0"/>
              <w:left w:val="single" w:color="auto" w:sz="4" w:space="0"/>
              <w:bottom w:val="single" w:color="auto" w:sz="4" w:space="0"/>
              <w:right w:val="single" w:color="auto" w:sz="4" w:space="0"/>
            </w:tcBorders>
            <w:vAlign w:val="center"/>
          </w:tcPr>
          <w:p w14:paraId="74B293FE">
            <w:pPr>
              <w:numPr>
                <w:ilvl w:val="0"/>
                <w:numId w:val="16"/>
              </w:numPr>
              <w:adjustRightInd w:val="0"/>
              <w:snapToGrid w:val="0"/>
              <w:spacing w:line="300" w:lineRule="exact"/>
              <w:ind w:left="420" w:leftChars="0" w:hanging="420" w:firstLineChars="0"/>
              <w:jc w:val="center"/>
              <w:rPr>
                <w:rFonts w:hint="eastAsia" w:ascii="宋体" w:hAnsi="宋体" w:eastAsia="宋体" w:cs="宋体"/>
                <w:color w:val="000000" w:themeColor="text1"/>
                <w:sz w:val="21"/>
                <w:szCs w:val="21"/>
                <w14:textFill>
                  <w14:solidFill>
                    <w14:schemeClr w14:val="tx1"/>
                  </w14:solidFill>
                </w14:textFill>
              </w:rPr>
            </w:pPr>
          </w:p>
        </w:tc>
        <w:tc>
          <w:tcPr>
            <w:tcW w:w="3432" w:type="dxa"/>
            <w:tcBorders>
              <w:top w:val="single" w:color="auto" w:sz="4" w:space="0"/>
              <w:left w:val="single" w:color="auto" w:sz="4" w:space="0"/>
              <w:bottom w:val="single" w:color="auto" w:sz="4" w:space="0"/>
              <w:right w:val="single" w:color="auto" w:sz="4" w:space="0"/>
            </w:tcBorders>
            <w:vAlign w:val="center"/>
          </w:tcPr>
          <w:p w14:paraId="7DE01626">
            <w:pPr>
              <w:pStyle w:val="182"/>
              <w:snapToGrid w:val="0"/>
              <w:spacing w:before="0" w:after="0"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按照国家标准、行业标准配置消防设施、器材，设置消防安全标志，并定期组织检验、维修，确保完好有效。</w:t>
            </w:r>
          </w:p>
        </w:tc>
        <w:tc>
          <w:tcPr>
            <w:tcW w:w="2421" w:type="dxa"/>
            <w:tcBorders>
              <w:top w:val="single" w:color="auto" w:sz="4" w:space="0"/>
              <w:left w:val="single" w:color="auto" w:sz="4" w:space="0"/>
              <w:bottom w:val="single" w:color="auto" w:sz="4" w:space="0"/>
              <w:right w:val="single" w:color="auto" w:sz="4" w:space="0"/>
            </w:tcBorders>
            <w:vAlign w:val="center"/>
          </w:tcPr>
          <w:p w14:paraId="6766315C">
            <w:pPr>
              <w:pStyle w:val="182"/>
              <w:snapToGrid w:val="0"/>
              <w:spacing w:before="0" w:after="0"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《中华人民共和国消防法》第十六条</w:t>
            </w:r>
          </w:p>
        </w:tc>
        <w:tc>
          <w:tcPr>
            <w:tcW w:w="1740" w:type="dxa"/>
            <w:tcBorders>
              <w:top w:val="single" w:color="auto" w:sz="4" w:space="0"/>
              <w:left w:val="single" w:color="auto" w:sz="4" w:space="0"/>
              <w:bottom w:val="single" w:color="auto" w:sz="4" w:space="0"/>
              <w:right w:val="single" w:color="auto" w:sz="4" w:space="0"/>
            </w:tcBorders>
            <w:vAlign w:val="center"/>
          </w:tcPr>
          <w:p w14:paraId="6482F2E9">
            <w:pPr>
              <w:pStyle w:val="182"/>
              <w:snapToGrid w:val="0"/>
              <w:spacing w:before="0" w:after="0"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该项目消防器材、设施等完好有效。</w:t>
            </w:r>
          </w:p>
        </w:tc>
        <w:tc>
          <w:tcPr>
            <w:tcW w:w="366" w:type="pct"/>
            <w:tcBorders>
              <w:top w:val="single" w:color="auto" w:sz="4" w:space="0"/>
              <w:left w:val="single" w:color="auto" w:sz="4" w:space="0"/>
              <w:bottom w:val="single" w:color="auto" w:sz="4" w:space="0"/>
              <w:right w:val="single" w:color="auto" w:sz="4" w:space="0"/>
            </w:tcBorders>
            <w:vAlign w:val="center"/>
          </w:tcPr>
          <w:p w14:paraId="5F76DB1C">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716D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tcBorders>
              <w:top w:val="single" w:color="auto" w:sz="4" w:space="0"/>
              <w:left w:val="single" w:color="auto" w:sz="4" w:space="0"/>
              <w:bottom w:val="single" w:color="auto" w:sz="4" w:space="0"/>
              <w:right w:val="single" w:color="auto" w:sz="4" w:space="0"/>
            </w:tcBorders>
            <w:vAlign w:val="center"/>
          </w:tcPr>
          <w:p w14:paraId="6A3B2E0B">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1971" w:type="pct"/>
            <w:tcBorders>
              <w:top w:val="single" w:color="auto" w:sz="4" w:space="0"/>
              <w:left w:val="single" w:color="auto" w:sz="4" w:space="0"/>
              <w:bottom w:val="single" w:color="auto" w:sz="4" w:space="0"/>
              <w:right w:val="single" w:color="auto" w:sz="4" w:space="0"/>
            </w:tcBorders>
            <w:vAlign w:val="center"/>
          </w:tcPr>
          <w:p w14:paraId="3C22C5AA">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灭火器应设置在位置明显和便于取用的地点，且不得影响安全疏散。</w:t>
            </w:r>
          </w:p>
        </w:tc>
        <w:tc>
          <w:tcPr>
            <w:tcW w:w="1390" w:type="pct"/>
            <w:tcBorders>
              <w:top w:val="single" w:color="auto" w:sz="4" w:space="0"/>
              <w:left w:val="single" w:color="auto" w:sz="4" w:space="0"/>
              <w:bottom w:val="single" w:color="auto" w:sz="4" w:space="0"/>
              <w:right w:val="single" w:color="auto" w:sz="4" w:space="0"/>
            </w:tcBorders>
            <w:vAlign w:val="center"/>
          </w:tcPr>
          <w:p w14:paraId="05803A27">
            <w:pPr>
              <w:snapToGrid w:val="0"/>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《建筑灭火器配置设计规范》（GB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50140-2005）</w:t>
            </w:r>
            <w:r>
              <w:rPr>
                <w:rFonts w:hint="eastAsia" w:ascii="宋体" w:hAnsi="宋体" w:eastAsia="宋体" w:cs="宋体"/>
                <w:color w:val="000000" w:themeColor="text1"/>
                <w:sz w:val="21"/>
                <w:szCs w:val="21"/>
                <w:lang w:eastAsia="zh-CN"/>
                <w14:textFill>
                  <w14:solidFill>
                    <w14:schemeClr w14:val="tx1"/>
                  </w14:solidFill>
                </w14:textFill>
              </w:rPr>
              <w:t>第</w:t>
            </w:r>
            <w:r>
              <w:rPr>
                <w:rFonts w:hint="eastAsia" w:ascii="宋体" w:hAnsi="宋体" w:eastAsia="宋体" w:cs="宋体"/>
                <w:color w:val="000000" w:themeColor="text1"/>
                <w:sz w:val="21"/>
                <w:szCs w:val="21"/>
                <w14:textFill>
                  <w14:solidFill>
                    <w14:schemeClr w14:val="tx1"/>
                  </w14:solidFill>
                </w14:textFill>
              </w:rPr>
              <w:t>5.1.1</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999" w:type="pct"/>
            <w:tcBorders>
              <w:top w:val="single" w:color="auto" w:sz="4" w:space="0"/>
              <w:left w:val="single" w:color="auto" w:sz="4" w:space="0"/>
              <w:bottom w:val="single" w:color="auto" w:sz="4" w:space="0"/>
              <w:right w:val="single" w:color="auto" w:sz="4" w:space="0"/>
            </w:tcBorders>
            <w:vAlign w:val="center"/>
          </w:tcPr>
          <w:p w14:paraId="776335F9">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该项目灭火器设置在明显和便于取用的地点，且不影响安全疏散。</w:t>
            </w:r>
          </w:p>
        </w:tc>
        <w:tc>
          <w:tcPr>
            <w:tcW w:w="366" w:type="pct"/>
            <w:tcBorders>
              <w:top w:val="single" w:color="auto" w:sz="4" w:space="0"/>
              <w:left w:val="single" w:color="auto" w:sz="4" w:space="0"/>
              <w:bottom w:val="single" w:color="auto" w:sz="4" w:space="0"/>
              <w:right w:val="single" w:color="auto" w:sz="4" w:space="0"/>
            </w:tcBorders>
            <w:vAlign w:val="center"/>
          </w:tcPr>
          <w:p w14:paraId="6F924C00">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73FB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tcBorders>
              <w:top w:val="single" w:color="auto" w:sz="4" w:space="0"/>
              <w:left w:val="single" w:color="auto" w:sz="4" w:space="0"/>
              <w:bottom w:val="single" w:color="auto" w:sz="4" w:space="0"/>
              <w:right w:val="single" w:color="auto" w:sz="4" w:space="0"/>
            </w:tcBorders>
            <w:vAlign w:val="center"/>
          </w:tcPr>
          <w:p w14:paraId="43796D99">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 xml:space="preserve"> 3</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10CF616A">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灭火器不宜设置在潮湿或强腐蚀性的地点。当必须设置时，应有相应的保护措施。</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5CFF5D29">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《建筑灭火器配置设计规范》（GB50140-2005）</w:t>
            </w:r>
          </w:p>
          <w:p w14:paraId="6B4E768E">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第5.1.4条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1766A65F">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该项目灭火器基本未设置在潮湿或强腐蚀性的地点。</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5680A020">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9F84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tcBorders>
              <w:top w:val="single" w:color="auto" w:sz="4" w:space="0"/>
              <w:left w:val="single" w:color="auto" w:sz="4" w:space="0"/>
              <w:bottom w:val="single" w:color="auto" w:sz="4" w:space="0"/>
              <w:right w:val="single" w:color="auto" w:sz="4" w:space="0"/>
            </w:tcBorders>
            <w:vAlign w:val="center"/>
          </w:tcPr>
          <w:p w14:paraId="7D46C61A">
            <w:pPr>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68DC4E6A">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灭火器不得设置在超出其使用温度范围的地点。</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3FCD34E8">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《建筑灭火器配置设计规范》（GB50140-2005）</w:t>
            </w:r>
          </w:p>
          <w:p w14:paraId="04F16ED9">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第5.1.5条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39A3ADD9">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该项目灭火器的使用温度均在允许范围内。</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272C9BB2">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1F99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tcBorders>
              <w:top w:val="single" w:color="auto" w:sz="4" w:space="0"/>
              <w:left w:val="single" w:color="auto" w:sz="4" w:space="0"/>
              <w:bottom w:val="single" w:color="auto" w:sz="4" w:space="0"/>
              <w:right w:val="single" w:color="auto" w:sz="4" w:space="0"/>
            </w:tcBorders>
            <w:vAlign w:val="center"/>
          </w:tcPr>
          <w:p w14:paraId="28C3B2F7">
            <w:pPr>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287B8B0E">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一个计算单元内配置的灭火器数量不得少于2具。</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5E3C04AB">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《建筑灭火器配置设计规范》（GB50140-2005）</w:t>
            </w:r>
          </w:p>
          <w:p w14:paraId="29CA51D0">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第6.1.1条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5F6311CF">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该项目建构筑物内灭火器的配置数量符合规范要求。</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08804763">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70F8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tcBorders>
              <w:top w:val="single" w:color="auto" w:sz="4" w:space="0"/>
              <w:left w:val="single" w:color="auto" w:sz="4" w:space="0"/>
              <w:bottom w:val="single" w:color="auto" w:sz="4" w:space="0"/>
              <w:right w:val="single" w:color="auto" w:sz="4" w:space="0"/>
            </w:tcBorders>
            <w:vAlign w:val="center"/>
          </w:tcPr>
          <w:p w14:paraId="3AB4A6D5">
            <w:pPr>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7F97E53A">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每个灭火器设置点实配灭火器的灭火级别和数量不得小于最小需配灭火级别和数量的计算值。</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65891626">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《建筑灭火器配置设计规范》（GB50140-2005）</w:t>
            </w:r>
          </w:p>
          <w:p w14:paraId="6DE8EB9D">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第7.1.2条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1DA67C66">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该项目每个灭火器设置点实配灭火器的灭火级别和数量符合要求。</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582F2D16">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bookmarkEnd w:id="782"/>
    </w:tbl>
    <w:p w14:paraId="068B41EF">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786" w:name="_Toc14804"/>
      <w:bookmarkStart w:id="787" w:name="_Toc22011"/>
      <w:r>
        <w:rPr>
          <w:rFonts w:hint="eastAsia" w:ascii="宋体" w:hAnsi="宋体" w:eastAsia="宋体" w:cs="宋体"/>
          <w:color w:val="000000" w:themeColor="text1"/>
          <w:lang w:val="en-US" w:eastAsia="zh-CN"/>
          <w14:textFill>
            <w14:solidFill>
              <w14:schemeClr w14:val="tx1"/>
            </w14:solidFill>
          </w14:textFill>
        </w:rPr>
        <w:t>5.</w:t>
      </w:r>
      <w:r>
        <w:rPr>
          <w:rFonts w:hint="eastAsia" w:ascii="宋体" w:hAnsi="宋体" w:eastAsia="宋体" w:cs="宋体"/>
          <w:color w:val="000000" w:themeColor="text1"/>
          <w:lang w:val="en-US" w:eastAsia="zh-CN"/>
          <w14:textFill>
            <w14:solidFill>
              <w14:schemeClr w14:val="tx1"/>
            </w14:solidFill>
          </w14:textFill>
        </w:rPr>
        <w:t>4</w:t>
      </w:r>
      <w:r>
        <w:rPr>
          <w:rFonts w:hint="eastAsia" w:ascii="宋体" w:hAnsi="宋体" w:eastAsia="宋体" w:cs="宋体"/>
          <w:color w:val="000000" w:themeColor="text1"/>
          <w:lang w:val="en-US"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 xml:space="preserve">4 </w:t>
      </w:r>
      <w:r>
        <w:rPr>
          <w:rFonts w:hint="eastAsia" w:ascii="宋体" w:hAnsi="宋体" w:eastAsia="宋体" w:cs="宋体"/>
          <w:color w:val="000000" w:themeColor="text1"/>
          <w:lang w:val="en-US" w:eastAsia="zh-CN"/>
          <w14:textFill>
            <w14:solidFill>
              <w14:schemeClr w14:val="tx1"/>
            </w14:solidFill>
          </w14:textFill>
        </w:rPr>
        <w:t>单元小结</w:t>
      </w:r>
      <w:bookmarkEnd w:id="783"/>
      <w:bookmarkEnd w:id="784"/>
      <w:bookmarkEnd w:id="785"/>
      <w:bookmarkEnd w:id="786"/>
      <w:bookmarkEnd w:id="787"/>
    </w:p>
    <w:p w14:paraId="0FAA7F2C">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安全检查表分析评价结果：该项目的供配电系统基本按照《低压配电设计规范》（GB50054-2011）及《用电安全导则》（GB/T13869-2017）等标准规范的规定等国家相关的标准规范要求；结合公司现场实际情况，该公司的电气设备具备安全生产的条件；</w:t>
      </w:r>
    </w:p>
    <w:p w14:paraId="1ADD7EDF">
      <w:pPr>
        <w:pStyle w:val="2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安全检查表分析评价结果：该项目的给排水符合《工业企业总平面设计规范》（GB50187-2012）要求；</w:t>
      </w:r>
    </w:p>
    <w:p w14:paraId="63B515E4">
      <w:pPr>
        <w:adjustRightInd w:val="0"/>
        <w:snapToGrid w:val="0"/>
        <w:spacing w:line="500" w:lineRule="exact"/>
        <w:ind w:firstLine="560" w:firstLineChars="200"/>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安全检查表分析评价结果：该项目的消防设施建设基本符合《中华人民共和国消防法》、《建筑灭火器配置设计规范》（GB50140-2005）等相关法律法规、标准规范的要求</w:t>
      </w:r>
      <w:r>
        <w:rPr>
          <w:rFonts w:hint="eastAsia" w:ascii="宋体" w:hAnsi="宋体" w:eastAsia="宋体" w:cs="宋体"/>
          <w:color w:val="000000" w:themeColor="text1"/>
          <w:sz w:val="28"/>
          <w:szCs w:val="28"/>
          <w:lang w:eastAsia="zh-CN"/>
          <w14:textFill>
            <w14:solidFill>
              <w14:schemeClr w14:val="tx1"/>
            </w14:solidFill>
          </w14:textFill>
        </w:rPr>
        <w:t>。</w:t>
      </w:r>
    </w:p>
    <w:bookmarkEnd w:id="762"/>
    <w:bookmarkEnd w:id="763"/>
    <w:bookmarkEnd w:id="764"/>
    <w:bookmarkEnd w:id="765"/>
    <w:bookmarkEnd w:id="766"/>
    <w:p w14:paraId="45BF4E3B">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788" w:name="_Hlt145775763"/>
      <w:bookmarkEnd w:id="788"/>
      <w:bookmarkStart w:id="789" w:name="_Toc133428988"/>
      <w:bookmarkStart w:id="790" w:name="_Toc145775755"/>
      <w:bookmarkStart w:id="791" w:name="_Toc25067"/>
      <w:bookmarkStart w:id="792" w:name="_Toc313453623"/>
      <w:bookmarkStart w:id="793" w:name="_Toc335926312"/>
      <w:bookmarkStart w:id="794" w:name="_Toc27135"/>
      <w:bookmarkStart w:id="795" w:name="_Toc28491"/>
      <w:bookmarkStart w:id="796" w:name="_Toc11562"/>
      <w:bookmarkStart w:id="797" w:name="_Toc21301"/>
      <w:r>
        <w:rPr>
          <w:rFonts w:hint="eastAsia" w:ascii="宋体" w:hAnsi="宋体" w:eastAsia="宋体" w:cs="宋体"/>
          <w:color w:val="000000" w:themeColor="text1"/>
          <w14:textFill>
            <w14:solidFill>
              <w14:schemeClr w14:val="tx1"/>
            </w14:solidFill>
          </w14:textFill>
        </w:rPr>
        <w:t>5.5</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安全生产管理评价</w:t>
      </w:r>
      <w:bookmarkEnd w:id="789"/>
      <w:bookmarkEnd w:id="790"/>
      <w:r>
        <w:rPr>
          <w:rFonts w:hint="eastAsia" w:ascii="宋体" w:hAnsi="宋体" w:eastAsia="宋体" w:cs="宋体"/>
          <w:color w:val="000000" w:themeColor="text1"/>
          <w14:textFill>
            <w14:solidFill>
              <w14:schemeClr w14:val="tx1"/>
            </w14:solidFill>
          </w14:textFill>
        </w:rPr>
        <w:t>单元</w:t>
      </w:r>
      <w:bookmarkEnd w:id="791"/>
      <w:bookmarkEnd w:id="792"/>
      <w:bookmarkEnd w:id="793"/>
      <w:bookmarkEnd w:id="794"/>
      <w:bookmarkEnd w:id="795"/>
      <w:bookmarkEnd w:id="796"/>
      <w:bookmarkEnd w:id="797"/>
    </w:p>
    <w:p w14:paraId="4C7626D9">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snapToGrid w:val="0"/>
          <w:color w:val="000000" w:themeColor="text1"/>
          <w14:textFill>
            <w14:solidFill>
              <w14:schemeClr w14:val="tx1"/>
            </w14:solidFill>
          </w14:textFill>
        </w:rPr>
      </w:pPr>
      <w:bookmarkStart w:id="798" w:name="_Toc403746183"/>
      <w:bookmarkStart w:id="799" w:name="_Toc365119548"/>
      <w:bookmarkStart w:id="800" w:name="_Toc30001458"/>
      <w:bookmarkStart w:id="801" w:name="_Toc8165"/>
      <w:bookmarkStart w:id="802" w:name="_Toc5340"/>
      <w:bookmarkStart w:id="803" w:name="_Toc4740"/>
      <w:bookmarkStart w:id="804" w:name="_Toc23196"/>
      <w:bookmarkStart w:id="805" w:name="_Toc61474481"/>
      <w:bookmarkStart w:id="806" w:name="_Toc21137"/>
      <w:r>
        <w:rPr>
          <w:rFonts w:hint="eastAsia" w:ascii="宋体" w:hAnsi="宋体" w:eastAsia="宋体" w:cs="宋体"/>
          <w:color w:val="000000" w:themeColor="text1"/>
          <w:lang w:val="en-US" w:eastAsia="zh-CN"/>
          <w14:textFill>
            <w14:solidFill>
              <w14:schemeClr w14:val="tx1"/>
            </w14:solidFill>
          </w14:textFill>
        </w:rPr>
        <w:t>5.5.1安全管理</w:t>
      </w:r>
      <w:bookmarkEnd w:id="798"/>
      <w:bookmarkEnd w:id="799"/>
      <w:r>
        <w:rPr>
          <w:rFonts w:hint="eastAsia" w:ascii="宋体" w:hAnsi="宋体" w:eastAsia="宋体" w:cs="宋体"/>
          <w:color w:val="000000" w:themeColor="text1"/>
          <w:lang w:val="en-US" w:eastAsia="zh-CN"/>
          <w14:textFill>
            <w14:solidFill>
              <w14:schemeClr w14:val="tx1"/>
            </w14:solidFill>
          </w14:textFill>
        </w:rPr>
        <w:t>检查表</w:t>
      </w:r>
      <w:bookmarkEnd w:id="800"/>
      <w:bookmarkEnd w:id="801"/>
      <w:bookmarkEnd w:id="802"/>
      <w:bookmarkEnd w:id="803"/>
      <w:bookmarkEnd w:id="804"/>
      <w:bookmarkEnd w:id="805"/>
      <w:bookmarkEnd w:id="806"/>
    </w:p>
    <w:p w14:paraId="7C28EBF3">
      <w:pPr>
        <w:pStyle w:val="218"/>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snapToGrid w:val="0"/>
          <w:color w:val="000000" w:themeColor="text1"/>
          <w14:textFill>
            <w14:solidFill>
              <w14:schemeClr w14:val="tx1"/>
            </w14:solidFill>
          </w14:textFill>
        </w:rPr>
        <w:t>本节依据《中华人民共和国安全生产法》的相关要求，编制安全检查表对企业安全生产管理状况进行检查，检查结果见下表。</w:t>
      </w:r>
    </w:p>
    <w:p w14:paraId="6F4B53D9">
      <w:pPr>
        <w:tabs>
          <w:tab w:val="left" w:pos="851"/>
        </w:tabs>
        <w:adjustRightInd w:val="0"/>
        <w:snapToGrid w:val="0"/>
        <w:spacing w:line="240" w:lineRule="exact"/>
        <w:jc w:val="center"/>
        <w:rPr>
          <w:rFonts w:hint="eastAsia" w:ascii="宋体" w:hAnsi="宋体" w:eastAsia="宋体" w:cs="宋体"/>
          <w:b/>
          <w:bCs/>
          <w:color w:val="000000" w:themeColor="text1"/>
          <w:szCs w:val="21"/>
          <w14:textFill>
            <w14:solidFill>
              <w14:schemeClr w14:val="tx1"/>
            </w14:solidFill>
          </w14:textFill>
        </w:rPr>
      </w:pPr>
    </w:p>
    <w:p w14:paraId="1E4112A2">
      <w:pPr>
        <w:tabs>
          <w:tab w:val="left" w:pos="851"/>
        </w:tabs>
        <w:adjustRightInd w:val="0"/>
        <w:snapToGrid w:val="0"/>
        <w:spacing w:line="240" w:lineRule="exact"/>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表5-</w:t>
      </w:r>
      <w:r>
        <w:rPr>
          <w:rFonts w:hint="eastAsia" w:ascii="宋体" w:hAnsi="宋体" w:eastAsia="宋体" w:cs="宋体"/>
          <w:b/>
          <w:bCs/>
          <w:color w:val="000000" w:themeColor="text1"/>
          <w:szCs w:val="21"/>
          <w:lang w:val="en-US" w:eastAsia="zh-CN"/>
          <w14:textFill>
            <w14:solidFill>
              <w14:schemeClr w14:val="tx1"/>
            </w14:solidFill>
          </w14:textFill>
        </w:rPr>
        <w:t>9</w:t>
      </w:r>
      <w:r>
        <w:rPr>
          <w:rFonts w:hint="eastAsia" w:ascii="宋体" w:hAnsi="宋体" w:eastAsia="宋体" w:cs="宋体"/>
          <w:b/>
          <w:bCs/>
          <w:color w:val="000000" w:themeColor="text1"/>
          <w:szCs w:val="21"/>
          <w14:textFill>
            <w14:solidFill>
              <w14:schemeClr w14:val="tx1"/>
            </w14:solidFill>
          </w14:textFill>
        </w:rPr>
        <w:t>安全生产管理检查表</w:t>
      </w:r>
    </w:p>
    <w:tbl>
      <w:tblPr>
        <w:tblStyle w:val="52"/>
        <w:tblW w:w="860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2"/>
        <w:gridCol w:w="3998"/>
        <w:gridCol w:w="1185"/>
        <w:gridCol w:w="1935"/>
        <w:gridCol w:w="701"/>
      </w:tblGrid>
      <w:tr w14:paraId="3E8CF1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1" w:hRule="atLeast"/>
          <w:tblHeader/>
        </w:trPr>
        <w:tc>
          <w:tcPr>
            <w:tcW w:w="782" w:type="dxa"/>
            <w:tcBorders>
              <w:top w:val="single" w:color="auto" w:sz="4" w:space="0"/>
              <w:left w:val="single" w:color="auto" w:sz="4" w:space="0"/>
              <w:bottom w:val="single" w:color="auto" w:sz="4" w:space="0"/>
              <w:right w:val="single" w:color="auto" w:sz="4" w:space="0"/>
            </w:tcBorders>
            <w:vAlign w:val="center"/>
          </w:tcPr>
          <w:p w14:paraId="679C64BB">
            <w:pPr>
              <w:tabs>
                <w:tab w:val="left" w:pos="851"/>
              </w:tabs>
              <w:adjustRightInd w:val="0"/>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3998" w:type="dxa"/>
            <w:tcBorders>
              <w:top w:val="single" w:color="auto" w:sz="4" w:space="0"/>
              <w:left w:val="single" w:color="auto" w:sz="4" w:space="0"/>
              <w:bottom w:val="single" w:color="auto" w:sz="4" w:space="0"/>
              <w:right w:val="single" w:color="auto" w:sz="4" w:space="0"/>
            </w:tcBorders>
            <w:vAlign w:val="center"/>
          </w:tcPr>
          <w:p w14:paraId="1AAB5AD9">
            <w:pPr>
              <w:tabs>
                <w:tab w:val="left" w:pos="851"/>
              </w:tabs>
              <w:adjustRightInd w:val="0"/>
              <w:snapToGrid w:val="0"/>
              <w:jc w:val="left"/>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  查  内  容</w:t>
            </w:r>
          </w:p>
        </w:tc>
        <w:tc>
          <w:tcPr>
            <w:tcW w:w="1185" w:type="dxa"/>
            <w:tcBorders>
              <w:top w:val="single" w:color="auto" w:sz="4" w:space="0"/>
              <w:left w:val="single" w:color="auto" w:sz="4" w:space="0"/>
              <w:bottom w:val="single" w:color="auto" w:sz="4" w:space="0"/>
              <w:right w:val="single" w:color="auto" w:sz="4" w:space="0"/>
            </w:tcBorders>
            <w:vAlign w:val="center"/>
          </w:tcPr>
          <w:p w14:paraId="0393CF71">
            <w:pPr>
              <w:tabs>
                <w:tab w:val="left" w:pos="851"/>
              </w:tabs>
              <w:adjustRightInd w:val="0"/>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依据标准</w:t>
            </w:r>
          </w:p>
        </w:tc>
        <w:tc>
          <w:tcPr>
            <w:tcW w:w="1935" w:type="dxa"/>
            <w:tcBorders>
              <w:top w:val="single" w:color="auto" w:sz="4" w:space="0"/>
              <w:left w:val="single" w:color="auto" w:sz="4" w:space="0"/>
              <w:bottom w:val="single" w:color="auto" w:sz="4" w:space="0"/>
              <w:right w:val="single" w:color="auto" w:sz="4" w:space="0"/>
            </w:tcBorders>
            <w:vAlign w:val="center"/>
          </w:tcPr>
          <w:p w14:paraId="2E6D5002">
            <w:pPr>
              <w:tabs>
                <w:tab w:val="left" w:pos="851"/>
              </w:tabs>
              <w:adjustRightInd w:val="0"/>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检查情况</w:t>
            </w:r>
          </w:p>
        </w:tc>
        <w:tc>
          <w:tcPr>
            <w:tcW w:w="701" w:type="dxa"/>
            <w:tcBorders>
              <w:top w:val="single" w:color="auto" w:sz="4" w:space="0"/>
              <w:left w:val="single" w:color="auto" w:sz="4" w:space="0"/>
              <w:bottom w:val="single" w:color="auto" w:sz="4" w:space="0"/>
              <w:right w:val="single" w:color="auto" w:sz="4" w:space="0"/>
            </w:tcBorders>
            <w:vAlign w:val="center"/>
          </w:tcPr>
          <w:p w14:paraId="1C3665BA">
            <w:pPr>
              <w:tabs>
                <w:tab w:val="left" w:pos="851"/>
              </w:tabs>
              <w:adjustRightInd w:val="0"/>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结论</w:t>
            </w:r>
          </w:p>
        </w:tc>
      </w:tr>
      <w:tr w14:paraId="74C6DE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0BD4BA0E">
            <w:pPr>
              <w:numPr>
                <w:ilvl w:val="0"/>
                <w:numId w:val="17"/>
              </w:numPr>
              <w:tabs>
                <w:tab w:val="left" w:pos="630"/>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0F8C93D8">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生产经营单位的主要负责人是本单位安全生产 第一责任人，对本单位的安全生产工作全面负责。其他负责人对职责范围内的安全生产工作负责。</w:t>
            </w:r>
          </w:p>
        </w:tc>
        <w:tc>
          <w:tcPr>
            <w:tcW w:w="1185" w:type="dxa"/>
            <w:tcBorders>
              <w:top w:val="single" w:color="auto" w:sz="4" w:space="0"/>
              <w:left w:val="single" w:color="auto" w:sz="4" w:space="0"/>
              <w:bottom w:val="single" w:color="auto" w:sz="4" w:space="0"/>
              <w:right w:val="single" w:color="auto" w:sz="4" w:space="0"/>
            </w:tcBorders>
            <w:vAlign w:val="center"/>
          </w:tcPr>
          <w:p w14:paraId="1B57F9A0">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w:t>
            </w:r>
          </w:p>
          <w:p w14:paraId="532C7B0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第五条</w:t>
            </w:r>
          </w:p>
        </w:tc>
        <w:tc>
          <w:tcPr>
            <w:tcW w:w="1935" w:type="dxa"/>
            <w:tcBorders>
              <w:top w:val="single" w:color="auto" w:sz="4" w:space="0"/>
              <w:left w:val="single" w:color="auto" w:sz="4" w:space="0"/>
              <w:bottom w:val="single" w:color="auto" w:sz="4" w:space="0"/>
              <w:right w:val="single" w:color="auto" w:sz="4" w:space="0"/>
            </w:tcBorders>
            <w:vAlign w:val="center"/>
          </w:tcPr>
          <w:p w14:paraId="53BFA4F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公司主要负责人对本单位的安全生产工作全面负责。</w:t>
            </w:r>
          </w:p>
        </w:tc>
        <w:tc>
          <w:tcPr>
            <w:tcW w:w="701" w:type="dxa"/>
            <w:tcBorders>
              <w:top w:val="single" w:color="auto" w:sz="4" w:space="0"/>
              <w:left w:val="single" w:color="auto" w:sz="4" w:space="0"/>
              <w:bottom w:val="single" w:color="auto" w:sz="4" w:space="0"/>
              <w:right w:val="single" w:color="auto" w:sz="4" w:space="0"/>
            </w:tcBorders>
            <w:vAlign w:val="center"/>
          </w:tcPr>
          <w:p w14:paraId="6C804CA0">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BECC9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44F0A684">
            <w:pPr>
              <w:numPr>
                <w:ilvl w:val="0"/>
                <w:numId w:val="17"/>
              </w:numPr>
              <w:tabs>
                <w:tab w:val="left" w:pos="630"/>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69FC2C36">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生产经营单位的主要负责人对本单位安全生产工作负有下列职责：</w:t>
            </w:r>
          </w:p>
          <w:p w14:paraId="0AB7EB54">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（一）建立健全并落实本单位全员安全生产责任制，加强安全生产标准化建设；</w:t>
            </w:r>
          </w:p>
          <w:p w14:paraId="378ED097">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（二）组织制定并实施本单位安全生产规章制度和操作规程；</w:t>
            </w:r>
          </w:p>
          <w:p w14:paraId="0656FF0A">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（三）组织制定并实施本单位安全生产教育和培训计划；</w:t>
            </w:r>
          </w:p>
          <w:p w14:paraId="7C2761BF">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（四）保证本单位安全生产投入的有效实施；</w:t>
            </w:r>
          </w:p>
          <w:p w14:paraId="1C0B02A1">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（五）组织建立并落实安全风险分级管控和隐患排查治理双重预防工作机制，督促、检查本单位的安全生产工作，及时消除生产安全事故隐患；</w:t>
            </w:r>
          </w:p>
          <w:p w14:paraId="3D8E5927">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（六）组织制定并实施本单位的生产安全事故应急救援预案；</w:t>
            </w:r>
          </w:p>
          <w:p w14:paraId="693EFC21">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（七）及时、如实报告生产安全事故。</w:t>
            </w:r>
          </w:p>
        </w:tc>
        <w:tc>
          <w:tcPr>
            <w:tcW w:w="1185" w:type="dxa"/>
            <w:tcBorders>
              <w:top w:val="single" w:color="auto" w:sz="4" w:space="0"/>
              <w:left w:val="single" w:color="auto" w:sz="4" w:space="0"/>
              <w:bottom w:val="single" w:color="auto" w:sz="4" w:space="0"/>
              <w:right w:val="single" w:color="auto" w:sz="4" w:space="0"/>
            </w:tcBorders>
            <w:vAlign w:val="center"/>
          </w:tcPr>
          <w:p w14:paraId="4DCE37A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w:t>
            </w:r>
          </w:p>
          <w:p w14:paraId="797E136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第二十一条</w:t>
            </w:r>
          </w:p>
        </w:tc>
        <w:tc>
          <w:tcPr>
            <w:tcW w:w="1935" w:type="dxa"/>
            <w:tcBorders>
              <w:top w:val="single" w:color="auto" w:sz="4" w:space="0"/>
              <w:left w:val="single" w:color="auto" w:sz="4" w:space="0"/>
              <w:bottom w:val="single" w:color="auto" w:sz="4" w:space="0"/>
              <w:right w:val="single" w:color="auto" w:sz="4" w:space="0"/>
            </w:tcBorders>
            <w:vAlign w:val="center"/>
          </w:tcPr>
          <w:p w14:paraId="6DE944AB">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公司制定了安全生产规章制度和安全操作规程，成立了</w:t>
            </w:r>
            <w:r>
              <w:rPr>
                <w:rFonts w:hint="eastAsia" w:ascii="宋体" w:hAnsi="宋体" w:eastAsia="宋体" w:cs="宋体"/>
                <w:color w:val="000000" w:themeColor="text1"/>
                <w:kern w:val="0"/>
                <w:sz w:val="21"/>
                <w:szCs w:val="21"/>
                <w14:textFill>
                  <w14:solidFill>
                    <w14:schemeClr w14:val="tx1"/>
                  </w14:solidFill>
                </w14:textFill>
              </w:rPr>
              <w:t>安全生产领导小组</w:t>
            </w:r>
            <w:r>
              <w:rPr>
                <w:rFonts w:hint="eastAsia" w:ascii="宋体" w:hAnsi="宋体" w:eastAsia="宋体" w:cs="宋体"/>
                <w:color w:val="000000" w:themeColor="text1"/>
                <w:sz w:val="21"/>
                <w:szCs w:val="21"/>
                <w14:textFill>
                  <w14:solidFill>
                    <w14:schemeClr w14:val="tx1"/>
                  </w14:solidFill>
                </w14:textFill>
              </w:rPr>
              <w:t>。</w:t>
            </w:r>
          </w:p>
        </w:tc>
        <w:tc>
          <w:tcPr>
            <w:tcW w:w="701" w:type="dxa"/>
            <w:tcBorders>
              <w:top w:val="single" w:color="auto" w:sz="4" w:space="0"/>
              <w:left w:val="single" w:color="auto" w:sz="4" w:space="0"/>
              <w:bottom w:val="single" w:color="auto" w:sz="4" w:space="0"/>
              <w:right w:val="single" w:color="auto" w:sz="4" w:space="0"/>
            </w:tcBorders>
            <w:vAlign w:val="center"/>
          </w:tcPr>
          <w:p w14:paraId="0EDFE24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A3BC7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6F43FA60">
            <w:pPr>
              <w:numPr>
                <w:ilvl w:val="0"/>
                <w:numId w:val="17"/>
              </w:numPr>
              <w:tabs>
                <w:tab w:val="left" w:pos="630"/>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0A7E071D">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生产经营单位的全员安全生产责任制应当明确各岗位的责任人员、责任范围和考核标准等内容。生产经营单位应当建立相应的机制，加强对安全生产责任制落实情况的监督考核，保证安全生产责任制的落实。</w:t>
            </w:r>
          </w:p>
        </w:tc>
        <w:tc>
          <w:tcPr>
            <w:tcW w:w="1185" w:type="dxa"/>
            <w:tcBorders>
              <w:top w:val="single" w:color="auto" w:sz="4" w:space="0"/>
              <w:left w:val="single" w:color="auto" w:sz="4" w:space="0"/>
              <w:bottom w:val="single" w:color="auto" w:sz="4" w:space="0"/>
              <w:right w:val="single" w:color="auto" w:sz="4" w:space="0"/>
            </w:tcBorders>
            <w:vAlign w:val="center"/>
          </w:tcPr>
          <w:p w14:paraId="2CF5B8D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w:t>
            </w:r>
          </w:p>
          <w:p w14:paraId="0AAA257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第二十二条</w:t>
            </w:r>
          </w:p>
        </w:tc>
        <w:tc>
          <w:tcPr>
            <w:tcW w:w="1935" w:type="dxa"/>
            <w:tcBorders>
              <w:top w:val="single" w:color="auto" w:sz="4" w:space="0"/>
              <w:left w:val="single" w:color="auto" w:sz="4" w:space="0"/>
              <w:bottom w:val="single" w:color="auto" w:sz="4" w:space="0"/>
              <w:right w:val="single" w:color="auto" w:sz="4" w:space="0"/>
            </w:tcBorders>
            <w:vAlign w:val="center"/>
          </w:tcPr>
          <w:p w14:paraId="055664C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有相关管理制度。</w:t>
            </w:r>
          </w:p>
        </w:tc>
        <w:tc>
          <w:tcPr>
            <w:tcW w:w="701" w:type="dxa"/>
            <w:tcBorders>
              <w:top w:val="single" w:color="auto" w:sz="4" w:space="0"/>
              <w:left w:val="single" w:color="auto" w:sz="4" w:space="0"/>
              <w:bottom w:val="single" w:color="auto" w:sz="4" w:space="0"/>
              <w:right w:val="single" w:color="auto" w:sz="4" w:space="0"/>
            </w:tcBorders>
            <w:vAlign w:val="center"/>
          </w:tcPr>
          <w:p w14:paraId="73168E8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9336D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40823ED9">
            <w:pPr>
              <w:numPr>
                <w:ilvl w:val="0"/>
                <w:numId w:val="17"/>
              </w:numPr>
              <w:tabs>
                <w:tab w:val="left" w:pos="630"/>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2602C556">
            <w:pPr>
              <w:tabs>
                <w:tab w:val="left" w:pos="851"/>
              </w:tabs>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具备的安全生产条件所必需的资金投入，由生产经营单位的决策机构、主要负责人或者个人经营的投资人予以保证，并对由于安全生产所必需的资金投入不足导致的后果承担责任。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tc>
        <w:tc>
          <w:tcPr>
            <w:tcW w:w="1185" w:type="dxa"/>
            <w:tcBorders>
              <w:top w:val="single" w:color="auto" w:sz="4" w:space="0"/>
              <w:left w:val="single" w:color="auto" w:sz="4" w:space="0"/>
              <w:bottom w:val="single" w:color="auto" w:sz="4" w:space="0"/>
              <w:right w:val="single" w:color="auto" w:sz="4" w:space="0"/>
            </w:tcBorders>
            <w:vAlign w:val="center"/>
          </w:tcPr>
          <w:p w14:paraId="12854E80">
            <w:pPr>
              <w:tabs>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w:t>
            </w:r>
          </w:p>
          <w:p w14:paraId="7FD5C4B5">
            <w:pPr>
              <w:tabs>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第二十三条</w:t>
            </w:r>
          </w:p>
        </w:tc>
        <w:tc>
          <w:tcPr>
            <w:tcW w:w="1935" w:type="dxa"/>
            <w:tcBorders>
              <w:top w:val="single" w:color="auto" w:sz="4" w:space="0"/>
              <w:left w:val="single" w:color="auto" w:sz="4" w:space="0"/>
              <w:bottom w:val="single" w:color="auto" w:sz="4" w:space="0"/>
              <w:right w:val="single" w:color="auto" w:sz="4" w:space="0"/>
            </w:tcBorders>
            <w:vAlign w:val="center"/>
          </w:tcPr>
          <w:p w14:paraId="48964BC4">
            <w:pPr>
              <w:tabs>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按规定提取安全费用并用于改善安全生产条件。</w:t>
            </w:r>
          </w:p>
        </w:tc>
        <w:tc>
          <w:tcPr>
            <w:tcW w:w="701" w:type="dxa"/>
            <w:tcBorders>
              <w:top w:val="single" w:color="auto" w:sz="4" w:space="0"/>
              <w:left w:val="single" w:color="auto" w:sz="4" w:space="0"/>
              <w:bottom w:val="single" w:color="auto" w:sz="4" w:space="0"/>
              <w:right w:val="single" w:color="auto" w:sz="4" w:space="0"/>
            </w:tcBorders>
            <w:vAlign w:val="center"/>
          </w:tcPr>
          <w:p w14:paraId="29870DE9">
            <w:pPr>
              <w:tabs>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9A9F7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752E8423">
            <w:pPr>
              <w:numPr>
                <w:ilvl w:val="0"/>
                <w:numId w:val="17"/>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763880E0">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矿山、金属冶炼、建筑施工、运输单位和危险物品的生产、经营、储存、装卸单位，应当设置安全生产管理机构或者配备专职安全生产管理人员。</w:t>
            </w:r>
          </w:p>
          <w:p w14:paraId="795502DE">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185" w:type="dxa"/>
            <w:tcBorders>
              <w:top w:val="single" w:color="auto" w:sz="4" w:space="0"/>
              <w:left w:val="single" w:color="auto" w:sz="4" w:space="0"/>
              <w:bottom w:val="single" w:color="auto" w:sz="4" w:space="0"/>
              <w:right w:val="single" w:color="auto" w:sz="4" w:space="0"/>
            </w:tcBorders>
            <w:vAlign w:val="center"/>
          </w:tcPr>
          <w:p w14:paraId="7F610C5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4D00C1D0">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二十四条</w:t>
            </w:r>
          </w:p>
        </w:tc>
        <w:tc>
          <w:tcPr>
            <w:tcW w:w="1935" w:type="dxa"/>
            <w:tcBorders>
              <w:top w:val="single" w:color="auto" w:sz="4" w:space="0"/>
              <w:left w:val="single" w:color="auto" w:sz="4" w:space="0"/>
              <w:bottom w:val="single" w:color="auto" w:sz="4" w:space="0"/>
              <w:right w:val="single" w:color="auto" w:sz="4" w:space="0"/>
            </w:tcBorders>
            <w:vAlign w:val="center"/>
          </w:tcPr>
          <w:p w14:paraId="62015083">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公司成立了安全生产领导小组，任命了专职安全员。</w:t>
            </w:r>
          </w:p>
        </w:tc>
        <w:tc>
          <w:tcPr>
            <w:tcW w:w="701" w:type="dxa"/>
            <w:tcBorders>
              <w:top w:val="single" w:color="auto" w:sz="4" w:space="0"/>
              <w:left w:val="single" w:color="auto" w:sz="4" w:space="0"/>
              <w:bottom w:val="single" w:color="auto" w:sz="4" w:space="0"/>
              <w:right w:val="single" w:color="auto" w:sz="4" w:space="0"/>
            </w:tcBorders>
            <w:vAlign w:val="center"/>
          </w:tcPr>
          <w:p w14:paraId="632AAE3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06690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4EB5692C">
            <w:pPr>
              <w:numPr>
                <w:ilvl w:val="0"/>
                <w:numId w:val="17"/>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5CFF8A37">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生产经营单位的主要负责人和安全生产管理人员必须具备与本单位所从事的生产经营活动相应的安全生产知识和管理能力。</w:t>
            </w:r>
          </w:p>
          <w:p w14:paraId="48A16B58">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tc>
        <w:tc>
          <w:tcPr>
            <w:tcW w:w="1185" w:type="dxa"/>
            <w:tcBorders>
              <w:top w:val="single" w:color="auto" w:sz="4" w:space="0"/>
              <w:left w:val="single" w:color="auto" w:sz="4" w:space="0"/>
              <w:bottom w:val="single" w:color="auto" w:sz="4" w:space="0"/>
              <w:right w:val="single" w:color="auto" w:sz="4" w:space="0"/>
            </w:tcBorders>
            <w:vAlign w:val="center"/>
          </w:tcPr>
          <w:p w14:paraId="2FEA79F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364AF10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二十七条</w:t>
            </w:r>
          </w:p>
        </w:tc>
        <w:tc>
          <w:tcPr>
            <w:tcW w:w="1935" w:type="dxa"/>
            <w:tcBorders>
              <w:top w:val="single" w:color="auto" w:sz="4" w:space="0"/>
              <w:left w:val="single" w:color="auto" w:sz="4" w:space="0"/>
              <w:bottom w:val="single" w:color="auto" w:sz="4" w:space="0"/>
              <w:right w:val="single" w:color="auto" w:sz="4" w:space="0"/>
            </w:tcBorders>
            <w:vAlign w:val="center"/>
          </w:tcPr>
          <w:p w14:paraId="0FA509BE">
            <w:pPr>
              <w:adjustRightInd w:val="0"/>
              <w:snapToGrid w:val="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主要负责人取得了安全生产知识和管理能力考核合格证，安全管理人已通过安全生产知识和管理能力考核</w:t>
            </w:r>
            <w:r>
              <w:rPr>
                <w:rFonts w:hint="eastAsia" w:ascii="宋体" w:hAnsi="宋体" w:eastAsia="宋体" w:cs="宋体"/>
                <w:color w:val="000000" w:themeColor="text1"/>
                <w:sz w:val="21"/>
                <w:szCs w:val="21"/>
                <w:lang w:eastAsia="zh-CN"/>
                <w14:textFill>
                  <w14:solidFill>
                    <w14:schemeClr w14:val="tx1"/>
                  </w14:solidFill>
                </w14:textFill>
              </w:rPr>
              <w:t>。</w:t>
            </w:r>
          </w:p>
          <w:p w14:paraId="57385CB3">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701" w:type="dxa"/>
            <w:tcBorders>
              <w:top w:val="single" w:color="auto" w:sz="4" w:space="0"/>
              <w:left w:val="single" w:color="auto" w:sz="4" w:space="0"/>
              <w:bottom w:val="single" w:color="auto" w:sz="4" w:space="0"/>
              <w:right w:val="single" w:color="auto" w:sz="4" w:space="0"/>
            </w:tcBorders>
            <w:vAlign w:val="center"/>
          </w:tcPr>
          <w:p w14:paraId="06C2968D">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D3432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1878290F">
            <w:pPr>
              <w:numPr>
                <w:ilvl w:val="0"/>
                <w:numId w:val="17"/>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542E9618">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 生产经营单位应当建立健全下列制度：</w:t>
            </w:r>
          </w:p>
          <w:p w14:paraId="445D9A7A">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1）安全生产责任制度；</w:t>
            </w:r>
          </w:p>
          <w:p w14:paraId="139E0E86">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2）安全生产例会制度；</w:t>
            </w:r>
          </w:p>
          <w:p w14:paraId="72E2E4E1">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3）安全生产奖惩制度；</w:t>
            </w:r>
          </w:p>
          <w:p w14:paraId="47593C2D">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4）安全生产教育培训制度；</w:t>
            </w:r>
          </w:p>
          <w:p w14:paraId="31710106">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5）生产经营场所、设备和设施的安全管理制度；</w:t>
            </w:r>
          </w:p>
          <w:p w14:paraId="7DFBD029">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6）安全生产检查制度；</w:t>
            </w:r>
          </w:p>
          <w:p w14:paraId="5DAF8D6B">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7）重大危险源监控和事故隐患报告、整改制度；</w:t>
            </w:r>
          </w:p>
          <w:p w14:paraId="7B11A89E">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8）伤亡事故报告和处理制度；</w:t>
            </w:r>
          </w:p>
          <w:p w14:paraId="7395EC4D">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9）劳动防护用品管理制度；</w:t>
            </w:r>
          </w:p>
          <w:p w14:paraId="4FAC6838">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10）法律、法规规定应当制定的其他安全生产制度。</w:t>
            </w:r>
          </w:p>
        </w:tc>
        <w:tc>
          <w:tcPr>
            <w:tcW w:w="1185" w:type="dxa"/>
            <w:tcBorders>
              <w:top w:val="single" w:color="auto" w:sz="4" w:space="0"/>
              <w:left w:val="single" w:color="auto" w:sz="4" w:space="0"/>
              <w:bottom w:val="single" w:color="auto" w:sz="4" w:space="0"/>
              <w:right w:val="single" w:color="auto" w:sz="4" w:space="0"/>
            </w:tcBorders>
            <w:vAlign w:val="center"/>
          </w:tcPr>
          <w:p w14:paraId="282F413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《云南省安全生产条例》第</w:t>
            </w:r>
          </w:p>
          <w:p w14:paraId="71ADA153">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十六条</w:t>
            </w:r>
          </w:p>
        </w:tc>
        <w:tc>
          <w:tcPr>
            <w:tcW w:w="1935" w:type="dxa"/>
            <w:tcBorders>
              <w:top w:val="single" w:color="auto" w:sz="4" w:space="0"/>
              <w:left w:val="single" w:color="auto" w:sz="4" w:space="0"/>
              <w:bottom w:val="single" w:color="auto" w:sz="4" w:space="0"/>
              <w:right w:val="single" w:color="auto" w:sz="4" w:space="0"/>
            </w:tcBorders>
            <w:vAlign w:val="center"/>
          </w:tcPr>
          <w:p w14:paraId="4291AEB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建立有相关制度。</w:t>
            </w:r>
          </w:p>
        </w:tc>
        <w:tc>
          <w:tcPr>
            <w:tcW w:w="701" w:type="dxa"/>
            <w:tcBorders>
              <w:top w:val="single" w:color="auto" w:sz="4" w:space="0"/>
              <w:left w:val="single" w:color="auto" w:sz="4" w:space="0"/>
              <w:bottom w:val="single" w:color="auto" w:sz="4" w:space="0"/>
              <w:right w:val="single" w:color="auto" w:sz="4" w:space="0"/>
            </w:tcBorders>
            <w:vAlign w:val="center"/>
          </w:tcPr>
          <w:p w14:paraId="7B6EDC0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C552F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3FDB845A">
            <w:pPr>
              <w:numPr>
                <w:ilvl w:val="0"/>
                <w:numId w:val="17"/>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04211742">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14:paraId="1DE7F5E1">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14:paraId="07C8123F">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生产经营单位接收中等职业学校、高等学校学生实习的，应当对实习学生进行相应的安全生产教育和培训，提供必要的劳动防护用品。学校应当协助生产经营单位对实习学生进行安全生产教育和培训。</w:t>
            </w:r>
          </w:p>
          <w:p w14:paraId="034587E8">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生产经营单位应当建立安全生产教育和培训档案，如实记录安全生产教育和培训的时间、内容、参加人员以及考核结果等情况。</w:t>
            </w:r>
          </w:p>
        </w:tc>
        <w:tc>
          <w:tcPr>
            <w:tcW w:w="1185" w:type="dxa"/>
            <w:tcBorders>
              <w:top w:val="single" w:color="auto" w:sz="4" w:space="0"/>
              <w:left w:val="single" w:color="auto" w:sz="4" w:space="0"/>
              <w:bottom w:val="single" w:color="auto" w:sz="4" w:space="0"/>
              <w:right w:val="single" w:color="auto" w:sz="4" w:space="0"/>
            </w:tcBorders>
            <w:vAlign w:val="center"/>
          </w:tcPr>
          <w:p w14:paraId="37A69A9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2F1281E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二十八条</w:t>
            </w:r>
          </w:p>
        </w:tc>
        <w:tc>
          <w:tcPr>
            <w:tcW w:w="1935" w:type="dxa"/>
            <w:tcBorders>
              <w:top w:val="single" w:color="auto" w:sz="4" w:space="0"/>
              <w:left w:val="single" w:color="auto" w:sz="4" w:space="0"/>
              <w:bottom w:val="single" w:color="auto" w:sz="4" w:space="0"/>
              <w:right w:val="single" w:color="auto" w:sz="4" w:space="0"/>
            </w:tcBorders>
            <w:vAlign w:val="center"/>
          </w:tcPr>
          <w:p w14:paraId="432E041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签署有安全</w:t>
            </w:r>
            <w:r>
              <w:rPr>
                <w:rFonts w:hint="eastAsia" w:ascii="宋体" w:hAnsi="宋体" w:eastAsia="宋体" w:cs="宋体"/>
                <w:color w:val="000000" w:themeColor="text1"/>
                <w:sz w:val="21"/>
                <w:szCs w:val="21"/>
                <w:lang w:val="en-US" w:eastAsia="zh-CN"/>
                <w14:textFill>
                  <w14:solidFill>
                    <w14:schemeClr w14:val="tx1"/>
                  </w14:solidFill>
                </w14:textFill>
              </w:rPr>
              <w:t>生产责任书</w:t>
            </w:r>
            <w:r>
              <w:rPr>
                <w:rFonts w:hint="eastAsia" w:ascii="宋体" w:hAnsi="宋体" w:eastAsia="宋体" w:cs="宋体"/>
                <w:color w:val="000000" w:themeColor="text1"/>
                <w:sz w:val="21"/>
                <w:szCs w:val="21"/>
                <w14:textFill>
                  <w14:solidFill>
                    <w14:schemeClr w14:val="tx1"/>
                  </w14:solidFill>
                </w14:textFill>
              </w:rPr>
              <w:t>，并有相关培训记录和台账。</w:t>
            </w:r>
          </w:p>
        </w:tc>
        <w:tc>
          <w:tcPr>
            <w:tcW w:w="701" w:type="dxa"/>
            <w:tcBorders>
              <w:top w:val="single" w:color="auto" w:sz="4" w:space="0"/>
              <w:left w:val="single" w:color="auto" w:sz="4" w:space="0"/>
              <w:bottom w:val="single" w:color="auto" w:sz="4" w:space="0"/>
              <w:right w:val="single" w:color="auto" w:sz="4" w:space="0"/>
            </w:tcBorders>
            <w:vAlign w:val="center"/>
          </w:tcPr>
          <w:p w14:paraId="3BEB330D">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059C9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200E1164">
            <w:pPr>
              <w:numPr>
                <w:ilvl w:val="0"/>
                <w:numId w:val="17"/>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35D9601A">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生产经营单位采用新工艺、新技术、新材料或者使用新设备，必须了解、掌握其安全技术特性，采取有效的安全防护措施，并对从业人员进行专门的安全生产教育和培训。</w:t>
            </w:r>
          </w:p>
        </w:tc>
        <w:tc>
          <w:tcPr>
            <w:tcW w:w="1185" w:type="dxa"/>
            <w:tcBorders>
              <w:top w:val="single" w:color="auto" w:sz="4" w:space="0"/>
              <w:left w:val="single" w:color="auto" w:sz="4" w:space="0"/>
              <w:bottom w:val="single" w:color="auto" w:sz="4" w:space="0"/>
              <w:right w:val="single" w:color="auto" w:sz="4" w:space="0"/>
            </w:tcBorders>
            <w:vAlign w:val="center"/>
          </w:tcPr>
          <w:p w14:paraId="7CB0066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1196EFF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二十九条</w:t>
            </w:r>
          </w:p>
        </w:tc>
        <w:tc>
          <w:tcPr>
            <w:tcW w:w="1935" w:type="dxa"/>
            <w:tcBorders>
              <w:top w:val="single" w:color="auto" w:sz="4" w:space="0"/>
              <w:left w:val="single" w:color="auto" w:sz="4" w:space="0"/>
              <w:bottom w:val="single" w:color="auto" w:sz="4" w:space="0"/>
              <w:right w:val="single" w:color="auto" w:sz="4" w:space="0"/>
            </w:tcBorders>
            <w:vAlign w:val="center"/>
          </w:tcPr>
          <w:p w14:paraId="75BCE27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公司对职工进行了针对性安全培训。</w:t>
            </w:r>
          </w:p>
        </w:tc>
        <w:tc>
          <w:tcPr>
            <w:tcW w:w="701" w:type="dxa"/>
            <w:tcBorders>
              <w:top w:val="single" w:color="auto" w:sz="4" w:space="0"/>
              <w:left w:val="single" w:color="auto" w:sz="4" w:space="0"/>
              <w:bottom w:val="single" w:color="auto" w:sz="4" w:space="0"/>
              <w:right w:val="single" w:color="auto" w:sz="4" w:space="0"/>
            </w:tcBorders>
            <w:vAlign w:val="center"/>
          </w:tcPr>
          <w:p w14:paraId="5DB4EF3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300C4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7D580F3E">
            <w:pPr>
              <w:numPr>
                <w:ilvl w:val="0"/>
                <w:numId w:val="17"/>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3CBDD526">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生产经营单位的特种作业人员必须按照国家有关规定经专门的安全作业培训，取得相应资格，方可上岗作业。</w:t>
            </w:r>
          </w:p>
          <w:p w14:paraId="0FD3C099">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特种作业人员的范围由国务院应急管理部门会同国务院有关部门确定。</w:t>
            </w:r>
          </w:p>
        </w:tc>
        <w:tc>
          <w:tcPr>
            <w:tcW w:w="1185" w:type="dxa"/>
            <w:tcBorders>
              <w:top w:val="single" w:color="auto" w:sz="4" w:space="0"/>
              <w:left w:val="single" w:color="auto" w:sz="4" w:space="0"/>
              <w:bottom w:val="single" w:color="auto" w:sz="4" w:space="0"/>
              <w:right w:val="single" w:color="auto" w:sz="4" w:space="0"/>
            </w:tcBorders>
            <w:vAlign w:val="center"/>
          </w:tcPr>
          <w:p w14:paraId="74436D2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1CCB41EF">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三十条</w:t>
            </w:r>
          </w:p>
        </w:tc>
        <w:tc>
          <w:tcPr>
            <w:tcW w:w="1935" w:type="dxa"/>
            <w:tcBorders>
              <w:top w:val="single" w:color="auto" w:sz="4" w:space="0"/>
              <w:left w:val="single" w:color="auto" w:sz="4" w:space="0"/>
              <w:bottom w:val="single" w:color="auto" w:sz="4" w:space="0"/>
              <w:right w:val="single" w:color="auto" w:sz="4" w:space="0"/>
            </w:tcBorders>
            <w:vAlign w:val="center"/>
          </w:tcPr>
          <w:p w14:paraId="3A1FC40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该企业特种作业人员</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电工</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取得相应资格，持证上岗。</w:t>
            </w:r>
          </w:p>
        </w:tc>
        <w:tc>
          <w:tcPr>
            <w:tcW w:w="701" w:type="dxa"/>
            <w:tcBorders>
              <w:top w:val="single" w:color="auto" w:sz="4" w:space="0"/>
              <w:left w:val="single" w:color="auto" w:sz="4" w:space="0"/>
              <w:bottom w:val="single" w:color="auto" w:sz="4" w:space="0"/>
              <w:right w:val="single" w:color="auto" w:sz="4" w:space="0"/>
            </w:tcBorders>
            <w:vAlign w:val="center"/>
          </w:tcPr>
          <w:p w14:paraId="41D66A1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66C41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4EA2DBA2">
            <w:pPr>
              <w:numPr>
                <w:ilvl w:val="0"/>
                <w:numId w:val="17"/>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3D64BCB9">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生产经营单位应当在有较大危险因素的生产经营场所和有关设施、设备上，设置明显的安全警示标志。</w:t>
            </w:r>
          </w:p>
        </w:tc>
        <w:tc>
          <w:tcPr>
            <w:tcW w:w="1185" w:type="dxa"/>
            <w:tcBorders>
              <w:top w:val="single" w:color="auto" w:sz="4" w:space="0"/>
              <w:left w:val="single" w:color="auto" w:sz="4" w:space="0"/>
              <w:bottom w:val="single" w:color="auto" w:sz="4" w:space="0"/>
              <w:right w:val="single" w:color="auto" w:sz="4" w:space="0"/>
            </w:tcBorders>
            <w:vAlign w:val="center"/>
          </w:tcPr>
          <w:p w14:paraId="5BD88B3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55077E85">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三十五条</w:t>
            </w:r>
          </w:p>
        </w:tc>
        <w:tc>
          <w:tcPr>
            <w:tcW w:w="1935" w:type="dxa"/>
            <w:tcBorders>
              <w:top w:val="single" w:color="auto" w:sz="4" w:space="0"/>
              <w:left w:val="single" w:color="auto" w:sz="4" w:space="0"/>
              <w:bottom w:val="single" w:color="auto" w:sz="4" w:space="0"/>
              <w:right w:val="single" w:color="auto" w:sz="4" w:space="0"/>
            </w:tcBorders>
            <w:vAlign w:val="center"/>
          </w:tcPr>
          <w:p w14:paraId="5B2BA25B">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现场设置明显的安全警示标志。</w:t>
            </w:r>
          </w:p>
        </w:tc>
        <w:tc>
          <w:tcPr>
            <w:tcW w:w="701" w:type="dxa"/>
            <w:tcBorders>
              <w:top w:val="single" w:color="auto" w:sz="4" w:space="0"/>
              <w:left w:val="single" w:color="auto" w:sz="4" w:space="0"/>
              <w:bottom w:val="single" w:color="auto" w:sz="4" w:space="0"/>
              <w:right w:val="single" w:color="auto" w:sz="4" w:space="0"/>
            </w:tcBorders>
            <w:vAlign w:val="center"/>
          </w:tcPr>
          <w:p w14:paraId="187A75F3">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F11F8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3D8AD344">
            <w:pPr>
              <w:numPr>
                <w:ilvl w:val="0"/>
                <w:numId w:val="17"/>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0B349AEA">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安全设备的设计、制造、安装、使用、检测、维修、改造和报废，应当符合国家标准或者行业标准。</w:t>
            </w:r>
          </w:p>
          <w:p w14:paraId="0BF190DE">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生产经营单位必须对安全设备进行经常性维护、保养，并定期检测，保证正常运转。维护、保养、检测应当作好记录，并由有关人员签字。</w:t>
            </w:r>
          </w:p>
          <w:p w14:paraId="19C2B4CF">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生产经营单位不得关闭、破坏直接关系生产安全的监控、报警、防护、救生设备、设施，或者篡改、隐瞒、销毁其相关数据、信息。</w:t>
            </w:r>
          </w:p>
          <w:p w14:paraId="2EA9281D">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餐饮等行业的生产经营单位使用燃气的，应当安装可燃气体报警装置，并保障其正常使用。</w:t>
            </w:r>
          </w:p>
        </w:tc>
        <w:tc>
          <w:tcPr>
            <w:tcW w:w="1185" w:type="dxa"/>
            <w:tcBorders>
              <w:top w:val="single" w:color="auto" w:sz="4" w:space="0"/>
              <w:left w:val="single" w:color="auto" w:sz="4" w:space="0"/>
              <w:bottom w:val="single" w:color="auto" w:sz="4" w:space="0"/>
              <w:right w:val="single" w:color="auto" w:sz="4" w:space="0"/>
            </w:tcBorders>
            <w:vAlign w:val="center"/>
          </w:tcPr>
          <w:p w14:paraId="3AE1259F">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173ABBB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三十六条</w:t>
            </w:r>
          </w:p>
        </w:tc>
        <w:tc>
          <w:tcPr>
            <w:tcW w:w="1935" w:type="dxa"/>
            <w:tcBorders>
              <w:top w:val="single" w:color="auto" w:sz="4" w:space="0"/>
              <w:left w:val="single" w:color="auto" w:sz="4" w:space="0"/>
              <w:bottom w:val="single" w:color="auto" w:sz="4" w:space="0"/>
              <w:right w:val="single" w:color="auto" w:sz="4" w:space="0"/>
            </w:tcBorders>
            <w:vAlign w:val="center"/>
          </w:tcPr>
          <w:p w14:paraId="5E34C76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能对安全设备进行经常性维护、保养。</w:t>
            </w:r>
          </w:p>
        </w:tc>
        <w:tc>
          <w:tcPr>
            <w:tcW w:w="701" w:type="dxa"/>
            <w:tcBorders>
              <w:top w:val="single" w:color="auto" w:sz="4" w:space="0"/>
              <w:left w:val="single" w:color="auto" w:sz="4" w:space="0"/>
              <w:bottom w:val="single" w:color="auto" w:sz="4" w:space="0"/>
              <w:right w:val="single" w:color="auto" w:sz="4" w:space="0"/>
            </w:tcBorders>
            <w:vAlign w:val="center"/>
          </w:tcPr>
          <w:p w14:paraId="5767409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6F8D9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704D6202">
            <w:pPr>
              <w:numPr>
                <w:ilvl w:val="0"/>
                <w:numId w:val="17"/>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3B2FC90C">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生产经营单位应当建立安全风险分级管控制度，按照安全风险分级采取相应的管控措施。</w:t>
            </w:r>
          </w:p>
          <w:p w14:paraId="0BA8AC27">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tc>
        <w:tc>
          <w:tcPr>
            <w:tcW w:w="1185" w:type="dxa"/>
            <w:tcBorders>
              <w:top w:val="single" w:color="auto" w:sz="4" w:space="0"/>
              <w:left w:val="single" w:color="auto" w:sz="4" w:space="0"/>
              <w:bottom w:val="single" w:color="auto" w:sz="4" w:space="0"/>
              <w:right w:val="single" w:color="auto" w:sz="4" w:space="0"/>
            </w:tcBorders>
            <w:vAlign w:val="center"/>
          </w:tcPr>
          <w:p w14:paraId="129858A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4013780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四十一条</w:t>
            </w:r>
          </w:p>
        </w:tc>
        <w:tc>
          <w:tcPr>
            <w:tcW w:w="1935" w:type="dxa"/>
            <w:tcBorders>
              <w:top w:val="single" w:color="auto" w:sz="4" w:space="0"/>
              <w:left w:val="single" w:color="auto" w:sz="4" w:space="0"/>
              <w:bottom w:val="single" w:color="auto" w:sz="4" w:space="0"/>
              <w:right w:val="single" w:color="auto" w:sz="4" w:space="0"/>
            </w:tcBorders>
            <w:vAlign w:val="center"/>
          </w:tcPr>
          <w:p w14:paraId="7F4C77A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建立有隐患排查的相关管理制度并定期组织排查。</w:t>
            </w:r>
          </w:p>
        </w:tc>
        <w:tc>
          <w:tcPr>
            <w:tcW w:w="701" w:type="dxa"/>
            <w:tcBorders>
              <w:top w:val="single" w:color="auto" w:sz="4" w:space="0"/>
              <w:left w:val="single" w:color="auto" w:sz="4" w:space="0"/>
              <w:bottom w:val="single" w:color="auto" w:sz="4" w:space="0"/>
              <w:right w:val="single" w:color="auto" w:sz="4" w:space="0"/>
            </w:tcBorders>
            <w:vAlign w:val="center"/>
          </w:tcPr>
          <w:p w14:paraId="2A62DAE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60A60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11E3616D">
            <w:pPr>
              <w:numPr>
                <w:ilvl w:val="0"/>
                <w:numId w:val="17"/>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21934AAE">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生产、经营、储存、使用危险物品的车间、商店、仓库不得与员工宿舍在同一座建筑物内，并应当与员工宿舍保持安全距离。</w:t>
            </w:r>
          </w:p>
          <w:p w14:paraId="66FCF277">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生产经营场所和员工宿舍应当设有符合紧急疏散要求、标志明显、保持畅通的出口、疏散通道。禁止占用、锁闭、封堵生产经营场所或者员工宿舍的出口、疏散通道。</w:t>
            </w:r>
          </w:p>
        </w:tc>
        <w:tc>
          <w:tcPr>
            <w:tcW w:w="1185" w:type="dxa"/>
            <w:tcBorders>
              <w:top w:val="single" w:color="auto" w:sz="4" w:space="0"/>
              <w:left w:val="single" w:color="auto" w:sz="4" w:space="0"/>
              <w:bottom w:val="single" w:color="auto" w:sz="4" w:space="0"/>
              <w:right w:val="single" w:color="auto" w:sz="4" w:space="0"/>
            </w:tcBorders>
            <w:vAlign w:val="center"/>
          </w:tcPr>
          <w:p w14:paraId="4FBCD99F">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3C08E16E">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四十二条</w:t>
            </w:r>
          </w:p>
        </w:tc>
        <w:tc>
          <w:tcPr>
            <w:tcW w:w="1935" w:type="dxa"/>
            <w:tcBorders>
              <w:top w:val="single" w:color="auto" w:sz="4" w:space="0"/>
              <w:left w:val="single" w:color="auto" w:sz="4" w:space="0"/>
              <w:bottom w:val="single" w:color="auto" w:sz="4" w:space="0"/>
              <w:right w:val="single" w:color="auto" w:sz="4" w:space="0"/>
            </w:tcBorders>
            <w:vAlign w:val="center"/>
          </w:tcPr>
          <w:p w14:paraId="322BF999">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生产区域内未设置员工宿舍。</w:t>
            </w:r>
          </w:p>
          <w:p w14:paraId="2A08BF43">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各作业场所安全出口符合要求。</w:t>
            </w:r>
          </w:p>
        </w:tc>
        <w:tc>
          <w:tcPr>
            <w:tcW w:w="701" w:type="dxa"/>
            <w:tcBorders>
              <w:top w:val="single" w:color="auto" w:sz="4" w:space="0"/>
              <w:left w:val="single" w:color="auto" w:sz="4" w:space="0"/>
              <w:bottom w:val="single" w:color="auto" w:sz="4" w:space="0"/>
              <w:right w:val="single" w:color="auto" w:sz="4" w:space="0"/>
            </w:tcBorders>
            <w:vAlign w:val="center"/>
          </w:tcPr>
          <w:p w14:paraId="32F1DD4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CED5E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55B19E0D">
            <w:pPr>
              <w:numPr>
                <w:ilvl w:val="0"/>
                <w:numId w:val="17"/>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38D99510">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生产经营单位必须为从业人员提供符合国家标准或者行业标准的劳动防护用品，并监督、教育从业人员按照使用规则佩戴、使用。</w:t>
            </w:r>
          </w:p>
        </w:tc>
        <w:tc>
          <w:tcPr>
            <w:tcW w:w="1185" w:type="dxa"/>
            <w:tcBorders>
              <w:top w:val="single" w:color="auto" w:sz="4" w:space="0"/>
              <w:left w:val="single" w:color="auto" w:sz="4" w:space="0"/>
              <w:bottom w:val="single" w:color="auto" w:sz="4" w:space="0"/>
              <w:right w:val="single" w:color="auto" w:sz="4" w:space="0"/>
            </w:tcBorders>
            <w:vAlign w:val="center"/>
          </w:tcPr>
          <w:p w14:paraId="31591B9C">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0B5818CB">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四十五条</w:t>
            </w:r>
          </w:p>
        </w:tc>
        <w:tc>
          <w:tcPr>
            <w:tcW w:w="1935" w:type="dxa"/>
            <w:tcBorders>
              <w:top w:val="single" w:color="auto" w:sz="4" w:space="0"/>
              <w:left w:val="single" w:color="auto" w:sz="4" w:space="0"/>
              <w:bottom w:val="single" w:color="auto" w:sz="4" w:space="0"/>
              <w:right w:val="single" w:color="auto" w:sz="4" w:space="0"/>
            </w:tcBorders>
            <w:vAlign w:val="center"/>
          </w:tcPr>
          <w:p w14:paraId="7C305BE6">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定期发放劳保用品，现场查看时工人能正确使用。</w:t>
            </w:r>
          </w:p>
        </w:tc>
        <w:tc>
          <w:tcPr>
            <w:tcW w:w="701" w:type="dxa"/>
            <w:tcBorders>
              <w:top w:val="single" w:color="auto" w:sz="4" w:space="0"/>
              <w:left w:val="single" w:color="auto" w:sz="4" w:space="0"/>
              <w:bottom w:val="single" w:color="auto" w:sz="4" w:space="0"/>
              <w:right w:val="single" w:color="auto" w:sz="4" w:space="0"/>
            </w:tcBorders>
            <w:vAlign w:val="center"/>
          </w:tcPr>
          <w:p w14:paraId="734D1E7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56771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7D32652F">
            <w:pPr>
              <w:numPr>
                <w:ilvl w:val="0"/>
                <w:numId w:val="17"/>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69018F52">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14:paraId="7FC8B1D2">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1185" w:type="dxa"/>
            <w:tcBorders>
              <w:top w:val="single" w:color="auto" w:sz="4" w:space="0"/>
              <w:left w:val="single" w:color="auto" w:sz="4" w:space="0"/>
              <w:bottom w:val="single" w:color="auto" w:sz="4" w:space="0"/>
              <w:right w:val="single" w:color="auto" w:sz="4" w:space="0"/>
            </w:tcBorders>
            <w:vAlign w:val="center"/>
          </w:tcPr>
          <w:p w14:paraId="5C611EB2">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186EAC72">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四十六条</w:t>
            </w:r>
          </w:p>
        </w:tc>
        <w:tc>
          <w:tcPr>
            <w:tcW w:w="1935" w:type="dxa"/>
            <w:tcBorders>
              <w:top w:val="single" w:color="auto" w:sz="4" w:space="0"/>
              <w:left w:val="single" w:color="auto" w:sz="4" w:space="0"/>
              <w:bottom w:val="single" w:color="auto" w:sz="4" w:space="0"/>
              <w:right w:val="single" w:color="auto" w:sz="4" w:space="0"/>
            </w:tcBorders>
            <w:vAlign w:val="center"/>
          </w:tcPr>
          <w:p w14:paraId="6B6FA389">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按制度要求进行各类检查，对发现的问题及时进行整改。</w:t>
            </w:r>
          </w:p>
        </w:tc>
        <w:tc>
          <w:tcPr>
            <w:tcW w:w="701" w:type="dxa"/>
            <w:tcBorders>
              <w:top w:val="single" w:color="auto" w:sz="4" w:space="0"/>
              <w:left w:val="single" w:color="auto" w:sz="4" w:space="0"/>
              <w:bottom w:val="single" w:color="auto" w:sz="4" w:space="0"/>
              <w:right w:val="single" w:color="auto" w:sz="4" w:space="0"/>
            </w:tcBorders>
            <w:vAlign w:val="center"/>
          </w:tcPr>
          <w:p w14:paraId="621B981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6AC62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3F05CFC2">
            <w:pPr>
              <w:numPr>
                <w:ilvl w:val="0"/>
                <w:numId w:val="17"/>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3B908E88">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生产经营单位应当安排用于配备劳动防护用品、进行安全生产培训的经费。</w:t>
            </w:r>
          </w:p>
        </w:tc>
        <w:tc>
          <w:tcPr>
            <w:tcW w:w="1185" w:type="dxa"/>
            <w:tcBorders>
              <w:top w:val="single" w:color="auto" w:sz="4" w:space="0"/>
              <w:left w:val="single" w:color="auto" w:sz="4" w:space="0"/>
              <w:bottom w:val="single" w:color="auto" w:sz="4" w:space="0"/>
              <w:right w:val="single" w:color="auto" w:sz="4" w:space="0"/>
            </w:tcBorders>
            <w:vAlign w:val="center"/>
          </w:tcPr>
          <w:p w14:paraId="5EB15E75">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53A1E2D0">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四十七条</w:t>
            </w:r>
          </w:p>
        </w:tc>
        <w:tc>
          <w:tcPr>
            <w:tcW w:w="1935" w:type="dxa"/>
            <w:tcBorders>
              <w:top w:val="single" w:color="auto" w:sz="4" w:space="0"/>
              <w:left w:val="single" w:color="auto" w:sz="4" w:space="0"/>
              <w:bottom w:val="single" w:color="auto" w:sz="4" w:space="0"/>
              <w:right w:val="single" w:color="auto" w:sz="4" w:space="0"/>
            </w:tcBorders>
            <w:vAlign w:val="center"/>
          </w:tcPr>
          <w:p w14:paraId="4E426D40">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有配备劳动防护用品和安全培训的经费。</w:t>
            </w:r>
          </w:p>
        </w:tc>
        <w:tc>
          <w:tcPr>
            <w:tcW w:w="701" w:type="dxa"/>
            <w:tcBorders>
              <w:top w:val="single" w:color="auto" w:sz="4" w:space="0"/>
              <w:left w:val="single" w:color="auto" w:sz="4" w:space="0"/>
              <w:bottom w:val="single" w:color="auto" w:sz="4" w:space="0"/>
              <w:right w:val="single" w:color="auto" w:sz="4" w:space="0"/>
            </w:tcBorders>
            <w:vAlign w:val="center"/>
          </w:tcPr>
          <w:p w14:paraId="7E9EE175">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F3973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02E8E3C3">
            <w:pPr>
              <w:numPr>
                <w:ilvl w:val="0"/>
                <w:numId w:val="17"/>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2747875E">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生产经营单位不得将生产经营项目、场所、设备发包或者出租给不具备安全生产条件或者相应资质的单位或者个人。</w:t>
            </w:r>
          </w:p>
          <w:p w14:paraId="4BCA0CEE">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tc>
        <w:tc>
          <w:tcPr>
            <w:tcW w:w="1185" w:type="dxa"/>
            <w:tcBorders>
              <w:top w:val="single" w:color="auto" w:sz="4" w:space="0"/>
              <w:left w:val="single" w:color="auto" w:sz="4" w:space="0"/>
              <w:bottom w:val="single" w:color="auto" w:sz="4" w:space="0"/>
              <w:right w:val="single" w:color="auto" w:sz="4" w:space="0"/>
            </w:tcBorders>
            <w:vAlign w:val="center"/>
          </w:tcPr>
          <w:p w14:paraId="53459D05">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7FA2369D">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四十九条</w:t>
            </w:r>
          </w:p>
        </w:tc>
        <w:tc>
          <w:tcPr>
            <w:tcW w:w="1935" w:type="dxa"/>
            <w:tcBorders>
              <w:top w:val="single" w:color="auto" w:sz="4" w:space="0"/>
              <w:left w:val="single" w:color="auto" w:sz="4" w:space="0"/>
              <w:bottom w:val="single" w:color="auto" w:sz="4" w:space="0"/>
              <w:right w:val="single" w:color="auto" w:sz="4" w:space="0"/>
            </w:tcBorders>
            <w:vAlign w:val="center"/>
          </w:tcPr>
          <w:p w14:paraId="7196ADC2">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各班组安全生产管理均为企业统一协调、管理。</w:t>
            </w:r>
          </w:p>
        </w:tc>
        <w:tc>
          <w:tcPr>
            <w:tcW w:w="701" w:type="dxa"/>
            <w:tcBorders>
              <w:top w:val="single" w:color="auto" w:sz="4" w:space="0"/>
              <w:left w:val="single" w:color="auto" w:sz="4" w:space="0"/>
              <w:bottom w:val="single" w:color="auto" w:sz="4" w:space="0"/>
              <w:right w:val="single" w:color="auto" w:sz="4" w:space="0"/>
            </w:tcBorders>
            <w:vAlign w:val="center"/>
          </w:tcPr>
          <w:p w14:paraId="57DEA7F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138A2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82" w:type="dxa"/>
            <w:tcBorders>
              <w:top w:val="single" w:color="auto" w:sz="4" w:space="0"/>
              <w:left w:val="single" w:color="auto" w:sz="4" w:space="0"/>
              <w:bottom w:val="single" w:color="auto" w:sz="4" w:space="0"/>
              <w:right w:val="single" w:color="auto" w:sz="4" w:space="0"/>
            </w:tcBorders>
            <w:vAlign w:val="center"/>
          </w:tcPr>
          <w:p w14:paraId="23029E81">
            <w:pPr>
              <w:numPr>
                <w:ilvl w:val="0"/>
                <w:numId w:val="17"/>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76C82436">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生产经营单位必须依法参加工伤保险，为</w:t>
            </w:r>
          </w:p>
          <w:p w14:paraId="30A10DC5">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从业人员缴纳保险费。</w:t>
            </w:r>
          </w:p>
        </w:tc>
        <w:tc>
          <w:tcPr>
            <w:tcW w:w="1185" w:type="dxa"/>
            <w:tcBorders>
              <w:top w:val="single" w:color="auto" w:sz="4" w:space="0"/>
              <w:left w:val="single" w:color="auto" w:sz="4" w:space="0"/>
              <w:bottom w:val="single" w:color="auto" w:sz="4" w:space="0"/>
              <w:right w:val="single" w:color="auto" w:sz="4" w:space="0"/>
            </w:tcBorders>
          </w:tcPr>
          <w:p w14:paraId="65449FF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2AF633C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五十一条</w:t>
            </w:r>
          </w:p>
        </w:tc>
        <w:tc>
          <w:tcPr>
            <w:tcW w:w="1935" w:type="dxa"/>
            <w:tcBorders>
              <w:top w:val="single" w:color="auto" w:sz="4" w:space="0"/>
              <w:left w:val="single" w:color="auto" w:sz="4" w:space="0"/>
              <w:bottom w:val="single" w:color="auto" w:sz="4" w:space="0"/>
              <w:right w:val="single" w:color="auto" w:sz="4" w:space="0"/>
            </w:tcBorders>
            <w:vAlign w:val="center"/>
          </w:tcPr>
          <w:p w14:paraId="6F9F9379">
            <w:pPr>
              <w:adjustRightInd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已购买工伤保险。</w:t>
            </w:r>
          </w:p>
        </w:tc>
        <w:tc>
          <w:tcPr>
            <w:tcW w:w="701" w:type="dxa"/>
            <w:tcBorders>
              <w:top w:val="single" w:color="auto" w:sz="4" w:space="0"/>
              <w:left w:val="single" w:color="auto" w:sz="4" w:space="0"/>
              <w:bottom w:val="single" w:color="auto" w:sz="4" w:space="0"/>
              <w:right w:val="single" w:color="auto" w:sz="4" w:space="0"/>
            </w:tcBorders>
            <w:vAlign w:val="center"/>
          </w:tcPr>
          <w:p w14:paraId="404F3F6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0D33F39F">
      <w:pPr>
        <w:pStyle w:val="218"/>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snapToGrid w:val="0"/>
          <w:color w:val="000000" w:themeColor="text1"/>
          <w14:textFill>
            <w14:solidFill>
              <w14:schemeClr w14:val="tx1"/>
            </w14:solidFill>
          </w14:textFill>
        </w:rPr>
      </w:pPr>
      <w:r>
        <w:rPr>
          <w:rFonts w:hint="eastAsia" w:ascii="宋体" w:hAnsi="宋体" w:eastAsia="宋体" w:cs="宋体"/>
          <w:snapToGrid w:val="0"/>
          <w:color w:val="000000" w:themeColor="text1"/>
          <w14:textFill>
            <w14:solidFill>
              <w14:schemeClr w14:val="tx1"/>
            </w14:solidFill>
          </w14:textFill>
        </w:rPr>
        <w:t>检查评价结果：</w:t>
      </w:r>
    </w:p>
    <w:p w14:paraId="5EED464F">
      <w:pPr>
        <w:pStyle w:val="218"/>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snapToGrid w:val="0"/>
          <w:color w:val="000000" w:themeColor="text1"/>
          <w14:textFill>
            <w14:solidFill>
              <w14:schemeClr w14:val="tx1"/>
            </w14:solidFill>
          </w14:textFill>
        </w:rPr>
      </w:pPr>
      <w:r>
        <w:rPr>
          <w:rFonts w:hint="eastAsia" w:ascii="宋体" w:hAnsi="宋体" w:eastAsia="宋体" w:cs="宋体"/>
          <w:snapToGrid w:val="0"/>
          <w:color w:val="000000" w:themeColor="text1"/>
          <w14:textFill>
            <w14:solidFill>
              <w14:schemeClr w14:val="tx1"/>
            </w14:solidFill>
          </w14:textFill>
        </w:rPr>
        <w:t>公司成立了安全生产领导小组，</w:t>
      </w:r>
      <w:r>
        <w:rPr>
          <w:rFonts w:hint="eastAsia" w:ascii="宋体" w:hAnsi="宋体" w:eastAsia="宋体" w:cs="宋体"/>
          <w:snapToGrid w:val="0"/>
          <w:color w:val="000000" w:themeColor="text1"/>
          <w:lang w:val="en-US" w:eastAsia="zh-CN"/>
          <w14:textFill>
            <w14:solidFill>
              <w14:schemeClr w14:val="tx1"/>
            </w14:solidFill>
          </w14:textFill>
        </w:rPr>
        <w:t>配备</w:t>
      </w:r>
      <w:r>
        <w:rPr>
          <w:rFonts w:hint="eastAsia" w:ascii="宋体" w:hAnsi="宋体" w:eastAsia="宋体" w:cs="宋体"/>
          <w:snapToGrid w:val="0"/>
          <w:color w:val="000000" w:themeColor="text1"/>
          <w14:textFill>
            <w14:solidFill>
              <w14:schemeClr w14:val="tx1"/>
            </w14:solidFill>
          </w14:textFill>
        </w:rPr>
        <w:t>专职安全</w:t>
      </w:r>
      <w:r>
        <w:rPr>
          <w:rFonts w:hint="eastAsia" w:ascii="宋体" w:hAnsi="宋体" w:eastAsia="宋体" w:cs="宋体"/>
          <w:snapToGrid w:val="0"/>
          <w:color w:val="000000" w:themeColor="text1"/>
          <w:lang w:val="en-US" w:eastAsia="zh-CN"/>
          <w14:textFill>
            <w14:solidFill>
              <w14:schemeClr w14:val="tx1"/>
            </w14:solidFill>
          </w14:textFill>
        </w:rPr>
        <w:t>管理员</w:t>
      </w:r>
      <w:r>
        <w:rPr>
          <w:rFonts w:hint="eastAsia" w:ascii="宋体" w:hAnsi="宋体" w:eastAsia="宋体" w:cs="宋体"/>
          <w:snapToGrid w:val="0"/>
          <w:color w:val="000000" w:themeColor="text1"/>
          <w14:textFill>
            <w14:solidFill>
              <w14:schemeClr w14:val="tx1"/>
            </w14:solidFill>
          </w14:textFill>
        </w:rPr>
        <w:t>，制定了相应的安全生产责任制、安全生产管理规章制度和安全操作规程，各类安全检查、安全教育培训均能正常开展。主要负责人、</w:t>
      </w:r>
      <w:r>
        <w:rPr>
          <w:rFonts w:hint="eastAsia" w:ascii="宋体" w:hAnsi="宋体" w:eastAsia="宋体" w:cs="宋体"/>
          <w:snapToGrid w:val="0"/>
          <w:color w:val="000000" w:themeColor="text1"/>
          <w:lang w:val="en-US" w:eastAsia="zh-CN"/>
          <w14:textFill>
            <w14:solidFill>
              <w14:schemeClr w14:val="tx1"/>
            </w14:solidFill>
          </w14:textFill>
        </w:rPr>
        <w:t>安全生产管理员、</w:t>
      </w:r>
      <w:r>
        <w:rPr>
          <w:rFonts w:hint="eastAsia" w:ascii="宋体" w:hAnsi="宋体" w:eastAsia="宋体" w:cs="宋体"/>
          <w:snapToGrid w:val="0"/>
          <w:color w:val="000000" w:themeColor="text1"/>
          <w14:textFill>
            <w14:solidFill>
              <w14:schemeClr w14:val="tx1"/>
            </w14:solidFill>
          </w14:textFill>
        </w:rPr>
        <w:t>特种作业人员均持证上岗。</w:t>
      </w:r>
    </w:p>
    <w:p w14:paraId="2C06F8A0">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807" w:name="_Toc18546"/>
      <w:bookmarkStart w:id="808" w:name="_Toc16893"/>
      <w:bookmarkStart w:id="809" w:name="_Toc20915"/>
      <w:bookmarkStart w:id="810" w:name="_Toc9999"/>
      <w:bookmarkStart w:id="811" w:name="_Toc472000511"/>
      <w:bookmarkStart w:id="812" w:name="_Toc465848474"/>
      <w:bookmarkStart w:id="813" w:name="_Toc455045022"/>
      <w:r>
        <w:rPr>
          <w:rFonts w:hint="eastAsia" w:ascii="宋体" w:hAnsi="宋体" w:eastAsia="宋体" w:cs="宋体"/>
          <w:color w:val="000000" w:themeColor="text1"/>
          <w:lang w:val="en-US" w:eastAsia="zh-CN"/>
          <w14:textFill>
            <w14:solidFill>
              <w14:schemeClr w14:val="tx1"/>
            </w14:solidFill>
          </w14:textFill>
        </w:rPr>
        <w:t>5.5.2 应急</w:t>
      </w:r>
      <w:bookmarkEnd w:id="807"/>
      <w:bookmarkEnd w:id="808"/>
      <w:r>
        <w:rPr>
          <w:rFonts w:hint="eastAsia" w:ascii="宋体" w:hAnsi="宋体" w:eastAsia="宋体" w:cs="宋体"/>
          <w:color w:val="000000" w:themeColor="text1"/>
          <w:lang w:val="en-US" w:eastAsia="zh-CN"/>
          <w14:textFill>
            <w14:solidFill>
              <w14:schemeClr w14:val="tx1"/>
            </w14:solidFill>
          </w14:textFill>
        </w:rPr>
        <w:t>救援预案</w:t>
      </w:r>
      <w:bookmarkEnd w:id="809"/>
      <w:bookmarkEnd w:id="810"/>
    </w:p>
    <w:bookmarkEnd w:id="811"/>
    <w:bookmarkEnd w:id="812"/>
    <w:bookmarkEnd w:id="813"/>
    <w:p w14:paraId="20F68C0D">
      <w:pPr>
        <w:adjustRightInd w:val="0"/>
        <w:snapToGrid w:val="0"/>
        <w:spacing w:line="480" w:lineRule="exact"/>
        <w:ind w:firstLine="560"/>
        <w:rPr>
          <w:rFonts w:hint="eastAsia" w:ascii="宋体" w:hAnsi="宋体" w:eastAsia="宋体" w:cs="宋体"/>
          <w:snapToGrid w:val="0"/>
          <w:color w:val="000000" w:themeColor="text1"/>
          <w:kern w:val="2"/>
          <w:sz w:val="28"/>
          <w:szCs w:val="28"/>
          <w:lang w:val="en-US" w:eastAsia="zh-CN" w:bidi="ar-SA"/>
          <w14:textFill>
            <w14:solidFill>
              <w14:schemeClr w14:val="tx1"/>
            </w14:solidFill>
          </w14:textFill>
        </w:rPr>
      </w:pPr>
      <w:r>
        <w:rPr>
          <w:rFonts w:hint="eastAsia" w:ascii="宋体" w:hAnsi="宋体" w:eastAsia="宋体" w:cs="宋体"/>
          <w:snapToGrid w:val="0"/>
          <w:color w:val="000000" w:themeColor="text1"/>
          <w:kern w:val="2"/>
          <w:sz w:val="28"/>
          <w:szCs w:val="28"/>
          <w:lang w:val="en-US" w:eastAsia="zh-CN" w:bidi="ar-SA"/>
          <w14:textFill>
            <w14:solidFill>
              <w14:schemeClr w14:val="tx1"/>
            </w14:solidFill>
          </w14:textFill>
        </w:rPr>
        <w:t>根据《中华人民共和国安全生产法》（中华人民共和国主席令第七十号，中华人民共和国主席令第八十八号修改）、《生产安全事故应急预案管理办法》（国家安全生产监督管理总局令第88号，根据应急管理部2号令修正）等法律法规的要求，对项目的事故应急救援管理进行分析评价。</w:t>
      </w:r>
    </w:p>
    <w:p w14:paraId="648E0C23">
      <w:pPr>
        <w:adjustRightInd w:val="0"/>
        <w:snapToGrid w:val="0"/>
        <w:spacing w:line="480" w:lineRule="exact"/>
        <w:ind w:firstLine="802" w:firstLineChars="333"/>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snapToGrid w:val="0"/>
          <w:color w:val="000000" w:themeColor="text1"/>
          <w:kern w:val="2"/>
          <w:sz w:val="24"/>
          <w:szCs w:val="24"/>
          <w:lang w:val="en-US" w:eastAsia="zh-CN" w:bidi="ar-SA"/>
          <w14:textFill>
            <w14:solidFill>
              <w14:schemeClr w14:val="tx1"/>
            </w14:solidFill>
          </w14:textFill>
        </w:rPr>
        <w:t>表5-10</w:t>
      </w:r>
      <w:r>
        <w:rPr>
          <w:rFonts w:hint="eastAsia" w:ascii="宋体" w:hAnsi="宋体" w:eastAsia="宋体" w:cs="宋体"/>
          <w:b/>
          <w:bCs/>
          <w:color w:val="000000" w:themeColor="text1"/>
          <w:sz w:val="24"/>
          <w:szCs w:val="24"/>
          <w14:textFill>
            <w14:solidFill>
              <w14:schemeClr w14:val="tx1"/>
            </w14:solidFill>
          </w14:textFill>
        </w:rPr>
        <w:t>事故应急救援预案检查表</w:t>
      </w:r>
    </w:p>
    <w:tbl>
      <w:tblPr>
        <w:tblStyle w:val="52"/>
        <w:tblW w:w="906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2"/>
        <w:gridCol w:w="3438"/>
        <w:gridCol w:w="2127"/>
        <w:gridCol w:w="2126"/>
        <w:gridCol w:w="709"/>
      </w:tblGrid>
      <w:tr w14:paraId="5021BE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97" w:hRule="atLeast"/>
          <w:tblHeader/>
          <w:jc w:val="center"/>
        </w:trPr>
        <w:tc>
          <w:tcPr>
            <w:tcW w:w="662" w:type="dxa"/>
            <w:tcBorders>
              <w:top w:val="single" w:color="auto" w:sz="4" w:space="0"/>
              <w:left w:val="single" w:color="auto" w:sz="4" w:space="0"/>
              <w:bottom w:val="single" w:color="auto" w:sz="4" w:space="0"/>
              <w:right w:val="single" w:color="auto" w:sz="4" w:space="0"/>
            </w:tcBorders>
            <w:vAlign w:val="center"/>
          </w:tcPr>
          <w:p w14:paraId="32429D00">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438" w:type="dxa"/>
            <w:tcBorders>
              <w:top w:val="single" w:color="auto" w:sz="4" w:space="0"/>
              <w:left w:val="single" w:color="auto" w:sz="4" w:space="0"/>
              <w:bottom w:val="single" w:color="auto" w:sz="4" w:space="0"/>
              <w:right w:val="single" w:color="auto" w:sz="4" w:space="0"/>
            </w:tcBorders>
            <w:vAlign w:val="center"/>
          </w:tcPr>
          <w:p w14:paraId="5A67A9C7">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检查内容</w:t>
            </w:r>
          </w:p>
        </w:tc>
        <w:tc>
          <w:tcPr>
            <w:tcW w:w="2127" w:type="dxa"/>
            <w:tcBorders>
              <w:top w:val="single" w:color="auto" w:sz="4" w:space="0"/>
              <w:left w:val="single" w:color="auto" w:sz="4" w:space="0"/>
              <w:bottom w:val="single" w:color="auto" w:sz="4" w:space="0"/>
              <w:right w:val="single" w:color="auto" w:sz="4" w:space="0"/>
            </w:tcBorders>
            <w:vAlign w:val="center"/>
          </w:tcPr>
          <w:p w14:paraId="6EBBA3CF">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依据标准</w:t>
            </w:r>
          </w:p>
        </w:tc>
        <w:tc>
          <w:tcPr>
            <w:tcW w:w="2126" w:type="dxa"/>
            <w:tcBorders>
              <w:top w:val="single" w:color="auto" w:sz="4" w:space="0"/>
              <w:left w:val="single" w:color="auto" w:sz="4" w:space="0"/>
              <w:bottom w:val="single" w:color="auto" w:sz="4" w:space="0"/>
              <w:right w:val="single" w:color="auto" w:sz="4" w:space="0"/>
            </w:tcBorders>
            <w:vAlign w:val="center"/>
          </w:tcPr>
          <w:p w14:paraId="2125147A">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检查情况</w:t>
            </w:r>
          </w:p>
        </w:tc>
        <w:tc>
          <w:tcPr>
            <w:tcW w:w="709" w:type="dxa"/>
            <w:tcBorders>
              <w:top w:val="single" w:color="auto" w:sz="4" w:space="0"/>
              <w:left w:val="single" w:color="auto" w:sz="4" w:space="0"/>
              <w:bottom w:val="single" w:color="auto" w:sz="4" w:space="0"/>
              <w:right w:val="single" w:color="auto" w:sz="4" w:space="0"/>
            </w:tcBorders>
            <w:vAlign w:val="center"/>
          </w:tcPr>
          <w:p w14:paraId="48598DF6">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结论</w:t>
            </w:r>
          </w:p>
        </w:tc>
      </w:tr>
      <w:tr w14:paraId="19959C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281E32B6">
            <w:pPr>
              <w:numPr>
                <w:ilvl w:val="0"/>
                <w:numId w:val="18"/>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0580749F">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生产经营单位应当制定本单位生产安全事故应急救援预案，与所在地县级以上地方人民政府组织制定的生产安全事故应急救援预案相衔接，并定期组织演练。</w:t>
            </w:r>
          </w:p>
        </w:tc>
        <w:tc>
          <w:tcPr>
            <w:tcW w:w="2127" w:type="dxa"/>
            <w:tcBorders>
              <w:top w:val="single" w:color="auto" w:sz="4" w:space="0"/>
              <w:left w:val="single" w:color="auto" w:sz="4" w:space="0"/>
              <w:bottom w:val="single" w:color="auto" w:sz="4" w:space="0"/>
              <w:right w:val="single" w:color="auto" w:sz="4" w:space="0"/>
            </w:tcBorders>
            <w:vAlign w:val="center"/>
          </w:tcPr>
          <w:p w14:paraId="4D8BBE5F">
            <w:pPr>
              <w:spacing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《中华人民共和国安全生产法》（中华人民共和国主席令第七十号，中华人民共和国主席令第八十八号修改）</w:t>
            </w:r>
          </w:p>
          <w:p w14:paraId="5E11DEB9">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第七十八条</w:t>
            </w:r>
          </w:p>
        </w:tc>
        <w:tc>
          <w:tcPr>
            <w:tcW w:w="2126" w:type="dxa"/>
            <w:tcBorders>
              <w:top w:val="single" w:color="auto" w:sz="4" w:space="0"/>
              <w:left w:val="single" w:color="auto" w:sz="4" w:space="0"/>
              <w:bottom w:val="single" w:color="auto" w:sz="4" w:space="0"/>
              <w:right w:val="single" w:color="auto" w:sz="4" w:space="0"/>
            </w:tcBorders>
            <w:vAlign w:val="center"/>
          </w:tcPr>
          <w:p w14:paraId="5D101A13">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企业制定了生产安全事故应急救援预案</w:t>
            </w:r>
            <w:r>
              <w:rPr>
                <w:rFonts w:hint="eastAsia" w:ascii="宋体" w:hAnsi="宋体" w:eastAsia="宋体" w:cs="宋体"/>
                <w:color w:val="000000" w:themeColor="text1"/>
                <w:sz w:val="21"/>
                <w:szCs w:val="21"/>
                <w14:textFill>
                  <w14:solidFill>
                    <w14:schemeClr w14:val="tx1"/>
                  </w14:solidFill>
                </w14:textFill>
              </w:rPr>
              <w:t>。</w:t>
            </w:r>
          </w:p>
        </w:tc>
        <w:tc>
          <w:tcPr>
            <w:tcW w:w="709" w:type="dxa"/>
            <w:tcBorders>
              <w:top w:val="single" w:color="auto" w:sz="4" w:space="0"/>
              <w:left w:val="single" w:color="auto" w:sz="4" w:space="0"/>
              <w:bottom w:val="single" w:color="auto" w:sz="4" w:space="0"/>
              <w:right w:val="single" w:color="auto" w:sz="4" w:space="0"/>
            </w:tcBorders>
            <w:vAlign w:val="center"/>
          </w:tcPr>
          <w:p w14:paraId="65A43345">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7EBB2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682D002C">
            <w:pPr>
              <w:numPr>
                <w:ilvl w:val="0"/>
                <w:numId w:val="18"/>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3586FEFA">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矿山、金属冶炼、建筑施工企业和易燃易爆物品、危险化学品的生产、经营（带储存设施的，下同）、储存企业，以及使用危险化学品达到国家规定数量的化工企业、烟花爆竹生产、批发经营企业和中型规模以上的其他生产经营单位，应当对本单位编制的应急预案进行评审，并形成书面评审纪要。</w:t>
            </w:r>
          </w:p>
          <w:p w14:paraId="528A1DFE">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前款规定以外的其他生产经营单位应当对本单位编制的应急预案进行论证。</w:t>
            </w:r>
          </w:p>
        </w:tc>
        <w:tc>
          <w:tcPr>
            <w:tcW w:w="2127" w:type="dxa"/>
            <w:tcBorders>
              <w:top w:val="single" w:color="auto" w:sz="4" w:space="0"/>
              <w:left w:val="single" w:color="auto" w:sz="4" w:space="0"/>
              <w:bottom w:val="single" w:color="auto" w:sz="4" w:space="0"/>
              <w:right w:val="single" w:color="auto" w:sz="4" w:space="0"/>
            </w:tcBorders>
            <w:vAlign w:val="center"/>
          </w:tcPr>
          <w:p w14:paraId="35565B27">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《生产安全事故应急预案管理办法》</w:t>
            </w:r>
          </w:p>
          <w:p w14:paraId="1F33DB19">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（国家安全生产监督管理总局令第88号，根据应急管理部2号令修正）</w:t>
            </w:r>
          </w:p>
          <w:p w14:paraId="7A840A64">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第二十一条</w:t>
            </w:r>
          </w:p>
        </w:tc>
        <w:tc>
          <w:tcPr>
            <w:tcW w:w="2126" w:type="dxa"/>
            <w:tcBorders>
              <w:top w:val="single" w:color="auto" w:sz="4" w:space="0"/>
              <w:left w:val="single" w:color="auto" w:sz="4" w:space="0"/>
              <w:bottom w:val="single" w:color="auto" w:sz="4" w:space="0"/>
              <w:right w:val="single" w:color="auto" w:sz="4" w:space="0"/>
            </w:tcBorders>
            <w:vAlign w:val="center"/>
          </w:tcPr>
          <w:p w14:paraId="1490B337">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企业制定了生产安全事故应急救援预案，并对应急预案进行评审，形成书面评审纪要</w:t>
            </w:r>
            <w:r>
              <w:rPr>
                <w:rFonts w:hint="eastAsia" w:ascii="宋体" w:hAnsi="宋体" w:eastAsia="宋体" w:cs="宋体"/>
                <w:color w:val="000000" w:themeColor="text1"/>
                <w:sz w:val="21"/>
                <w:szCs w:val="21"/>
                <w14:textFill>
                  <w14:solidFill>
                    <w14:schemeClr w14:val="tx1"/>
                  </w14:solidFill>
                </w14:textFill>
              </w:rPr>
              <w:t>。</w:t>
            </w:r>
          </w:p>
        </w:tc>
        <w:tc>
          <w:tcPr>
            <w:tcW w:w="709" w:type="dxa"/>
            <w:tcBorders>
              <w:top w:val="single" w:color="auto" w:sz="4" w:space="0"/>
              <w:left w:val="single" w:color="auto" w:sz="4" w:space="0"/>
              <w:bottom w:val="single" w:color="auto" w:sz="4" w:space="0"/>
              <w:right w:val="single" w:color="auto" w:sz="4" w:space="0"/>
            </w:tcBorders>
            <w:vAlign w:val="center"/>
          </w:tcPr>
          <w:p w14:paraId="768A0AC8">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26664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5AAFF47F">
            <w:pPr>
              <w:numPr>
                <w:ilvl w:val="0"/>
                <w:numId w:val="18"/>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585195BB">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易燃易爆物品、危险化学品等危险物品的生产、经营、储存、运输单位，矿山、金属冶炼、城市轨道交通运营、建筑施工单位，以及宾馆、商场、娱乐场所、旅游景区等人员密集场所经营单位，应当在应急预案公布之日起20个工作日内，按照分级属地原则，向县级以上人民政府应急管理部门和其他负有安全生产监督管理职责的部门进行备案，并依法向社会公布。</w:t>
            </w:r>
          </w:p>
        </w:tc>
        <w:tc>
          <w:tcPr>
            <w:tcW w:w="2127" w:type="dxa"/>
            <w:tcBorders>
              <w:top w:val="single" w:color="auto" w:sz="4" w:space="0"/>
              <w:left w:val="single" w:color="auto" w:sz="4" w:space="0"/>
              <w:bottom w:val="single" w:color="auto" w:sz="4" w:space="0"/>
              <w:right w:val="single" w:color="auto" w:sz="4" w:space="0"/>
            </w:tcBorders>
            <w:vAlign w:val="center"/>
          </w:tcPr>
          <w:p w14:paraId="4AF5A661">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《生产安全事故应急预案管理办法》</w:t>
            </w:r>
          </w:p>
          <w:p w14:paraId="730F73CE">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（国家安全生产监督管理总局令第88号，根据应急管理部2号令修正）</w:t>
            </w:r>
          </w:p>
          <w:p w14:paraId="593CA87F">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第二十六条</w:t>
            </w:r>
          </w:p>
        </w:tc>
        <w:tc>
          <w:tcPr>
            <w:tcW w:w="2126" w:type="dxa"/>
            <w:tcBorders>
              <w:top w:val="single" w:color="auto" w:sz="4" w:space="0"/>
              <w:left w:val="single" w:color="auto" w:sz="4" w:space="0"/>
              <w:bottom w:val="single" w:color="auto" w:sz="4" w:space="0"/>
              <w:right w:val="single" w:color="auto" w:sz="4" w:space="0"/>
            </w:tcBorders>
            <w:vAlign w:val="center"/>
          </w:tcPr>
          <w:p w14:paraId="3E0D8C8B">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已报送应急管理局备案。</w:t>
            </w:r>
          </w:p>
        </w:tc>
        <w:tc>
          <w:tcPr>
            <w:tcW w:w="709" w:type="dxa"/>
            <w:tcBorders>
              <w:top w:val="single" w:color="auto" w:sz="4" w:space="0"/>
              <w:left w:val="single" w:color="auto" w:sz="4" w:space="0"/>
              <w:bottom w:val="single" w:color="auto" w:sz="4" w:space="0"/>
              <w:right w:val="single" w:color="auto" w:sz="4" w:space="0"/>
            </w:tcBorders>
            <w:vAlign w:val="center"/>
          </w:tcPr>
          <w:p w14:paraId="5C356AA9">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F8F3C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6719B8DC">
            <w:pPr>
              <w:numPr>
                <w:ilvl w:val="0"/>
                <w:numId w:val="18"/>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11091EDF">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各级应急管理部门应当将本部门应急预案的培训纳入安全生产培训工作计划，并组织实施本行政区域内重点生产经营单位的应急预案培训工作。</w:t>
            </w:r>
          </w:p>
          <w:p w14:paraId="36907E1B">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生产经营单位应当组织开展本单位的应急预案、应急知识、自救互救和避险逃生技能的培训活动，使有关人员了解应急预案内容，熟悉应急职责、应急处置程序和措施。</w:t>
            </w:r>
          </w:p>
          <w:p w14:paraId="6F8C04ED">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应急培训的时间、地点、内容、师资、参加人员和考核结果等情况应当如实记入本单位的安全生产教育和培训档案。</w:t>
            </w:r>
          </w:p>
        </w:tc>
        <w:tc>
          <w:tcPr>
            <w:tcW w:w="2127" w:type="dxa"/>
            <w:tcBorders>
              <w:top w:val="single" w:color="auto" w:sz="4" w:space="0"/>
              <w:left w:val="single" w:color="auto" w:sz="4" w:space="0"/>
              <w:bottom w:val="single" w:color="auto" w:sz="4" w:space="0"/>
              <w:right w:val="single" w:color="auto" w:sz="4" w:space="0"/>
            </w:tcBorders>
            <w:vAlign w:val="center"/>
          </w:tcPr>
          <w:p w14:paraId="4D000CAD">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《生产安全事故应急预案管理办法》</w:t>
            </w:r>
          </w:p>
          <w:p w14:paraId="5E1DA3F8">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（国家安全生产监督管理总局令第88号，根据应急管理部2号令修正）</w:t>
            </w:r>
          </w:p>
          <w:p w14:paraId="2D143738">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bookmarkStart w:id="814" w:name="_Toc494296193"/>
            <w:bookmarkStart w:id="815" w:name="_Toc523950027"/>
            <w:bookmarkStart w:id="816" w:name="_Toc2253647"/>
            <w:bookmarkStart w:id="817" w:name="_Toc510859842"/>
            <w:r>
              <w:rPr>
                <w:rFonts w:hint="eastAsia" w:ascii="宋体" w:hAnsi="宋体" w:eastAsia="宋体" w:cs="宋体"/>
                <w:color w:val="000000" w:themeColor="text1"/>
                <w:sz w:val="21"/>
                <w:szCs w:val="21"/>
                <w14:textFill>
                  <w14:solidFill>
                    <w14:schemeClr w14:val="tx1"/>
                  </w14:solidFill>
                </w14:textFill>
              </w:rPr>
              <w:t>第三十一条</w:t>
            </w:r>
            <w:bookmarkEnd w:id="814"/>
            <w:bookmarkEnd w:id="815"/>
            <w:bookmarkEnd w:id="816"/>
            <w:bookmarkEnd w:id="817"/>
          </w:p>
        </w:tc>
        <w:tc>
          <w:tcPr>
            <w:tcW w:w="2126" w:type="dxa"/>
            <w:tcBorders>
              <w:top w:val="single" w:color="auto" w:sz="4" w:space="0"/>
              <w:left w:val="single" w:color="auto" w:sz="4" w:space="0"/>
              <w:bottom w:val="single" w:color="auto" w:sz="4" w:space="0"/>
              <w:right w:val="single" w:color="auto" w:sz="4" w:space="0"/>
            </w:tcBorders>
            <w:vAlign w:val="center"/>
          </w:tcPr>
          <w:p w14:paraId="4079D43F">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w:t>
            </w:r>
            <w:r>
              <w:rPr>
                <w:rFonts w:hint="eastAsia" w:ascii="宋体" w:hAnsi="宋体" w:eastAsia="宋体" w:cs="宋体"/>
                <w:color w:val="000000" w:themeColor="text1"/>
                <w:sz w:val="21"/>
                <w:szCs w:val="21"/>
                <w:lang w:val="en-US" w:eastAsia="zh-CN"/>
                <w14:textFill>
                  <w14:solidFill>
                    <w14:schemeClr w14:val="tx1"/>
                  </w14:solidFill>
                </w14:textFill>
              </w:rPr>
              <w:t>按要求</w:t>
            </w:r>
            <w:r>
              <w:rPr>
                <w:rFonts w:hint="eastAsia" w:ascii="宋体" w:hAnsi="宋体" w:eastAsia="宋体" w:cs="宋体"/>
                <w:color w:val="000000" w:themeColor="text1"/>
                <w:sz w:val="21"/>
                <w:szCs w:val="21"/>
                <w14:textFill>
                  <w14:solidFill>
                    <w14:schemeClr w14:val="tx1"/>
                  </w14:solidFill>
                </w14:textFill>
              </w:rPr>
              <w:t>组织开展应急预案、应急知识、自救互救和避险逃生技能的培训活动</w:t>
            </w:r>
            <w:r>
              <w:rPr>
                <w:rFonts w:hint="eastAsia" w:ascii="宋体" w:hAnsi="宋体" w:eastAsia="宋体" w:cs="宋体"/>
                <w:color w:val="000000" w:themeColor="text1"/>
                <w:sz w:val="21"/>
                <w:szCs w:val="21"/>
                <w14:textFill>
                  <w14:solidFill>
                    <w14:schemeClr w14:val="tx1"/>
                  </w14:solidFill>
                </w14:textFill>
              </w:rPr>
              <w:t>。</w:t>
            </w:r>
          </w:p>
        </w:tc>
        <w:tc>
          <w:tcPr>
            <w:tcW w:w="709" w:type="dxa"/>
            <w:tcBorders>
              <w:top w:val="single" w:color="auto" w:sz="4" w:space="0"/>
              <w:left w:val="single" w:color="auto" w:sz="4" w:space="0"/>
              <w:bottom w:val="single" w:color="auto" w:sz="4" w:space="0"/>
              <w:right w:val="single" w:color="auto" w:sz="4" w:space="0"/>
            </w:tcBorders>
            <w:vAlign w:val="center"/>
          </w:tcPr>
          <w:p w14:paraId="1E38CB34">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8F833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3B2CCBB8">
            <w:pPr>
              <w:numPr>
                <w:ilvl w:val="0"/>
                <w:numId w:val="18"/>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27F7247E">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生产经营单位应当按照应急预案的规定，落实应急指挥体系、应急救援队伍、应急物资及装备，建立应急物资、装备配备及其使用档案，并对应急物资、装备进行定期检测和维护，使其处于适用状态。</w:t>
            </w:r>
          </w:p>
        </w:tc>
        <w:tc>
          <w:tcPr>
            <w:tcW w:w="2127" w:type="dxa"/>
            <w:tcBorders>
              <w:top w:val="single" w:color="auto" w:sz="4" w:space="0"/>
              <w:left w:val="single" w:color="auto" w:sz="4" w:space="0"/>
              <w:bottom w:val="single" w:color="auto" w:sz="4" w:space="0"/>
              <w:right w:val="single" w:color="auto" w:sz="4" w:space="0"/>
            </w:tcBorders>
            <w:vAlign w:val="center"/>
          </w:tcPr>
          <w:p w14:paraId="7AE1E7CF">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《生产安全事故应急预案管理办法》</w:t>
            </w:r>
          </w:p>
          <w:p w14:paraId="5A3A1DEB">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（国家安全生产监督管理总局令第88号，根据应急管理部2号令修正）</w:t>
            </w:r>
          </w:p>
          <w:p w14:paraId="7FA6DB8C">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bookmarkStart w:id="818" w:name="_Toc510859844"/>
            <w:bookmarkStart w:id="819" w:name="_Toc2253649"/>
            <w:bookmarkStart w:id="820" w:name="_Toc523950029"/>
            <w:bookmarkStart w:id="821" w:name="_Toc494296195"/>
            <w:r>
              <w:rPr>
                <w:rFonts w:hint="eastAsia" w:ascii="宋体" w:hAnsi="宋体" w:eastAsia="宋体" w:cs="宋体"/>
                <w:color w:val="000000" w:themeColor="text1"/>
                <w:sz w:val="21"/>
                <w:szCs w:val="21"/>
                <w14:textFill>
                  <w14:solidFill>
                    <w14:schemeClr w14:val="tx1"/>
                  </w14:solidFill>
                </w14:textFill>
              </w:rPr>
              <w:t>第三十八条</w:t>
            </w:r>
            <w:bookmarkEnd w:id="818"/>
            <w:bookmarkEnd w:id="819"/>
            <w:bookmarkEnd w:id="820"/>
            <w:bookmarkEnd w:id="821"/>
          </w:p>
        </w:tc>
        <w:tc>
          <w:tcPr>
            <w:tcW w:w="2126" w:type="dxa"/>
            <w:tcBorders>
              <w:top w:val="single" w:color="auto" w:sz="4" w:space="0"/>
              <w:left w:val="single" w:color="auto" w:sz="4" w:space="0"/>
              <w:bottom w:val="single" w:color="auto" w:sz="4" w:space="0"/>
              <w:right w:val="single" w:color="auto" w:sz="4" w:space="0"/>
            </w:tcBorders>
            <w:vAlign w:val="center"/>
          </w:tcPr>
          <w:p w14:paraId="3A0EA47A">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企业按照应急预案的规定，落实了应急指挥体系、应急救援队伍、应急物资及装备，应急物资、装备进行处于适用状态。</w:t>
            </w:r>
          </w:p>
        </w:tc>
        <w:tc>
          <w:tcPr>
            <w:tcW w:w="709" w:type="dxa"/>
            <w:tcBorders>
              <w:top w:val="single" w:color="auto" w:sz="4" w:space="0"/>
              <w:left w:val="single" w:color="auto" w:sz="4" w:space="0"/>
              <w:bottom w:val="single" w:color="auto" w:sz="4" w:space="0"/>
              <w:right w:val="single" w:color="auto" w:sz="4" w:space="0"/>
            </w:tcBorders>
            <w:vAlign w:val="center"/>
          </w:tcPr>
          <w:p w14:paraId="20144B30">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C37BE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27B612B8">
            <w:pPr>
              <w:numPr>
                <w:ilvl w:val="0"/>
                <w:numId w:val="18"/>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shd w:val="clear" w:color="auto" w:fill="auto"/>
            <w:vAlign w:val="center"/>
          </w:tcPr>
          <w:p w14:paraId="5EDF30A9">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生产经营单位应当制定本单位的应急预案演练计划，根据本单位的事故风险特点，每年至少组织一次综合应急预案演练或者专项应急预案演练，每半年至少组织一次现场处置方案演练。</w:t>
            </w:r>
          </w:p>
        </w:tc>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14:paraId="31E67CD2">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《生产安全事故应急预案管理办法》第三十三条</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14:paraId="05281C1B">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公司</w:t>
            </w:r>
            <w:r>
              <w:rPr>
                <w:rFonts w:hint="eastAsia" w:ascii="宋体" w:hAnsi="宋体" w:eastAsia="宋体" w:cs="宋体"/>
                <w:color w:val="000000" w:themeColor="text1"/>
                <w:sz w:val="21"/>
                <w:szCs w:val="21"/>
                <w:lang w:val="en-US" w:eastAsia="zh-CN"/>
                <w14:textFill>
                  <w14:solidFill>
                    <w14:schemeClr w14:val="tx1"/>
                  </w14:solidFill>
                </w14:textFill>
              </w:rPr>
              <w:t>将于近期</w:t>
            </w:r>
            <w:r>
              <w:rPr>
                <w:rFonts w:hint="eastAsia" w:ascii="宋体" w:hAnsi="宋体" w:eastAsia="宋体" w:cs="宋体"/>
                <w:color w:val="000000" w:themeColor="text1"/>
                <w:sz w:val="21"/>
                <w:szCs w:val="21"/>
                <w14:textFill>
                  <w14:solidFill>
                    <w14:schemeClr w14:val="tx1"/>
                  </w14:solidFill>
                </w14:textFill>
              </w:rPr>
              <w:t>组织演练。</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4CBC3986">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7EDA730A">
      <w:pPr>
        <w:pStyle w:val="218"/>
        <w:adjustRightInd w:val="0"/>
        <w:snapToGrid w:val="0"/>
        <w:ind w:left="0" w:leftChars="0" w:firstLine="560" w:firstLineChars="200"/>
        <w:rPr>
          <w:rFonts w:hint="eastAsia" w:ascii="宋体" w:hAnsi="宋体" w:eastAsia="宋体" w:cs="宋体"/>
          <w:snapToGrid w:val="0"/>
          <w:color w:val="000000" w:themeColor="text1"/>
          <w:lang w:val="en-US" w:eastAsia="zh-CN"/>
          <w14:textFill>
            <w14:solidFill>
              <w14:schemeClr w14:val="tx1"/>
            </w14:solidFill>
          </w14:textFill>
        </w:rPr>
      </w:pPr>
      <w:r>
        <w:rPr>
          <w:rFonts w:hint="eastAsia" w:ascii="宋体" w:hAnsi="宋体" w:eastAsia="宋体" w:cs="宋体"/>
          <w:snapToGrid w:val="0"/>
          <w:color w:val="000000" w:themeColor="text1"/>
          <w:lang w:val="en-US" w:eastAsia="zh-CN"/>
          <w14:textFill>
            <w14:solidFill>
              <w14:schemeClr w14:val="tx1"/>
            </w14:solidFill>
          </w14:textFill>
        </w:rPr>
        <w:t>玉溪市明哲数控科技有限公司</w:t>
      </w:r>
      <w:r>
        <w:rPr>
          <w:rFonts w:hint="eastAsia" w:ascii="宋体" w:hAnsi="宋体" w:eastAsia="宋体" w:cs="宋体"/>
          <w:snapToGrid w:val="0"/>
          <w:color w:val="000000" w:themeColor="text1"/>
          <w14:textFill>
            <w14:solidFill>
              <w14:schemeClr w14:val="tx1"/>
            </w14:solidFill>
          </w14:textFill>
        </w:rPr>
        <w:t>编制了生产安全事故综合应急预案，组织专家对预案进行了评审，颁布实施，已备案</w:t>
      </w:r>
      <w:r>
        <w:rPr>
          <w:rFonts w:hint="eastAsia" w:ascii="宋体" w:hAnsi="宋体" w:eastAsia="宋体" w:cs="宋体"/>
          <w:snapToGrid w:val="0"/>
          <w:color w:val="000000" w:themeColor="text1"/>
          <w:lang w:eastAsia="zh-CN"/>
          <w14:textFill>
            <w14:solidFill>
              <w14:schemeClr w14:val="tx1"/>
            </w14:solidFill>
          </w14:textFill>
        </w:rPr>
        <w:t>，</w:t>
      </w:r>
      <w:r>
        <w:rPr>
          <w:rFonts w:hint="eastAsia" w:ascii="宋体" w:hAnsi="宋体" w:eastAsia="宋体" w:cs="宋体"/>
          <w:snapToGrid w:val="0"/>
          <w:color w:val="000000" w:themeColor="text1"/>
          <w:lang w:val="en-US" w:eastAsia="zh-CN"/>
          <w14:textFill>
            <w14:solidFill>
              <w14:schemeClr w14:val="tx1"/>
            </w14:solidFill>
          </w14:textFill>
        </w:rPr>
        <w:t>并能定期组织演练。</w:t>
      </w:r>
    </w:p>
    <w:p w14:paraId="2A4B211C">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822" w:name="_Toc18420"/>
      <w:bookmarkStart w:id="823" w:name="_Toc8417"/>
      <w:bookmarkStart w:id="824" w:name="_Toc959"/>
      <w:bookmarkStart w:id="825" w:name="_Toc19155"/>
      <w:r>
        <w:rPr>
          <w:rFonts w:hint="eastAsia" w:ascii="宋体" w:hAnsi="宋体" w:eastAsia="宋体" w:cs="宋体"/>
          <w:color w:val="000000" w:themeColor="text1"/>
          <w:lang w:val="en-US" w:eastAsia="zh-CN"/>
          <w14:textFill>
            <w14:solidFill>
              <w14:schemeClr w14:val="tx1"/>
            </w14:solidFill>
          </w14:textFill>
        </w:rPr>
        <w:t>5.5.3 单元小结</w:t>
      </w:r>
      <w:bookmarkEnd w:id="822"/>
      <w:bookmarkEnd w:id="823"/>
      <w:bookmarkEnd w:id="824"/>
      <w:bookmarkEnd w:id="825"/>
    </w:p>
    <w:p w14:paraId="69704B5A">
      <w:pPr>
        <w:keepNext w:val="0"/>
        <w:keepLines w:val="0"/>
        <w:pageBreakBefore w:val="0"/>
        <w:widowControl w:val="0"/>
        <w:numPr>
          <w:ilvl w:val="0"/>
          <w:numId w:val="19"/>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企业结合自身实际成立了安全</w:t>
      </w:r>
      <w:r>
        <w:rPr>
          <w:rFonts w:hint="eastAsia" w:ascii="宋体" w:hAnsi="宋体" w:eastAsia="宋体" w:cs="宋体"/>
          <w:color w:val="000000" w:themeColor="text1"/>
          <w:sz w:val="28"/>
          <w:szCs w:val="28"/>
          <w:lang w:eastAsia="zh-CN"/>
          <w14:textFill>
            <w14:solidFill>
              <w14:schemeClr w14:val="tx1"/>
            </w14:solidFill>
          </w14:textFill>
        </w:rPr>
        <w:t>生产</w:t>
      </w:r>
      <w:r>
        <w:rPr>
          <w:rFonts w:hint="eastAsia" w:ascii="宋体" w:hAnsi="宋体" w:eastAsia="宋体" w:cs="宋体"/>
          <w:color w:val="000000" w:themeColor="text1"/>
          <w:sz w:val="28"/>
          <w:szCs w:val="28"/>
          <w14:textFill>
            <w14:solidFill>
              <w14:schemeClr w14:val="tx1"/>
            </w14:solidFill>
          </w14:textFill>
        </w:rPr>
        <w:t>领导小组，并任命了专职安全管理人员，建立了全员安全生产责任制、安全管理规章制度、安全操作规程及安全</w:t>
      </w:r>
      <w:r>
        <w:rPr>
          <w:rFonts w:hint="eastAsia" w:ascii="宋体" w:hAnsi="宋体" w:eastAsia="宋体" w:cs="宋体"/>
          <w:color w:val="000000" w:themeColor="text1"/>
          <w:sz w:val="28"/>
          <w:szCs w:val="28"/>
          <w:lang w:eastAsia="zh-CN"/>
          <w14:textFill>
            <w14:solidFill>
              <w14:schemeClr w14:val="tx1"/>
            </w14:solidFill>
          </w14:textFill>
        </w:rPr>
        <w:t>管理台账</w:t>
      </w:r>
      <w:r>
        <w:rPr>
          <w:rFonts w:hint="eastAsia" w:ascii="宋体" w:hAnsi="宋体" w:eastAsia="宋体" w:cs="宋体"/>
          <w:color w:val="000000" w:themeColor="text1"/>
          <w:sz w:val="28"/>
          <w:szCs w:val="28"/>
          <w14:textFill>
            <w14:solidFill>
              <w14:schemeClr w14:val="tx1"/>
            </w14:solidFill>
          </w14:textFill>
        </w:rPr>
        <w:t>，为企业职工配发了劳动防护用品。</w:t>
      </w:r>
    </w:p>
    <w:p w14:paraId="18B3AF1D">
      <w:pPr>
        <w:keepNext w:val="0"/>
        <w:keepLines w:val="0"/>
        <w:pageBreakBefore w:val="0"/>
        <w:widowControl w:val="0"/>
        <w:numPr>
          <w:ilvl w:val="0"/>
          <w:numId w:val="19"/>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企业按照应急预案的规定，</w:t>
      </w:r>
      <w:r>
        <w:rPr>
          <w:rFonts w:hint="eastAsia" w:ascii="宋体" w:hAnsi="宋体" w:eastAsia="宋体" w:cs="宋体"/>
          <w:color w:val="000000" w:themeColor="text1"/>
          <w:sz w:val="28"/>
          <w:szCs w:val="28"/>
          <w:lang w:val="en-US" w:eastAsia="zh-CN"/>
          <w14:textFill>
            <w14:solidFill>
              <w14:schemeClr w14:val="tx1"/>
            </w14:solidFill>
          </w14:textFill>
        </w:rPr>
        <w:t>编制了应急预案，</w:t>
      </w:r>
      <w:r>
        <w:rPr>
          <w:rFonts w:hint="eastAsia" w:ascii="宋体" w:hAnsi="宋体" w:eastAsia="宋体" w:cs="宋体"/>
          <w:color w:val="000000" w:themeColor="text1"/>
          <w:sz w:val="28"/>
          <w:szCs w:val="28"/>
          <w14:textFill>
            <w14:solidFill>
              <w14:schemeClr w14:val="tx1"/>
            </w14:solidFill>
          </w14:textFill>
        </w:rPr>
        <w:t>落实了应急指挥体系、应急救援队伍、应急物资及装备，应急物资、装备进行处于适用状态。</w:t>
      </w:r>
      <w:r>
        <w:rPr>
          <w:rFonts w:hint="eastAsia" w:ascii="宋体" w:hAnsi="宋体" w:eastAsia="宋体" w:cs="宋体"/>
          <w:color w:val="000000" w:themeColor="text1"/>
          <w:sz w:val="28"/>
          <w:szCs w:val="28"/>
          <w:lang w:val="en-US" w:eastAsia="zh-CN"/>
          <w14:textFill>
            <w14:solidFill>
              <w14:schemeClr w14:val="tx1"/>
            </w14:solidFill>
          </w14:textFill>
        </w:rPr>
        <w:t>企业预案已按要求到</w:t>
      </w:r>
      <w:r>
        <w:rPr>
          <w:rFonts w:hint="eastAsia" w:ascii="宋体" w:hAnsi="宋体" w:eastAsia="宋体" w:cs="宋体"/>
          <w:color w:val="000000" w:themeColor="text1"/>
          <w:sz w:val="28"/>
          <w:szCs w:val="28"/>
          <w:lang w:val="en-US" w:eastAsia="zh-CN"/>
          <w14:textFill>
            <w14:solidFill>
              <w14:schemeClr w14:val="tx1"/>
            </w14:solidFill>
          </w14:textFill>
        </w:rPr>
        <w:t>玉溪市红塔区</w:t>
      </w:r>
      <w:r>
        <w:rPr>
          <w:rFonts w:hint="eastAsia" w:ascii="宋体" w:hAnsi="宋体" w:eastAsia="宋体" w:cs="宋体"/>
          <w:color w:val="000000" w:themeColor="text1"/>
          <w:sz w:val="28"/>
          <w:szCs w:val="28"/>
          <w:lang w:val="en-US" w:eastAsia="zh-CN"/>
          <w14:textFill>
            <w14:solidFill>
              <w14:schemeClr w14:val="tx1"/>
            </w14:solidFill>
          </w14:textFill>
        </w:rPr>
        <w:t>应急管理局进行了备案。</w:t>
      </w:r>
    </w:p>
    <w:p w14:paraId="3D43C40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根据评价分析，安全管理评价单元</w:t>
      </w:r>
      <w:r>
        <w:rPr>
          <w:rFonts w:hint="eastAsia" w:ascii="宋体" w:hAnsi="宋体" w:eastAsia="宋体" w:cs="宋体"/>
          <w:color w:val="000000" w:themeColor="text1"/>
          <w:sz w:val="28"/>
          <w:szCs w:val="28"/>
          <w14:textFill>
            <w14:solidFill>
              <w14:schemeClr w14:val="tx1"/>
            </w14:solidFill>
          </w14:textFill>
        </w:rPr>
        <w:t>符合</w:t>
      </w:r>
      <w:r>
        <w:rPr>
          <w:rFonts w:hint="eastAsia" w:ascii="宋体" w:hAnsi="宋体" w:eastAsia="宋体" w:cs="宋体"/>
          <w:color w:val="000000" w:themeColor="text1"/>
          <w:sz w:val="28"/>
          <w:szCs w:val="28"/>
          <w:lang w:val="en-US" w:eastAsia="zh-CN"/>
          <w14:textFill>
            <w14:solidFill>
              <w14:schemeClr w14:val="tx1"/>
            </w14:solidFill>
          </w14:textFill>
        </w:rPr>
        <w:t>相关法律规范的</w:t>
      </w:r>
      <w:r>
        <w:rPr>
          <w:rFonts w:hint="eastAsia" w:ascii="宋体" w:hAnsi="宋体" w:eastAsia="宋体" w:cs="宋体"/>
          <w:color w:val="000000" w:themeColor="text1"/>
          <w:sz w:val="28"/>
          <w:szCs w:val="28"/>
          <w14:textFill>
            <w14:solidFill>
              <w14:schemeClr w14:val="tx1"/>
            </w14:solidFill>
          </w14:textFill>
        </w:rPr>
        <w:t>要求。</w:t>
      </w:r>
    </w:p>
    <w:p w14:paraId="3FD7A0A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p>
    <w:p w14:paraId="5CAC408E">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826" w:name="_Toc28589"/>
      <w:bookmarkStart w:id="827" w:name="_Toc28932"/>
      <w:r>
        <w:rPr>
          <w:rFonts w:hint="eastAsia" w:ascii="宋体" w:hAnsi="宋体" w:eastAsia="宋体" w:cs="宋体"/>
          <w:color w:val="000000" w:themeColor="text1"/>
          <w14:textFill>
            <w14:solidFill>
              <w14:schemeClr w14:val="tx1"/>
            </w14:solidFill>
          </w14:textFill>
        </w:rPr>
        <w:t>5.6 重大事故隐患</w:t>
      </w:r>
      <w:r>
        <w:rPr>
          <w:rFonts w:hint="eastAsia" w:ascii="宋体" w:hAnsi="宋体" w:eastAsia="宋体" w:cs="宋体"/>
          <w:color w:val="000000" w:themeColor="text1"/>
          <w:lang w:val="en-US" w:eastAsia="zh-CN"/>
          <w14:textFill>
            <w14:solidFill>
              <w14:schemeClr w14:val="tx1"/>
            </w14:solidFill>
          </w14:textFill>
        </w:rPr>
        <w:t>评价</w:t>
      </w:r>
      <w:r>
        <w:rPr>
          <w:rFonts w:hint="eastAsia" w:ascii="宋体" w:hAnsi="宋体" w:eastAsia="宋体" w:cs="宋体"/>
          <w:color w:val="000000" w:themeColor="text1"/>
          <w14:textFill>
            <w14:solidFill>
              <w14:schemeClr w14:val="tx1"/>
            </w14:solidFill>
          </w14:textFill>
        </w:rPr>
        <w:t>单元</w:t>
      </w:r>
      <w:bookmarkEnd w:id="826"/>
      <w:bookmarkEnd w:id="827"/>
    </w:p>
    <w:p w14:paraId="0D8689E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根据</w:t>
      </w:r>
      <w:r>
        <w:rPr>
          <w:rFonts w:hint="eastAsia" w:ascii="宋体" w:hAnsi="宋体" w:eastAsia="宋体" w:cs="宋体"/>
          <w:color w:val="000000" w:themeColor="text1"/>
          <w:sz w:val="28"/>
          <w:szCs w:val="28"/>
          <w14:textFill>
            <w14:solidFill>
              <w14:schemeClr w14:val="tx1"/>
            </w14:solidFill>
          </w14:textFill>
        </w:rPr>
        <w:t>《工贸企业重大事故隐患判定标准》（中华人民共和国应急管理部令</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2023</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 xml:space="preserve">第10号）的内容，对该项目在生产过程中，可能存在的重大生产安全事故隐患进行检查。具体检查情况如下： </w:t>
      </w:r>
    </w:p>
    <w:p w14:paraId="1E2A0BA6">
      <w:pPr>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表5-1</w:t>
      </w:r>
      <w:r>
        <w:rPr>
          <w:rFonts w:hint="eastAsia" w:ascii="宋体" w:hAnsi="宋体" w:eastAsia="宋体" w:cs="宋体"/>
          <w:b/>
          <w:bCs/>
          <w:color w:val="000000" w:themeColor="text1"/>
          <w:szCs w:val="21"/>
          <w:lang w:val="en-US" w:eastAsia="zh-CN"/>
          <w14:textFill>
            <w14:solidFill>
              <w14:schemeClr w14:val="tx1"/>
            </w14:solidFill>
          </w14:textFill>
        </w:rPr>
        <w:t>1</w:t>
      </w:r>
      <w:r>
        <w:rPr>
          <w:rFonts w:hint="eastAsia" w:ascii="宋体" w:hAnsi="宋体" w:eastAsia="宋体" w:cs="宋体"/>
          <w:b/>
          <w:bCs/>
          <w:color w:val="000000" w:themeColor="text1"/>
          <w:szCs w:val="21"/>
          <w14:textFill>
            <w14:solidFill>
              <w14:schemeClr w14:val="tx1"/>
            </w14:solidFill>
          </w14:textFill>
        </w:rPr>
        <w:t>重大生产安全事故隐患检查表</w:t>
      </w:r>
    </w:p>
    <w:tbl>
      <w:tblPr>
        <w:tblStyle w:val="52"/>
        <w:tblW w:w="9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3995"/>
        <w:gridCol w:w="1789"/>
        <w:gridCol w:w="1950"/>
        <w:gridCol w:w="1150"/>
      </w:tblGrid>
      <w:tr w14:paraId="43B42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642" w:type="dxa"/>
            <w:vAlign w:val="center"/>
          </w:tcPr>
          <w:p w14:paraId="04A29F3A">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995" w:type="dxa"/>
            <w:vAlign w:val="center"/>
          </w:tcPr>
          <w:p w14:paraId="71462DF4">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条款内容</w:t>
            </w:r>
          </w:p>
        </w:tc>
        <w:tc>
          <w:tcPr>
            <w:tcW w:w="1789" w:type="dxa"/>
            <w:vAlign w:val="center"/>
          </w:tcPr>
          <w:p w14:paraId="78B6AE90">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检查依据</w:t>
            </w:r>
          </w:p>
        </w:tc>
        <w:tc>
          <w:tcPr>
            <w:tcW w:w="1950" w:type="dxa"/>
            <w:vAlign w:val="center"/>
          </w:tcPr>
          <w:p w14:paraId="074C3EB4">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检查情况</w:t>
            </w:r>
          </w:p>
        </w:tc>
        <w:tc>
          <w:tcPr>
            <w:tcW w:w="1150" w:type="dxa"/>
            <w:vAlign w:val="center"/>
          </w:tcPr>
          <w:p w14:paraId="33430B8D">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是否构成重大隐患</w:t>
            </w:r>
          </w:p>
        </w:tc>
      </w:tr>
      <w:tr w14:paraId="2BC2C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0671B58C">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3995" w:type="dxa"/>
            <w:vAlign w:val="center"/>
          </w:tcPr>
          <w:p w14:paraId="533920F8">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（一）未对承包单位、承租单位的安全生产工作统一协调、管理，或者未定期进行安全检查的；</w:t>
            </w:r>
          </w:p>
        </w:tc>
        <w:tc>
          <w:tcPr>
            <w:tcW w:w="1789" w:type="dxa"/>
            <w:vMerge w:val="restart"/>
            <w:vAlign w:val="center"/>
          </w:tcPr>
          <w:p w14:paraId="2F35D794">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《工贸企业重大事故隐患判定标准》（中华人民共和国应急管理部令第10号）第三条</w:t>
            </w:r>
          </w:p>
        </w:tc>
        <w:tc>
          <w:tcPr>
            <w:tcW w:w="1950" w:type="dxa"/>
            <w:vAlign w:val="center"/>
          </w:tcPr>
          <w:p w14:paraId="692BB8BE">
            <w:pPr>
              <w:pStyle w:val="356"/>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对外委检维修的安全生产工作统一协调、管理</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并签订协议。</w:t>
            </w:r>
          </w:p>
        </w:tc>
        <w:tc>
          <w:tcPr>
            <w:tcW w:w="1150" w:type="dxa"/>
            <w:vAlign w:val="center"/>
          </w:tcPr>
          <w:p w14:paraId="7B9DE1A2">
            <w:pPr>
              <w:pStyle w:val="356"/>
              <w:overflowPunct w:val="0"/>
              <w:snapToGrid w:val="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否</w:t>
            </w:r>
          </w:p>
        </w:tc>
      </w:tr>
      <w:tr w14:paraId="40141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5CCF36F9">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3995" w:type="dxa"/>
            <w:vAlign w:val="center"/>
          </w:tcPr>
          <w:p w14:paraId="60DC2A97">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（二）特种作业人员未按照规定经专门的安全作业培训并取得相应资格，上岗作业的；</w:t>
            </w:r>
          </w:p>
        </w:tc>
        <w:tc>
          <w:tcPr>
            <w:tcW w:w="1789" w:type="dxa"/>
            <w:vMerge w:val="continue"/>
            <w:vAlign w:val="center"/>
          </w:tcPr>
          <w:p w14:paraId="6D047C9F">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0A33FC86">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该项目未涉及</w:t>
            </w:r>
            <w:r>
              <w:rPr>
                <w:rFonts w:hint="eastAsia" w:ascii="宋体" w:hAnsi="宋体" w:eastAsia="宋体" w:cs="宋体"/>
                <w:color w:val="000000" w:themeColor="text1"/>
                <w:sz w:val="21"/>
                <w:szCs w:val="21"/>
                <w14:textFill>
                  <w14:solidFill>
                    <w14:schemeClr w14:val="tx1"/>
                  </w14:solidFill>
                </w14:textFill>
              </w:rPr>
              <w:t>特种作业人员</w:t>
            </w:r>
            <w:r>
              <w:rPr>
                <w:rFonts w:hint="eastAsia" w:ascii="宋体" w:hAnsi="宋体" w:eastAsia="宋体" w:cs="宋体"/>
                <w:color w:val="000000" w:themeColor="text1"/>
                <w:sz w:val="21"/>
                <w:szCs w:val="21"/>
                <w:lang w:eastAsia="zh-CN"/>
                <w14:textFill>
                  <w14:solidFill>
                    <w14:schemeClr w14:val="tx1"/>
                  </w14:solidFill>
                </w14:textFill>
              </w:rPr>
              <w:t>。</w:t>
            </w:r>
          </w:p>
        </w:tc>
        <w:tc>
          <w:tcPr>
            <w:tcW w:w="1150" w:type="dxa"/>
            <w:vAlign w:val="center"/>
          </w:tcPr>
          <w:p w14:paraId="594E42C4">
            <w:pPr>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否</w:t>
            </w:r>
          </w:p>
        </w:tc>
      </w:tr>
      <w:tr w14:paraId="40A56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24716CBD">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3995" w:type="dxa"/>
            <w:vAlign w:val="center"/>
          </w:tcPr>
          <w:p w14:paraId="5C0987A2">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（三）金属冶炼企业主要负责人、安全生产管理人员未按照规定经考核合格的。</w:t>
            </w:r>
          </w:p>
        </w:tc>
        <w:tc>
          <w:tcPr>
            <w:tcW w:w="1789" w:type="dxa"/>
            <w:vMerge w:val="continue"/>
            <w:vAlign w:val="center"/>
          </w:tcPr>
          <w:p w14:paraId="10E81DB1">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7048007D">
            <w:pPr>
              <w:pStyle w:val="356"/>
              <w:overflowPunct w:val="0"/>
              <w:snapToGrid w:val="0"/>
              <w:jc w:val="both"/>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该公司不属于金属冶炼企业</w:t>
            </w:r>
            <w:r>
              <w:rPr>
                <w:rFonts w:hint="eastAsia" w:ascii="宋体" w:hAnsi="宋体" w:eastAsia="宋体" w:cs="宋体"/>
                <w:color w:val="000000" w:themeColor="text1"/>
                <w:sz w:val="21"/>
                <w:szCs w:val="21"/>
                <w:lang w:eastAsia="zh-CN"/>
                <w14:textFill>
                  <w14:solidFill>
                    <w14:schemeClr w14:val="tx1"/>
                  </w14:solidFill>
                </w14:textFill>
              </w:rPr>
              <w:t>。</w:t>
            </w:r>
          </w:p>
        </w:tc>
        <w:tc>
          <w:tcPr>
            <w:tcW w:w="1150" w:type="dxa"/>
            <w:vAlign w:val="center"/>
          </w:tcPr>
          <w:p w14:paraId="1D575963">
            <w:pPr>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否</w:t>
            </w:r>
          </w:p>
        </w:tc>
      </w:tr>
      <w:tr w14:paraId="678F5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63729EE6">
            <w:pPr>
              <w:pStyle w:val="356"/>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p>
        </w:tc>
        <w:tc>
          <w:tcPr>
            <w:tcW w:w="3995" w:type="dxa"/>
            <w:vAlign w:val="center"/>
          </w:tcPr>
          <w:p w14:paraId="64A92EB0">
            <w:pPr>
              <w:pStyle w:val="356"/>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（一）会议室、活动室、休息室、更衣室、交接班室等5类人员聚集场所设置在熔融金属吊运跨或者浇注跨的地坪区域内的；</w:t>
            </w:r>
          </w:p>
        </w:tc>
        <w:tc>
          <w:tcPr>
            <w:tcW w:w="1789" w:type="dxa"/>
            <w:vMerge w:val="restart"/>
            <w:vAlign w:val="center"/>
          </w:tcPr>
          <w:p w14:paraId="19D08E84">
            <w:pPr>
              <w:pStyle w:val="356"/>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《工贸企业重大事故隐患判定标准》（中华人民共和国应急管理部令第10号）第</w:t>
            </w:r>
            <w:r>
              <w:rPr>
                <w:rFonts w:hint="eastAsia" w:ascii="宋体" w:hAnsi="宋体" w:eastAsia="宋体" w:cs="宋体"/>
                <w:color w:val="000000" w:themeColor="text1"/>
                <w:sz w:val="21"/>
                <w:szCs w:val="21"/>
                <w:lang w:val="en-US" w:eastAsia="zh-CN"/>
                <w14:textFill>
                  <w14:solidFill>
                    <w14:schemeClr w14:val="tx1"/>
                  </w14:solidFill>
                </w14:textFill>
              </w:rPr>
              <w:t>七</w:t>
            </w:r>
            <w:r>
              <w:rPr>
                <w:rFonts w:hint="eastAsia" w:ascii="宋体" w:hAnsi="宋体" w:eastAsia="宋体" w:cs="宋体"/>
                <w:color w:val="000000" w:themeColor="text1"/>
                <w:sz w:val="21"/>
                <w:szCs w:val="21"/>
                <w14:textFill>
                  <w14:solidFill>
                    <w14:schemeClr w14:val="tx1"/>
                  </w14:solidFill>
                </w14:textFill>
              </w:rPr>
              <w:t>条</w:t>
            </w:r>
            <w:r>
              <w:rPr>
                <w:rFonts w:hint="eastAsia" w:ascii="宋体" w:hAnsi="宋体" w:eastAsia="宋体" w:cs="宋体"/>
                <w:color w:val="000000" w:themeColor="text1"/>
                <w:sz w:val="21"/>
                <w:szCs w:val="21"/>
                <w:lang w:val="en-US" w:eastAsia="zh-CN"/>
                <w14:textFill>
                  <w14:solidFill>
                    <w14:schemeClr w14:val="tx1"/>
                  </w14:solidFill>
                </w14:textFill>
              </w:rPr>
              <w:t xml:space="preserve"> 机械企业有下列情形之一的，应当判定为重大事故隐患：</w:t>
            </w:r>
          </w:p>
          <w:p w14:paraId="32F95FA3">
            <w:pPr>
              <w:rPr>
                <w:rFonts w:hint="eastAsia" w:ascii="宋体" w:hAnsi="宋体" w:eastAsia="宋体" w:cs="宋体"/>
              </w:rPr>
            </w:pPr>
          </w:p>
        </w:tc>
        <w:tc>
          <w:tcPr>
            <w:tcW w:w="1950" w:type="dxa"/>
            <w:vAlign w:val="center"/>
          </w:tcPr>
          <w:p w14:paraId="70F82C66">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c>
          <w:tcPr>
            <w:tcW w:w="1150" w:type="dxa"/>
            <w:vAlign w:val="center"/>
          </w:tcPr>
          <w:p w14:paraId="7BCC4C12">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4A6BF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01A40B91">
            <w:pPr>
              <w:pStyle w:val="356"/>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w:t>
            </w:r>
          </w:p>
        </w:tc>
        <w:tc>
          <w:tcPr>
            <w:tcW w:w="3995" w:type="dxa"/>
            <w:vAlign w:val="center"/>
          </w:tcPr>
          <w:p w14:paraId="091857FA">
            <w:pPr>
              <w:pStyle w:val="356"/>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（二）铸造用熔炼炉、精炼炉、保温炉未设置紧急排放和应急储存设施的；</w:t>
            </w:r>
          </w:p>
        </w:tc>
        <w:tc>
          <w:tcPr>
            <w:tcW w:w="1789" w:type="dxa"/>
            <w:vMerge w:val="continue"/>
            <w:vAlign w:val="center"/>
          </w:tcPr>
          <w:p w14:paraId="2B420075">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1E185E09">
            <w:pPr>
              <w:pStyle w:val="356"/>
              <w:overflowPunct w:val="0"/>
              <w:snapToGrid w:val="0"/>
              <w:ind w:firstLine="630" w:firstLineChars="300"/>
              <w:jc w:val="both"/>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不涉及</w:t>
            </w:r>
          </w:p>
        </w:tc>
        <w:tc>
          <w:tcPr>
            <w:tcW w:w="1150" w:type="dxa"/>
            <w:vAlign w:val="center"/>
          </w:tcPr>
          <w:p w14:paraId="27DC5314">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5165A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2A5FE3A9">
            <w:pPr>
              <w:pStyle w:val="356"/>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3995" w:type="dxa"/>
            <w:vAlign w:val="center"/>
          </w:tcPr>
          <w:p w14:paraId="3EF17C2C">
            <w:pPr>
              <w:pStyle w:val="356"/>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（三）生产期间铸造用熔炼炉、精炼炉、保温炉的炉底、炉坑和事故坑，以及熔融金属泄漏、喷溅影响范围内的炉前平台、炉基区域、造型地坑、浇注作业坑和熔融金属转运通道等8类区域存在积水的；</w:t>
            </w:r>
          </w:p>
        </w:tc>
        <w:tc>
          <w:tcPr>
            <w:tcW w:w="1789" w:type="dxa"/>
            <w:vMerge w:val="continue"/>
            <w:vAlign w:val="center"/>
          </w:tcPr>
          <w:p w14:paraId="0F01094B">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35CE2EE8">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c>
          <w:tcPr>
            <w:tcW w:w="1150" w:type="dxa"/>
            <w:vAlign w:val="center"/>
          </w:tcPr>
          <w:p w14:paraId="41EA37A6">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2D59F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2" w:hRule="atLeast"/>
          <w:jc w:val="center"/>
        </w:trPr>
        <w:tc>
          <w:tcPr>
            <w:tcW w:w="642" w:type="dxa"/>
            <w:vAlign w:val="center"/>
          </w:tcPr>
          <w:p w14:paraId="44874DC3">
            <w:pPr>
              <w:pStyle w:val="356"/>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p>
        </w:tc>
        <w:tc>
          <w:tcPr>
            <w:tcW w:w="3995" w:type="dxa"/>
            <w:vAlign w:val="center"/>
          </w:tcPr>
          <w:p w14:paraId="25E9A931">
            <w:pPr>
              <w:pStyle w:val="356"/>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（四）铸造用熔炼炉、精炼炉、压铸机、氧枪的冷却水系统未设置出水温度、进出水流量差监测报警装置，或者监测报警装置未与熔融金属加热、输送控制系统联锁的；</w:t>
            </w:r>
          </w:p>
        </w:tc>
        <w:tc>
          <w:tcPr>
            <w:tcW w:w="1789" w:type="dxa"/>
            <w:vMerge w:val="continue"/>
            <w:vAlign w:val="center"/>
          </w:tcPr>
          <w:p w14:paraId="5D1BC4C9">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0D594943">
            <w:pPr>
              <w:pStyle w:val="356"/>
              <w:overflowPunct w:val="0"/>
              <w:snapToGrid w:val="0"/>
              <w:ind w:firstLine="630" w:firstLineChars="30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不涉及</w:t>
            </w:r>
          </w:p>
        </w:tc>
        <w:tc>
          <w:tcPr>
            <w:tcW w:w="1150" w:type="dxa"/>
            <w:vAlign w:val="center"/>
          </w:tcPr>
          <w:p w14:paraId="355C3495">
            <w:pPr>
              <w:pStyle w:val="356"/>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不涉及</w:t>
            </w:r>
          </w:p>
        </w:tc>
      </w:tr>
      <w:tr w14:paraId="65967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6F45B8BE">
            <w:pPr>
              <w:pStyle w:val="356"/>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8</w:t>
            </w:r>
          </w:p>
        </w:tc>
        <w:tc>
          <w:tcPr>
            <w:tcW w:w="3995" w:type="dxa"/>
            <w:vAlign w:val="center"/>
          </w:tcPr>
          <w:p w14:paraId="4B8DCB2B">
            <w:pPr>
              <w:pStyle w:val="356"/>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（五）使用煤气（天然气）的燃烧装置的燃气总管未设置管道压力监测报警装置，或者监测报警装置未与紧急自动切断装置联锁，或者燃烧装置未设置火焰监测和熄火保护系统的；</w:t>
            </w:r>
          </w:p>
        </w:tc>
        <w:tc>
          <w:tcPr>
            <w:tcW w:w="1789" w:type="dxa"/>
            <w:vMerge w:val="continue"/>
            <w:vAlign w:val="center"/>
          </w:tcPr>
          <w:p w14:paraId="3EC91A5E">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44056403">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c>
          <w:tcPr>
            <w:tcW w:w="1150" w:type="dxa"/>
            <w:vAlign w:val="center"/>
          </w:tcPr>
          <w:p w14:paraId="1DDA9518">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74228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57694304">
            <w:pPr>
              <w:pStyle w:val="356"/>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9</w:t>
            </w:r>
          </w:p>
        </w:tc>
        <w:tc>
          <w:tcPr>
            <w:tcW w:w="3995" w:type="dxa"/>
            <w:shd w:val="clear" w:color="auto" w:fill="auto"/>
            <w:vAlign w:val="center"/>
          </w:tcPr>
          <w:p w14:paraId="2511B142">
            <w:pPr>
              <w:pStyle w:val="356"/>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（六）使用可燃性有机溶剂清洗设备设施、工装器具、地面时，未采取防止可燃气体在周边密闭或者半密闭空间内积聚措施的；</w:t>
            </w:r>
          </w:p>
        </w:tc>
        <w:tc>
          <w:tcPr>
            <w:tcW w:w="1789" w:type="dxa"/>
            <w:vMerge w:val="continue"/>
            <w:shd w:val="clear" w:color="auto" w:fill="auto"/>
            <w:vAlign w:val="center"/>
          </w:tcPr>
          <w:p w14:paraId="440C86B4">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shd w:val="clear" w:color="auto" w:fill="auto"/>
            <w:vAlign w:val="center"/>
          </w:tcPr>
          <w:p w14:paraId="2F986E33">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c>
          <w:tcPr>
            <w:tcW w:w="1150" w:type="dxa"/>
            <w:shd w:val="clear" w:color="auto" w:fill="auto"/>
            <w:vAlign w:val="center"/>
          </w:tcPr>
          <w:p w14:paraId="05C866F5">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00E2D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6B07463F">
            <w:pPr>
              <w:pStyle w:val="356"/>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10</w:t>
            </w:r>
          </w:p>
        </w:tc>
        <w:tc>
          <w:tcPr>
            <w:tcW w:w="3995" w:type="dxa"/>
            <w:shd w:val="clear" w:color="auto" w:fill="auto"/>
            <w:vAlign w:val="center"/>
          </w:tcPr>
          <w:p w14:paraId="51D0FD7E">
            <w:pPr>
              <w:pStyle w:val="356"/>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（七）使用非水性漆的调漆间、喷漆室未设置固定式可燃气体浓度监测报警装置或者通风设施的。</w:t>
            </w:r>
          </w:p>
        </w:tc>
        <w:tc>
          <w:tcPr>
            <w:tcW w:w="1789" w:type="dxa"/>
            <w:vMerge w:val="continue"/>
            <w:shd w:val="clear" w:color="auto" w:fill="auto"/>
            <w:vAlign w:val="center"/>
          </w:tcPr>
          <w:p w14:paraId="681C4A34">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shd w:val="clear" w:color="auto" w:fill="auto"/>
            <w:vAlign w:val="center"/>
          </w:tcPr>
          <w:p w14:paraId="2057A36E">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c>
          <w:tcPr>
            <w:tcW w:w="1150" w:type="dxa"/>
            <w:shd w:val="clear" w:color="auto" w:fill="auto"/>
            <w:vAlign w:val="center"/>
          </w:tcPr>
          <w:p w14:paraId="5D257412">
            <w:pPr>
              <w:pStyle w:val="356"/>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64732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5F0B77E5">
            <w:pPr>
              <w:pStyle w:val="356"/>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1</w:t>
            </w:r>
          </w:p>
        </w:tc>
        <w:tc>
          <w:tcPr>
            <w:tcW w:w="3995" w:type="dxa"/>
            <w:shd w:val="clear" w:color="auto" w:fill="auto"/>
            <w:vAlign w:val="center"/>
          </w:tcPr>
          <w:p w14:paraId="7EF189BE">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本标准所列情形中直接关系生产安全的监控、报警、防护等设施、设备、装置，应当保证正常运行、使用，失效或者无效均判定为重大事故隐患。</w:t>
            </w:r>
          </w:p>
        </w:tc>
        <w:tc>
          <w:tcPr>
            <w:tcW w:w="1789" w:type="dxa"/>
            <w:shd w:val="clear" w:color="auto" w:fill="auto"/>
            <w:vAlign w:val="center"/>
          </w:tcPr>
          <w:p w14:paraId="3221582E">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《工贸企业重大事故隐患判定标准》（中华人民共和国应急管理部令第10号）第十四条</w:t>
            </w:r>
          </w:p>
        </w:tc>
        <w:tc>
          <w:tcPr>
            <w:tcW w:w="1950" w:type="dxa"/>
            <w:shd w:val="clear" w:color="auto" w:fill="auto"/>
            <w:vAlign w:val="center"/>
          </w:tcPr>
          <w:p w14:paraId="6E96B640">
            <w:pPr>
              <w:pStyle w:val="356"/>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根据现场勘查，该公司防护等设施、设备、装置均能正常运行、使用。</w:t>
            </w:r>
          </w:p>
        </w:tc>
        <w:tc>
          <w:tcPr>
            <w:tcW w:w="1150" w:type="dxa"/>
            <w:shd w:val="clear" w:color="auto" w:fill="auto"/>
            <w:vAlign w:val="center"/>
          </w:tcPr>
          <w:p w14:paraId="769074F1">
            <w:pPr>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否</w:t>
            </w:r>
          </w:p>
        </w:tc>
      </w:tr>
    </w:tbl>
    <w:p w14:paraId="122F8CB9">
      <w:pPr>
        <w:pStyle w:val="50"/>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根据《工贸企业重大事故隐患判定标准》（中华人民共和国应急管理部令第10号）判定，</w:t>
      </w:r>
      <w:r>
        <w:rPr>
          <w:rFonts w:hint="eastAsia" w:ascii="宋体" w:hAnsi="宋体" w:eastAsia="宋体" w:cs="宋体"/>
          <w:color w:val="000000" w:themeColor="text1"/>
          <w:sz w:val="28"/>
          <w:szCs w:val="28"/>
          <w:lang w:val="en-US" w:eastAsia="zh-CN" w:bidi="ar-SA"/>
          <w14:textFill>
            <w14:solidFill>
              <w14:schemeClr w14:val="tx1"/>
            </w14:solidFill>
          </w14:textFill>
        </w:rPr>
        <w:t>玉溪市明哲数控科技有限公司安全现状评价项目</w:t>
      </w:r>
      <w:r>
        <w:rPr>
          <w:rFonts w:hint="eastAsia" w:ascii="宋体" w:hAnsi="宋体" w:eastAsia="宋体" w:cs="宋体"/>
          <w:color w:val="000000" w:themeColor="text1"/>
          <w:sz w:val="28"/>
          <w:szCs w:val="28"/>
          <w:lang w:val="en-US" w:eastAsia="zh-CN" w:bidi="ar-SA"/>
          <w14:textFill>
            <w14:solidFill>
              <w14:schemeClr w14:val="tx1"/>
            </w14:solidFill>
          </w14:textFill>
        </w:rPr>
        <w:t>未构成重大事故隐患。</w:t>
      </w:r>
    </w:p>
    <w:p w14:paraId="4FA8035E">
      <w:pPr>
        <w:rPr>
          <w:rFonts w:hint="eastAsia" w:ascii="宋体" w:hAnsi="宋体" w:eastAsia="宋体" w:cs="宋体"/>
          <w:lang w:val="en-US" w:eastAsia="zh-CN"/>
        </w:rPr>
      </w:pPr>
    </w:p>
    <w:p w14:paraId="346C0E2B">
      <w:pPr>
        <w:pStyle w:val="4"/>
        <w:bidi w:val="0"/>
        <w:rPr>
          <w:rFonts w:hint="eastAsia" w:ascii="宋体" w:hAnsi="宋体" w:eastAsia="宋体" w:cs="宋体"/>
          <w:lang w:val="en-US" w:eastAsia="zh-CN"/>
        </w:rPr>
      </w:pPr>
      <w:bookmarkStart w:id="828" w:name="_Toc10857"/>
      <w:r>
        <w:rPr>
          <w:rFonts w:hint="eastAsia" w:ascii="宋体" w:hAnsi="宋体" w:eastAsia="宋体" w:cs="宋体"/>
          <w:lang w:val="en-US" w:eastAsia="zh-CN"/>
        </w:rPr>
        <w:t>5.7评价小结</w:t>
      </w:r>
      <w:bookmarkEnd w:id="828"/>
    </w:p>
    <w:p w14:paraId="55EFB561">
      <w:pPr>
        <w:pStyle w:val="50"/>
        <w:spacing w:after="0" w:line="500" w:lineRule="exact"/>
        <w:ind w:firstLine="560" w:firstLineChars="200"/>
        <w:rPr>
          <w:rFonts w:hint="default"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通过对该单位安全生产管理现状检查分析，该企业制定了安全管理制度、安全生产责任制、岗位操作规程。主要负责人、安全生产管理人员取得安全合格证；特种作业人员取得了特种作业资格证；从业人员进行了安全教育培训，考核合格后上岗作业，公司有专门的安全投入，并为从业人员购买了工伤保险，编制了《生产安全事故应急预案》。备案证号：530402-2025-0035。</w:t>
      </w:r>
      <w:bookmarkStart w:id="913" w:name="_GoBack"/>
      <w:bookmarkEnd w:id="913"/>
    </w:p>
    <w:p w14:paraId="2FAE9E0C">
      <w:pPr>
        <w:rPr>
          <w:rFonts w:hint="eastAsia" w:ascii="宋体" w:hAnsi="宋体" w:eastAsia="宋体" w:cs="宋体"/>
          <w:color w:val="000000" w:themeColor="text1"/>
          <w:sz w:val="28"/>
          <w:szCs w:val="28"/>
          <w:lang w:val="en-US" w:eastAsia="zh-CN" w:bidi="ar-SA"/>
          <w14:textFill>
            <w14:solidFill>
              <w14:schemeClr w14:val="tx1"/>
            </w14:solidFill>
          </w14:textFill>
        </w:rPr>
      </w:pPr>
    </w:p>
    <w:p w14:paraId="28662014">
      <w:pPr>
        <w:rPr>
          <w:rFonts w:hint="eastAsia" w:ascii="宋体" w:hAnsi="宋体" w:eastAsia="宋体" w:cs="宋体"/>
          <w:color w:val="000000" w:themeColor="text1"/>
          <w:sz w:val="28"/>
          <w:szCs w:val="28"/>
          <w:lang w:val="en-US" w:eastAsia="zh-CN" w:bidi="ar-SA"/>
          <w14:textFill>
            <w14:solidFill>
              <w14:schemeClr w14:val="tx1"/>
            </w14:solidFill>
          </w14:textFill>
        </w:rPr>
      </w:pPr>
    </w:p>
    <w:p w14:paraId="258E750E">
      <w:pPr>
        <w:rPr>
          <w:rFonts w:hint="eastAsia" w:ascii="宋体" w:hAnsi="宋体" w:eastAsia="宋体" w:cs="宋体"/>
          <w:color w:val="000000" w:themeColor="text1"/>
          <w:sz w:val="28"/>
          <w:szCs w:val="28"/>
          <w:lang w:val="en-US" w:eastAsia="zh-CN" w:bidi="ar-SA"/>
          <w14:textFill>
            <w14:solidFill>
              <w14:schemeClr w14:val="tx1"/>
            </w14:solidFill>
          </w14:textFill>
        </w:rPr>
      </w:pPr>
    </w:p>
    <w:p w14:paraId="7E739169">
      <w:pPr>
        <w:rPr>
          <w:rFonts w:hint="eastAsia" w:ascii="宋体" w:hAnsi="宋体" w:eastAsia="宋体" w:cs="宋体"/>
          <w:color w:val="000000" w:themeColor="text1"/>
          <w:sz w:val="28"/>
          <w:szCs w:val="28"/>
          <w:lang w:val="en-US" w:eastAsia="zh-CN" w:bidi="ar-SA"/>
          <w14:textFill>
            <w14:solidFill>
              <w14:schemeClr w14:val="tx1"/>
            </w14:solidFill>
          </w14:textFill>
        </w:rPr>
      </w:pPr>
    </w:p>
    <w:p w14:paraId="0209DDCC">
      <w:pPr>
        <w:rPr>
          <w:rFonts w:hint="eastAsia" w:ascii="宋体" w:hAnsi="宋体" w:eastAsia="宋体" w:cs="宋体"/>
          <w:color w:val="000000" w:themeColor="text1"/>
          <w:sz w:val="28"/>
          <w:szCs w:val="28"/>
          <w:lang w:val="en-US" w:eastAsia="zh-CN" w:bidi="ar-SA"/>
          <w14:textFill>
            <w14:solidFill>
              <w14:schemeClr w14:val="tx1"/>
            </w14:solidFill>
          </w14:textFill>
        </w:rPr>
      </w:pPr>
    </w:p>
    <w:p w14:paraId="715025E9">
      <w:pPr>
        <w:rPr>
          <w:rFonts w:hint="eastAsia" w:ascii="宋体" w:hAnsi="宋体" w:eastAsia="宋体" w:cs="宋体"/>
          <w:color w:val="000000" w:themeColor="text1"/>
          <w:sz w:val="28"/>
          <w:szCs w:val="28"/>
          <w:lang w:val="en-US" w:eastAsia="zh-CN" w:bidi="ar-SA"/>
          <w14:textFill>
            <w14:solidFill>
              <w14:schemeClr w14:val="tx1"/>
            </w14:solidFill>
          </w14:textFill>
        </w:rPr>
      </w:pPr>
    </w:p>
    <w:p w14:paraId="1D560614">
      <w:pPr>
        <w:rPr>
          <w:rFonts w:hint="eastAsia" w:ascii="宋体" w:hAnsi="宋体" w:eastAsia="宋体" w:cs="宋体"/>
          <w:color w:val="000000" w:themeColor="text1"/>
          <w:sz w:val="28"/>
          <w:szCs w:val="28"/>
          <w:lang w:val="en-US" w:eastAsia="zh-CN" w:bidi="ar-SA"/>
          <w14:textFill>
            <w14:solidFill>
              <w14:schemeClr w14:val="tx1"/>
            </w14:solidFill>
          </w14:textFill>
        </w:rPr>
      </w:pPr>
    </w:p>
    <w:p w14:paraId="7F466A47">
      <w:pPr>
        <w:rPr>
          <w:rFonts w:hint="eastAsia" w:ascii="宋体" w:hAnsi="宋体" w:eastAsia="宋体" w:cs="宋体"/>
          <w:color w:val="000000" w:themeColor="text1"/>
          <w:sz w:val="28"/>
          <w:szCs w:val="28"/>
          <w:lang w:val="en-US" w:eastAsia="zh-CN" w:bidi="ar-SA"/>
          <w14:textFill>
            <w14:solidFill>
              <w14:schemeClr w14:val="tx1"/>
            </w14:solidFill>
          </w14:textFill>
        </w:rPr>
      </w:pPr>
    </w:p>
    <w:p w14:paraId="60427EAF">
      <w:pPr>
        <w:rPr>
          <w:rFonts w:hint="eastAsia" w:ascii="宋体" w:hAnsi="宋体" w:eastAsia="宋体" w:cs="宋体"/>
          <w:color w:val="000000" w:themeColor="text1"/>
          <w:sz w:val="28"/>
          <w:szCs w:val="28"/>
          <w:lang w:val="en-US" w:eastAsia="zh-CN" w:bidi="ar-SA"/>
          <w14:textFill>
            <w14:solidFill>
              <w14:schemeClr w14:val="tx1"/>
            </w14:solidFill>
          </w14:textFill>
        </w:rPr>
      </w:pPr>
    </w:p>
    <w:p w14:paraId="3C5669D8">
      <w:pPr>
        <w:rPr>
          <w:rFonts w:hint="eastAsia" w:ascii="宋体" w:hAnsi="宋体" w:eastAsia="宋体" w:cs="宋体"/>
          <w:color w:val="000000" w:themeColor="text1"/>
          <w:sz w:val="28"/>
          <w:szCs w:val="28"/>
          <w:lang w:val="en-US" w:eastAsia="zh-CN" w:bidi="ar-SA"/>
          <w14:textFill>
            <w14:solidFill>
              <w14:schemeClr w14:val="tx1"/>
            </w14:solidFill>
          </w14:textFill>
        </w:rPr>
      </w:pPr>
    </w:p>
    <w:p w14:paraId="30A525C0">
      <w:pPr>
        <w:pStyle w:val="3"/>
        <w:keepNext/>
        <w:keepLines/>
        <w:pageBreakBefore w:val="0"/>
        <w:widowControl w:val="0"/>
        <w:kinsoku/>
        <w:wordWrap/>
        <w:overflowPunct/>
        <w:topLinePunct w:val="0"/>
        <w:autoSpaceDE/>
        <w:autoSpaceDN/>
        <w:bidi w:val="0"/>
        <w:adjustRightInd/>
        <w:snapToGrid w:val="0"/>
        <w:spacing w:before="100" w:beforeAutospacing="1" w:after="100" w:afterAutospacing="1"/>
        <w:textAlignment w:val="auto"/>
        <w:rPr>
          <w:rFonts w:hint="eastAsia" w:ascii="宋体" w:hAnsi="宋体" w:eastAsia="宋体" w:cs="宋体"/>
          <w:color w:val="000000" w:themeColor="text1"/>
          <w14:textFill>
            <w14:solidFill>
              <w14:schemeClr w14:val="tx1"/>
            </w14:solidFill>
          </w14:textFill>
        </w:rPr>
      </w:pPr>
      <w:bookmarkStart w:id="829" w:name="_Toc24295"/>
      <w:bookmarkStart w:id="830" w:name="_Toc6401"/>
      <w:r>
        <w:rPr>
          <w:rFonts w:hint="eastAsia" w:ascii="宋体" w:hAnsi="宋体" w:eastAsia="宋体" w:cs="宋体"/>
          <w:color w:val="000000" w:themeColor="text1"/>
          <w14:textFill>
            <w14:solidFill>
              <w14:schemeClr w14:val="tx1"/>
            </w14:solidFill>
          </w14:textFill>
        </w:rPr>
        <w:t>第6章</w:t>
      </w:r>
      <w:bookmarkEnd w:id="648"/>
      <w:bookmarkEnd w:id="649"/>
      <w:r>
        <w:rPr>
          <w:rFonts w:hint="eastAsia" w:ascii="宋体" w:hAnsi="宋体" w:eastAsia="宋体" w:cs="宋体"/>
          <w:color w:val="000000" w:themeColor="text1"/>
          <w14:textFill>
            <w14:solidFill>
              <w14:schemeClr w14:val="tx1"/>
            </w14:solidFill>
          </w14:textFill>
        </w:rPr>
        <w:t xml:space="preserve">  主要存在问题</w:t>
      </w:r>
      <w:bookmarkEnd w:id="650"/>
      <w:r>
        <w:rPr>
          <w:rFonts w:hint="eastAsia" w:ascii="宋体" w:hAnsi="宋体" w:eastAsia="宋体" w:cs="宋体"/>
          <w:color w:val="000000" w:themeColor="text1"/>
          <w14:textFill>
            <w14:solidFill>
              <w14:schemeClr w14:val="tx1"/>
            </w14:solidFill>
          </w14:textFill>
        </w:rPr>
        <w:t>及安全对策措施建议</w:t>
      </w:r>
      <w:bookmarkEnd w:id="651"/>
      <w:bookmarkEnd w:id="652"/>
      <w:bookmarkEnd w:id="653"/>
      <w:bookmarkEnd w:id="654"/>
      <w:bookmarkEnd w:id="829"/>
      <w:bookmarkEnd w:id="830"/>
    </w:p>
    <w:p w14:paraId="3EFA4C39">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831" w:name="_Toc208674453"/>
      <w:bookmarkStart w:id="832" w:name="_Toc28519"/>
      <w:bookmarkStart w:id="833" w:name="_Toc3640"/>
      <w:bookmarkStart w:id="834" w:name="_Toc23454"/>
      <w:bookmarkStart w:id="835" w:name="_Toc208675041"/>
      <w:bookmarkStart w:id="836" w:name="_Toc313453628"/>
      <w:bookmarkStart w:id="837" w:name="_Toc4885"/>
      <w:bookmarkStart w:id="838" w:name="_Toc86464484"/>
      <w:bookmarkStart w:id="839" w:name="_Toc191729816"/>
      <w:bookmarkStart w:id="840" w:name="_Toc335926317"/>
      <w:bookmarkStart w:id="841" w:name="_Toc191728256"/>
      <w:bookmarkStart w:id="842" w:name="_Toc191730100"/>
      <w:bookmarkStart w:id="843" w:name="_Toc24783"/>
      <w:bookmarkStart w:id="844" w:name="_Toc191375166"/>
      <w:r>
        <w:rPr>
          <w:rFonts w:hint="eastAsia" w:ascii="宋体" w:hAnsi="宋体" w:eastAsia="宋体" w:cs="宋体"/>
          <w:color w:val="000000" w:themeColor="text1"/>
          <w14:textFill>
            <w14:solidFill>
              <w14:schemeClr w14:val="tx1"/>
            </w14:solidFill>
          </w14:textFill>
        </w:rPr>
        <w:t>6.1</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主要存在问题</w:t>
      </w:r>
      <w:bookmarkEnd w:id="831"/>
      <w:bookmarkEnd w:id="832"/>
      <w:bookmarkEnd w:id="833"/>
      <w:bookmarkEnd w:id="834"/>
      <w:bookmarkEnd w:id="835"/>
      <w:bookmarkEnd w:id="836"/>
      <w:bookmarkEnd w:id="837"/>
      <w:bookmarkEnd w:id="838"/>
      <w:bookmarkEnd w:id="839"/>
      <w:bookmarkEnd w:id="840"/>
      <w:bookmarkEnd w:id="841"/>
      <w:bookmarkEnd w:id="842"/>
      <w:bookmarkEnd w:id="843"/>
    </w:p>
    <w:p w14:paraId="72844D1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我公司受</w:t>
      </w:r>
      <w:r>
        <w:rPr>
          <w:rFonts w:hint="eastAsia" w:ascii="宋体" w:hAnsi="宋体" w:eastAsia="宋体" w:cs="宋体"/>
          <w:color w:val="000000" w:themeColor="text1"/>
          <w:sz w:val="28"/>
          <w:szCs w:val="28"/>
          <w:lang w:val="en-US" w:eastAsia="zh-CN"/>
          <w14:textFill>
            <w14:solidFill>
              <w14:schemeClr w14:val="tx1"/>
            </w14:solidFill>
          </w14:textFill>
        </w:rPr>
        <w:t>玉溪市明哲数控科技有限公司</w:t>
      </w:r>
      <w:r>
        <w:rPr>
          <w:rFonts w:hint="eastAsia" w:ascii="宋体" w:hAnsi="宋体" w:eastAsia="宋体" w:cs="宋体"/>
          <w:color w:val="000000" w:themeColor="text1"/>
          <w:sz w:val="28"/>
          <w:szCs w:val="28"/>
          <w14:textFill>
            <w14:solidFill>
              <w14:schemeClr w14:val="tx1"/>
            </w14:solidFill>
          </w14:textFill>
        </w:rPr>
        <w:t>安全现状评价的委托，</w:t>
      </w:r>
      <w:r>
        <w:rPr>
          <w:rFonts w:hint="eastAsia" w:ascii="宋体" w:hAnsi="宋体" w:eastAsia="宋体" w:cs="宋体"/>
          <w:color w:val="000000" w:themeColor="text1"/>
          <w:sz w:val="28"/>
          <w:szCs w:val="28"/>
          <w:highlight w:val="none"/>
          <w14:textFill>
            <w14:solidFill>
              <w14:schemeClr w14:val="tx1"/>
            </w14:solidFill>
          </w14:textFill>
        </w:rPr>
        <w:t>于202</w:t>
      </w:r>
      <w:r>
        <w:rPr>
          <w:rFonts w:hint="eastAsia" w:ascii="宋体" w:hAnsi="宋体" w:eastAsia="宋体" w:cs="宋体"/>
          <w:color w:val="000000" w:themeColor="text1"/>
          <w:sz w:val="28"/>
          <w:szCs w:val="28"/>
          <w:highlight w:val="none"/>
          <w:lang w:val="en-US" w:eastAsia="zh-CN"/>
          <w14:textFill>
            <w14:solidFill>
              <w14:schemeClr w14:val="tx1"/>
            </w14:solidFill>
          </w14:textFill>
        </w:rPr>
        <w:t>4</w:t>
      </w:r>
      <w:r>
        <w:rPr>
          <w:rFonts w:hint="eastAsia" w:ascii="宋体" w:hAnsi="宋体" w:eastAsia="宋体" w:cs="宋体"/>
          <w:color w:val="000000" w:themeColor="text1"/>
          <w:sz w:val="28"/>
          <w:szCs w:val="28"/>
          <w:highlight w:val="none"/>
          <w14:textFill>
            <w14:solidFill>
              <w14:schemeClr w14:val="tx1"/>
            </w14:solidFill>
          </w14:textFill>
        </w:rPr>
        <w:t>年</w:t>
      </w:r>
      <w:r>
        <w:rPr>
          <w:rFonts w:hint="eastAsia" w:ascii="宋体" w:hAnsi="宋体" w:eastAsia="宋体" w:cs="宋体"/>
          <w:color w:val="000000" w:themeColor="text1"/>
          <w:sz w:val="28"/>
          <w:szCs w:val="28"/>
          <w:highlight w:val="none"/>
          <w:lang w:val="en-US" w:eastAsia="zh-CN"/>
          <w14:textFill>
            <w14:solidFill>
              <w14:schemeClr w14:val="tx1"/>
            </w14:solidFill>
          </w14:textFill>
        </w:rPr>
        <w:t>10</w:t>
      </w:r>
      <w:r>
        <w:rPr>
          <w:rFonts w:hint="eastAsia" w:ascii="宋体" w:hAnsi="宋体" w:eastAsia="宋体" w:cs="宋体"/>
          <w:color w:val="000000" w:themeColor="text1"/>
          <w:sz w:val="28"/>
          <w:szCs w:val="28"/>
          <w:highlight w:val="none"/>
          <w14:textFill>
            <w14:solidFill>
              <w14:schemeClr w14:val="tx1"/>
            </w14:solidFill>
          </w14:textFill>
        </w:rPr>
        <w:t>月</w:t>
      </w:r>
      <w:r>
        <w:rPr>
          <w:rFonts w:hint="eastAsia" w:ascii="宋体" w:hAnsi="宋体" w:eastAsia="宋体" w:cs="宋体"/>
          <w:color w:val="000000" w:themeColor="text1"/>
          <w:sz w:val="28"/>
          <w:szCs w:val="28"/>
          <w:highlight w:val="none"/>
          <w:lang w:val="en-US" w:eastAsia="zh-CN"/>
          <w14:textFill>
            <w14:solidFill>
              <w14:schemeClr w14:val="tx1"/>
            </w14:solidFill>
          </w14:textFill>
        </w:rPr>
        <w:t>23</w:t>
      </w:r>
      <w:r>
        <w:rPr>
          <w:rFonts w:hint="eastAsia" w:ascii="宋体" w:hAnsi="宋体" w:eastAsia="宋体" w:cs="宋体"/>
          <w:color w:val="000000" w:themeColor="text1"/>
          <w:sz w:val="28"/>
          <w:szCs w:val="28"/>
          <w:highlight w:val="none"/>
          <w14:textFill>
            <w14:solidFill>
              <w14:schemeClr w14:val="tx1"/>
            </w14:solidFill>
          </w14:textFill>
        </w:rPr>
        <w:t>日</w:t>
      </w:r>
      <w:r>
        <w:rPr>
          <w:rFonts w:hint="eastAsia" w:ascii="宋体" w:hAnsi="宋体" w:eastAsia="宋体" w:cs="宋体"/>
          <w:color w:val="000000" w:themeColor="text1"/>
          <w:sz w:val="28"/>
          <w:szCs w:val="28"/>
          <w14:textFill>
            <w14:solidFill>
              <w14:schemeClr w14:val="tx1"/>
            </w14:solidFill>
          </w14:textFill>
        </w:rPr>
        <w:t>，组织安全评价人员，对现场进行实地勘察</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通过现场勘查，</w:t>
      </w:r>
      <w:r>
        <w:rPr>
          <w:rFonts w:hint="eastAsia" w:ascii="宋体" w:hAnsi="宋体" w:eastAsia="宋体" w:cs="宋体"/>
          <w:color w:val="000000" w:themeColor="text1"/>
          <w:sz w:val="28"/>
          <w:szCs w:val="28"/>
          <w14:textFill>
            <w14:solidFill>
              <w14:schemeClr w14:val="tx1"/>
            </w14:solidFill>
          </w14:textFill>
        </w:rPr>
        <w:t>梳理出</w:t>
      </w:r>
      <w:r>
        <w:rPr>
          <w:rFonts w:hint="eastAsia" w:ascii="宋体" w:hAnsi="宋体" w:eastAsia="宋体" w:cs="宋体"/>
          <w:color w:val="000000" w:themeColor="text1"/>
          <w:sz w:val="28"/>
          <w:szCs w:val="28"/>
          <w:lang w:eastAsia="zh-CN"/>
          <w14:textFill>
            <w14:solidFill>
              <w14:schemeClr w14:val="tx1"/>
            </w14:solidFill>
          </w14:textFill>
        </w:rPr>
        <w:t>玉溪市明哲数控科技有限公司</w:t>
      </w:r>
      <w:r>
        <w:rPr>
          <w:rFonts w:hint="eastAsia" w:ascii="宋体" w:hAnsi="宋体" w:eastAsia="宋体" w:cs="宋体"/>
          <w:color w:val="000000" w:themeColor="text1"/>
          <w:sz w:val="28"/>
          <w:szCs w:val="28"/>
          <w:lang w:val="en-US" w:eastAsia="zh-CN"/>
          <w14:textFill>
            <w14:solidFill>
              <w14:schemeClr w14:val="tx1"/>
            </w14:solidFill>
          </w14:textFill>
        </w:rPr>
        <w:t>安全现状评价</w:t>
      </w:r>
      <w:r>
        <w:rPr>
          <w:rFonts w:hint="eastAsia" w:ascii="宋体" w:hAnsi="宋体" w:eastAsia="宋体" w:cs="宋体"/>
          <w:color w:val="000000" w:themeColor="text1"/>
          <w:sz w:val="28"/>
          <w:szCs w:val="28"/>
          <w:lang w:eastAsia="zh-CN"/>
          <w14:textFill>
            <w14:solidFill>
              <w14:schemeClr w14:val="tx1"/>
            </w14:solidFill>
          </w14:textFill>
        </w:rPr>
        <w:t>项目</w:t>
      </w:r>
      <w:r>
        <w:rPr>
          <w:rFonts w:hint="eastAsia" w:ascii="宋体" w:hAnsi="宋体" w:eastAsia="宋体" w:cs="宋体"/>
          <w:color w:val="000000" w:themeColor="text1"/>
          <w:sz w:val="28"/>
          <w:szCs w:val="28"/>
          <w14:textFill>
            <w14:solidFill>
              <w14:schemeClr w14:val="tx1"/>
            </w14:solidFill>
          </w14:textFill>
        </w:rPr>
        <w:t>主要存在以下问题：</w:t>
      </w:r>
    </w:p>
    <w:p w14:paraId="4E27497B">
      <w:pPr>
        <w:pStyle w:val="9"/>
        <w:bidi w:val="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整改报告见</w:t>
      </w:r>
      <w:r>
        <w:rPr>
          <w:rFonts w:hint="eastAsia" w:ascii="宋体" w:hAnsi="宋体" w:eastAsia="宋体" w:cs="宋体"/>
          <w:color w:val="000000" w:themeColor="text1"/>
          <w:sz w:val="28"/>
          <w:szCs w:val="28"/>
          <w:highlight w:val="none"/>
          <w14:textFill>
            <w14:solidFill>
              <w14:schemeClr w14:val="tx1"/>
            </w14:solidFill>
          </w14:textFill>
        </w:rPr>
        <w:t>附件</w:t>
      </w:r>
      <w:r>
        <w:rPr>
          <w:rFonts w:hint="eastAsia" w:ascii="宋体" w:hAnsi="宋体" w:eastAsia="宋体" w:cs="宋体"/>
          <w:color w:val="000000" w:themeColor="text1"/>
          <w:sz w:val="28"/>
          <w:szCs w:val="28"/>
          <w:highlight w:val="none"/>
          <w:lang w:val="en-US" w:eastAsia="zh-CN"/>
          <w14:textFill>
            <w14:solidFill>
              <w14:schemeClr w14:val="tx1"/>
            </w14:solidFill>
          </w14:textFill>
        </w:rPr>
        <w:t>14</w:t>
      </w:r>
      <w:r>
        <w:rPr>
          <w:rFonts w:hint="eastAsia" w:ascii="宋体" w:hAnsi="宋体" w:eastAsia="宋体" w:cs="宋体"/>
          <w:color w:val="000000" w:themeColor="text1"/>
          <w:sz w:val="28"/>
          <w:szCs w:val="28"/>
          <w14:textFill>
            <w14:solidFill>
              <w14:schemeClr w14:val="tx1"/>
            </w14:solidFill>
          </w14:textFill>
        </w:rPr>
        <w:t>。</w:t>
      </w:r>
    </w:p>
    <w:p w14:paraId="46CAF83D">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szCs w:val="24"/>
          <w14:textFill>
            <w14:solidFill>
              <w14:schemeClr w14:val="tx1"/>
            </w14:solidFill>
          </w14:textFill>
        </w:rPr>
        <w:t>表 6-1 安全评价提出的企业存在问题一览表</w:t>
      </w:r>
    </w:p>
    <w:tbl>
      <w:tblPr>
        <w:tblStyle w:val="53"/>
        <w:tblW w:w="514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4140"/>
        <w:gridCol w:w="4104"/>
      </w:tblGrid>
      <w:tr w14:paraId="11FAC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407" w:type="pct"/>
            <w:vAlign w:val="center"/>
          </w:tcPr>
          <w:p w14:paraId="6963C219">
            <w:pPr>
              <w:pStyle w:val="71"/>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bCs/>
                <w:color w:val="000000" w:themeColor="text1"/>
                <w:sz w:val="21"/>
                <w:szCs w:val="21"/>
                <w14:textFill>
                  <w14:solidFill>
                    <w14:schemeClr w14:val="tx1"/>
                  </w14:solidFill>
                </w14:textFill>
              </w:rPr>
            </w:pPr>
            <w:bookmarkStart w:id="845" w:name="_Toc313453631"/>
            <w:bookmarkStart w:id="846" w:name="_Toc23738"/>
            <w:bookmarkStart w:id="847" w:name="_Toc31614"/>
            <w:bookmarkStart w:id="848" w:name="_Toc14350"/>
            <w:bookmarkStart w:id="849" w:name="_Toc335926318"/>
            <w:bookmarkStart w:id="850" w:name="_Toc9985"/>
            <w:r>
              <w:rPr>
                <w:rFonts w:hint="eastAsia" w:ascii="宋体" w:hAnsi="宋体" w:eastAsia="宋体" w:cs="宋体"/>
                <w:b/>
                <w:bCs/>
                <w:color w:val="000000" w:themeColor="text1"/>
                <w:sz w:val="21"/>
                <w:szCs w:val="21"/>
                <w14:textFill>
                  <w14:solidFill>
                    <w14:schemeClr w14:val="tx1"/>
                  </w14:solidFill>
                </w14:textFill>
              </w:rPr>
              <w:t>序号</w:t>
            </w:r>
          </w:p>
        </w:tc>
        <w:tc>
          <w:tcPr>
            <w:tcW w:w="2306" w:type="pct"/>
            <w:vAlign w:val="center"/>
          </w:tcPr>
          <w:p w14:paraId="12C14A99">
            <w:pPr>
              <w:pStyle w:val="71"/>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存在的问题</w:t>
            </w:r>
          </w:p>
        </w:tc>
        <w:tc>
          <w:tcPr>
            <w:tcW w:w="2286" w:type="pct"/>
            <w:vAlign w:val="center"/>
          </w:tcPr>
          <w:p w14:paraId="4EFB31B9">
            <w:pPr>
              <w:pStyle w:val="71"/>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整改建议</w:t>
            </w:r>
          </w:p>
        </w:tc>
      </w:tr>
      <w:tr w14:paraId="4DCCD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vAlign w:val="center"/>
          </w:tcPr>
          <w:p w14:paraId="585C195D">
            <w:pPr>
              <w:pStyle w:val="71"/>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1</w:t>
            </w:r>
          </w:p>
        </w:tc>
        <w:tc>
          <w:tcPr>
            <w:tcW w:w="2306" w:type="pct"/>
            <w:vAlign w:val="center"/>
          </w:tcPr>
          <w:p w14:paraId="7119160A">
            <w:pPr>
              <w:pStyle w:val="71"/>
              <w:keepNext w:val="0"/>
              <w:keepLines w:val="0"/>
              <w:pageBreakBefore w:val="0"/>
              <w:widowControl w:val="0"/>
              <w:kinsoku/>
              <w:wordWrap/>
              <w:overflowPunct/>
              <w:topLinePunct w:val="0"/>
              <w:bidi w:val="0"/>
              <w:snapToGrid/>
              <w:spacing w:line="400" w:lineRule="exact"/>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车间部分应急灯未插电源或损坏。</w:t>
            </w:r>
          </w:p>
        </w:tc>
        <w:tc>
          <w:tcPr>
            <w:tcW w:w="2286" w:type="pct"/>
            <w:vAlign w:val="center"/>
          </w:tcPr>
          <w:p w14:paraId="5DDA065D">
            <w:pPr>
              <w:pStyle w:val="71"/>
              <w:keepNext w:val="0"/>
              <w:keepLines w:val="0"/>
              <w:pageBreakBefore w:val="0"/>
              <w:widowControl w:val="0"/>
              <w:kinsoku/>
              <w:wordWrap/>
              <w:overflowPunct/>
              <w:topLinePunct w:val="0"/>
              <w:bidi w:val="0"/>
              <w:snapToGrid/>
              <w:spacing w:line="400" w:lineRule="exact"/>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车间应急灯检查接电，已损坏的及时更换。</w:t>
            </w:r>
          </w:p>
        </w:tc>
      </w:tr>
      <w:tr w14:paraId="6EB9E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407" w:type="pct"/>
            <w:vAlign w:val="center"/>
          </w:tcPr>
          <w:p w14:paraId="1DFB3BF1">
            <w:pPr>
              <w:pStyle w:val="71"/>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w:t>
            </w:r>
          </w:p>
        </w:tc>
        <w:tc>
          <w:tcPr>
            <w:tcW w:w="2306" w:type="pct"/>
            <w:shd w:val="clear" w:color="auto" w:fill="auto"/>
            <w:vAlign w:val="center"/>
          </w:tcPr>
          <w:p w14:paraId="0C7ED8F6">
            <w:pPr>
              <w:pStyle w:val="71"/>
              <w:keepNext w:val="0"/>
              <w:keepLines w:val="0"/>
              <w:pageBreakBefore w:val="0"/>
              <w:widowControl w:val="0"/>
              <w:kinsoku/>
              <w:wordWrap/>
              <w:overflowPunct/>
              <w:topLinePunct w:val="0"/>
              <w:bidi w:val="0"/>
              <w:snapToGrid/>
              <w:spacing w:line="400" w:lineRule="exact"/>
              <w:jc w:val="both"/>
              <w:textAlignment w:val="auto"/>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行车吊钩未设置防脱钩装置。</w:t>
            </w:r>
          </w:p>
        </w:tc>
        <w:tc>
          <w:tcPr>
            <w:tcW w:w="2286" w:type="pct"/>
            <w:shd w:val="clear" w:color="auto" w:fill="auto"/>
            <w:vAlign w:val="center"/>
          </w:tcPr>
          <w:p w14:paraId="00599587">
            <w:pPr>
              <w:keepNext w:val="0"/>
              <w:keepLines w:val="0"/>
              <w:pageBreakBefore w:val="0"/>
              <w:widowControl w:val="0"/>
              <w:kinsoku/>
              <w:wordWrap/>
              <w:overflowPunct/>
              <w:topLinePunct w:val="0"/>
              <w:bidi w:val="0"/>
              <w:snapToGrid/>
              <w:spacing w:line="240" w:lineRule="auto"/>
              <w:jc w:val="both"/>
              <w:textAlignment w:val="auto"/>
              <w:rPr>
                <w:rFonts w:hint="eastAsia" w:ascii="宋体" w:hAnsi="宋体" w:eastAsia="宋体" w:cs="宋体"/>
                <w:b w:val="0"/>
                <w:bCs w:val="0"/>
                <w:color w:val="000000" w:themeColor="text1"/>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吊钩加装防脱钩装置。</w:t>
            </w:r>
          </w:p>
        </w:tc>
      </w:tr>
      <w:tr w14:paraId="32EEA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jc w:val="center"/>
        </w:trPr>
        <w:tc>
          <w:tcPr>
            <w:tcW w:w="407" w:type="pct"/>
            <w:vAlign w:val="center"/>
          </w:tcPr>
          <w:p w14:paraId="7D7A50BE">
            <w:pPr>
              <w:pStyle w:val="71"/>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3</w:t>
            </w:r>
          </w:p>
        </w:tc>
        <w:tc>
          <w:tcPr>
            <w:tcW w:w="2306" w:type="pct"/>
            <w:vAlign w:val="center"/>
          </w:tcPr>
          <w:p w14:paraId="2B3E19AC">
            <w:pPr>
              <w:widowControl/>
              <w:numPr>
                <w:ilvl w:val="0"/>
                <w:numId w:val="0"/>
              </w:numPr>
              <w:spacing w:line="240" w:lineRule="auto"/>
              <w:ind w:leftChars="0"/>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车间内灭火器较少，且存在失效、</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压力不足</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的情况</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w:t>
            </w:r>
            <w:r>
              <w:rPr>
                <w:rFonts w:hint="eastAsia" w:ascii="宋体" w:hAnsi="宋体" w:eastAsia="宋体" w:cs="宋体"/>
                <w:b w:val="0"/>
                <w:bCs w:val="0"/>
                <w:color w:val="000000" w:themeColor="text1"/>
                <w:sz w:val="21"/>
                <w:szCs w:val="21"/>
                <w:lang w:val="en-US" w:eastAsia="zh-CN"/>
                <w14:textFill>
                  <w14:solidFill>
                    <w14:schemeClr w14:val="tx1"/>
                  </w14:solidFill>
                </w14:textFill>
              </w:rPr>
              <w:t>灭火器无巡检记录</w:t>
            </w:r>
            <w:r>
              <w:rPr>
                <w:rFonts w:hint="eastAsia" w:ascii="宋体" w:hAnsi="宋体" w:eastAsia="宋体" w:cs="宋体"/>
                <w:b w:val="0"/>
                <w:bCs w:val="0"/>
                <w:color w:val="000000" w:themeColor="text1"/>
                <w:sz w:val="21"/>
                <w:szCs w:val="21"/>
                <w:lang w:val="en-US" w:eastAsia="zh-CN"/>
                <w14:textFill>
                  <w14:solidFill>
                    <w14:schemeClr w14:val="tx1"/>
                  </w14:solidFill>
                </w14:textFill>
              </w:rPr>
              <w:t>。</w:t>
            </w:r>
          </w:p>
        </w:tc>
        <w:tc>
          <w:tcPr>
            <w:tcW w:w="2286" w:type="pct"/>
            <w:vAlign w:val="center"/>
          </w:tcPr>
          <w:p w14:paraId="2D6AC25E">
            <w:pPr>
              <w:widowControl/>
              <w:numPr>
                <w:ilvl w:val="0"/>
                <w:numId w:val="0"/>
              </w:numPr>
              <w:spacing w:line="240" w:lineRule="auto"/>
              <w:ind w:leftChars="0"/>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车间内按要求增设灭火器材，并加强灭火器材的检查维护，及时更换失效，</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压力不足</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的灭火器。对全厂灭火器定期组织检查、维护并做好记录，确保完好有效。灭火器应</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粘贴</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日常检查记录表（</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定期检查</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w:t>
            </w:r>
            <w:r>
              <w:rPr>
                <w:rFonts w:hint="eastAsia" w:ascii="宋体" w:hAnsi="宋体" w:eastAsia="宋体" w:cs="宋体"/>
                <w:b w:val="0"/>
                <w:bCs w:val="0"/>
                <w:color w:val="000000" w:themeColor="text1"/>
                <w:sz w:val="21"/>
                <w:szCs w:val="21"/>
                <w:lang w:eastAsia="zh-CN"/>
                <w14:textFill>
                  <w14:solidFill>
                    <w14:schemeClr w14:val="tx1"/>
                  </w14:solidFill>
                </w14:textFill>
              </w:rPr>
              <w:t>。</w:t>
            </w:r>
          </w:p>
        </w:tc>
      </w:tr>
      <w:tr w14:paraId="55756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 w:type="pct"/>
            <w:vAlign w:val="center"/>
          </w:tcPr>
          <w:p w14:paraId="13EE2C06">
            <w:pPr>
              <w:pStyle w:val="71"/>
              <w:keepNext w:val="0"/>
              <w:keepLines w:val="0"/>
              <w:pageBreakBefore w:val="0"/>
              <w:widowControl w:val="0"/>
              <w:kinsoku/>
              <w:wordWrap/>
              <w:overflowPunct/>
              <w:topLinePunct w:val="0"/>
              <w:bidi w:val="0"/>
              <w:snapToGrid/>
              <w:spacing w:line="400" w:lineRule="exact"/>
              <w:jc w:val="center"/>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4</w:t>
            </w:r>
          </w:p>
        </w:tc>
        <w:tc>
          <w:tcPr>
            <w:tcW w:w="2306" w:type="pct"/>
            <w:vAlign w:val="center"/>
          </w:tcPr>
          <w:p w14:paraId="6436C0F1">
            <w:pPr>
              <w:pStyle w:val="330"/>
              <w:keepNext w:val="0"/>
              <w:keepLines w:val="0"/>
              <w:pageBreakBefore w:val="0"/>
              <w:widowControl w:val="0"/>
              <w:kinsoku/>
              <w:wordWrap/>
              <w:overflowPunct/>
              <w:topLinePunct w:val="0"/>
              <w:bidi w:val="0"/>
              <w:snapToGrid/>
              <w:spacing w:line="400" w:lineRule="exact"/>
              <w:ind w:left="0" w:lef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车间内存在非生产用电动自行车、摩托车。</w:t>
            </w:r>
          </w:p>
        </w:tc>
        <w:tc>
          <w:tcPr>
            <w:tcW w:w="2286" w:type="pct"/>
            <w:vAlign w:val="center"/>
          </w:tcPr>
          <w:p w14:paraId="6817C8AC">
            <w:pPr>
              <w:keepNext w:val="0"/>
              <w:keepLines w:val="0"/>
              <w:widowControl/>
              <w:suppressLineNumbers w:val="0"/>
              <w:jc w:val="left"/>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及时移除电动车、摩托车。</w:t>
            </w:r>
          </w:p>
        </w:tc>
      </w:tr>
    </w:tbl>
    <w:p w14:paraId="6F1F65B4">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851" w:name="_Toc25296"/>
      <w:r>
        <w:rPr>
          <w:rFonts w:hint="eastAsia" w:ascii="宋体" w:hAnsi="宋体" w:eastAsia="宋体" w:cs="宋体"/>
          <w:color w:val="000000" w:themeColor="text1"/>
          <w14:textFill>
            <w14:solidFill>
              <w14:schemeClr w14:val="tx1"/>
            </w14:solidFill>
          </w14:textFill>
        </w:rPr>
        <w:t>6.2</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安全技术对策措施</w:t>
      </w:r>
      <w:bookmarkEnd w:id="845"/>
      <w:r>
        <w:rPr>
          <w:rFonts w:hint="eastAsia" w:ascii="宋体" w:hAnsi="宋体" w:eastAsia="宋体" w:cs="宋体"/>
          <w:color w:val="000000" w:themeColor="text1"/>
          <w14:textFill>
            <w14:solidFill>
              <w14:schemeClr w14:val="tx1"/>
            </w14:solidFill>
          </w14:textFill>
        </w:rPr>
        <w:t>建议</w:t>
      </w:r>
      <w:bookmarkEnd w:id="846"/>
      <w:bookmarkEnd w:id="847"/>
      <w:bookmarkEnd w:id="848"/>
      <w:bookmarkEnd w:id="849"/>
      <w:bookmarkEnd w:id="850"/>
      <w:bookmarkEnd w:id="851"/>
    </w:p>
    <w:p w14:paraId="4C3122BD">
      <w:pPr>
        <w:keepNext w:val="0"/>
        <w:keepLines w:val="0"/>
        <w:pageBreakBefore w:val="0"/>
        <w:widowControl w:val="0"/>
        <w:numPr>
          <w:ilvl w:val="0"/>
          <w:numId w:val="0"/>
        </w:numPr>
        <w:tabs>
          <w:tab w:val="left" w:pos="420"/>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w:t>
      </w:r>
      <w:r>
        <w:rPr>
          <w:rFonts w:hint="eastAsia" w:ascii="宋体" w:hAnsi="宋体" w:eastAsia="宋体" w:cs="宋体"/>
          <w:color w:val="000000" w:themeColor="text1"/>
          <w:sz w:val="28"/>
          <w:szCs w:val="28"/>
          <w14:textFill>
            <w14:solidFill>
              <w14:schemeClr w14:val="tx1"/>
            </w14:solidFill>
          </w14:textFill>
        </w:rPr>
        <w:t>应根据各作业岗位的危险性配置完善相应的应急器材、药品和个人防护用品。</w:t>
      </w:r>
    </w:p>
    <w:p w14:paraId="01C6EAED">
      <w:pPr>
        <w:keepNext w:val="0"/>
        <w:keepLines w:val="0"/>
        <w:pageBreakBefore w:val="0"/>
        <w:widowControl w:val="0"/>
        <w:numPr>
          <w:ilvl w:val="0"/>
          <w:numId w:val="0"/>
        </w:numPr>
        <w:tabs>
          <w:tab w:val="left" w:pos="420"/>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企业应根据国家相关法规、规范要求并结合自身实际情况制定完善安全生产责任制（应包括各部门和各级人员）；制定完善安全管理制度（安全奖惩考核制度、检维修制度等）及</w:t>
      </w:r>
      <w:r>
        <w:rPr>
          <w:rFonts w:hint="eastAsia" w:ascii="宋体" w:hAnsi="宋体" w:eastAsia="宋体" w:cs="宋体"/>
          <w:color w:val="000000" w:themeColor="text1"/>
          <w:sz w:val="28"/>
          <w:szCs w:val="28"/>
          <w:lang w:eastAsia="zh-CN"/>
          <w14:textFill>
            <w14:solidFill>
              <w14:schemeClr w14:val="tx1"/>
            </w14:solidFill>
          </w14:textFill>
        </w:rPr>
        <w:t>台账</w:t>
      </w:r>
      <w:r>
        <w:rPr>
          <w:rFonts w:hint="eastAsia" w:ascii="宋体" w:hAnsi="宋体" w:eastAsia="宋体" w:cs="宋体"/>
          <w:color w:val="000000" w:themeColor="text1"/>
          <w:sz w:val="28"/>
          <w:szCs w:val="28"/>
          <w14:textFill>
            <w14:solidFill>
              <w14:schemeClr w14:val="tx1"/>
            </w14:solidFill>
          </w14:textFill>
        </w:rPr>
        <w:t>记录。</w:t>
      </w:r>
    </w:p>
    <w:p w14:paraId="412CCC86">
      <w:pPr>
        <w:keepNext w:val="0"/>
        <w:keepLines w:val="0"/>
        <w:pageBreakBefore w:val="0"/>
        <w:widowControl w:val="0"/>
        <w:numPr>
          <w:ilvl w:val="0"/>
          <w:numId w:val="0"/>
        </w:numPr>
        <w:tabs>
          <w:tab w:val="left" w:pos="420"/>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3．</w:t>
      </w:r>
      <w:r>
        <w:rPr>
          <w:rFonts w:hint="eastAsia" w:ascii="宋体" w:hAnsi="宋体" w:eastAsia="宋体" w:cs="宋体"/>
          <w:color w:val="000000" w:themeColor="text1"/>
          <w:sz w:val="28"/>
          <w:szCs w:val="28"/>
          <w14:textFill>
            <w14:solidFill>
              <w14:schemeClr w14:val="tx1"/>
            </w14:solidFill>
          </w14:textFill>
        </w:rPr>
        <w:t>企业应根据《生产经营单位生产安全事故应急预案编制导则》（GB/T29639-2020）</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《生产安全事故应急预案管理办法》（国家安全生产监督管理总局令第88号，应急管理部第2号修改，2019年9月1日起实施）的要求，定期组织企业相关人员进行应急演练，对演练</w:t>
      </w:r>
      <w:r>
        <w:rPr>
          <w:rFonts w:hint="eastAsia" w:ascii="宋体" w:hAnsi="宋体" w:eastAsia="宋体" w:cs="宋体"/>
          <w:color w:val="000000" w:themeColor="text1"/>
          <w:sz w:val="28"/>
          <w:szCs w:val="28"/>
          <w:lang w:eastAsia="zh-CN"/>
          <w14:textFill>
            <w14:solidFill>
              <w14:schemeClr w14:val="tx1"/>
            </w14:solidFill>
          </w14:textFill>
        </w:rPr>
        <w:t>效</w:t>
      </w:r>
      <w:r>
        <w:rPr>
          <w:rFonts w:hint="eastAsia" w:ascii="宋体" w:hAnsi="宋体" w:eastAsia="宋体" w:cs="宋体"/>
          <w:color w:val="000000" w:themeColor="text1"/>
          <w:sz w:val="28"/>
          <w:szCs w:val="28"/>
          <w14:textFill>
            <w14:solidFill>
              <w14:schemeClr w14:val="tx1"/>
            </w14:solidFill>
          </w14:textFill>
        </w:rPr>
        <w:t>果进行评估，对评估存在的问题及时修订。</w:t>
      </w:r>
    </w:p>
    <w:p w14:paraId="4B42240B">
      <w:pPr>
        <w:keepNext w:val="0"/>
        <w:keepLines w:val="0"/>
        <w:pageBreakBefore w:val="0"/>
        <w:widowControl w:val="0"/>
        <w:numPr>
          <w:ilvl w:val="0"/>
          <w:numId w:val="0"/>
        </w:numPr>
        <w:tabs>
          <w:tab w:val="left" w:pos="420"/>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制定、完善和严格执行设备检修管理制度、供配电管理制度、各岗位安全操作规程，严防检修过程安全生产事故发生。</w:t>
      </w:r>
    </w:p>
    <w:p w14:paraId="6F7C3F29">
      <w:pPr>
        <w:keepNext w:val="0"/>
        <w:keepLines w:val="0"/>
        <w:pageBreakBefore w:val="0"/>
        <w:widowControl w:val="0"/>
        <w:numPr>
          <w:ilvl w:val="0"/>
          <w:numId w:val="0"/>
        </w:numPr>
        <w:tabs>
          <w:tab w:val="left" w:pos="420"/>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加强设备管理和维护检修工作，消除设备缺陷和隐患，对设备隐患一定要及时处理，提出相应的整改措施，并监督落实，认真进行设备检修及事故隐患整改记录，杜绝设备的带病运转现象，为安全生产提供坚实的物质保障。</w:t>
      </w:r>
    </w:p>
    <w:p w14:paraId="0F42E42B">
      <w:pPr>
        <w:keepNext w:val="0"/>
        <w:keepLines w:val="0"/>
        <w:pageBreakBefore w:val="0"/>
        <w:widowControl w:val="0"/>
        <w:tabs>
          <w:tab w:val="left" w:pos="993"/>
        </w:tabs>
        <w:kinsoku/>
        <w:wordWrap/>
        <w:overflowPunct/>
        <w:topLinePunct w:val="0"/>
        <w:autoSpaceDE/>
        <w:autoSpaceDN/>
        <w:bidi w:val="0"/>
        <w:adjustRightInd/>
        <w:snapToGrid/>
        <w:spacing w:line="520" w:lineRule="exact"/>
        <w:ind w:left="120" w:leftChars="5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（1）根据设备检修项目要求，在检修前制定设备检修方案，落实检修人员、检修组织、安全措施；</w:t>
      </w:r>
    </w:p>
    <w:p w14:paraId="183AD1D8">
      <w:pPr>
        <w:keepNext w:val="0"/>
        <w:keepLines w:val="0"/>
        <w:pageBreakBefore w:val="0"/>
        <w:widowControl w:val="0"/>
        <w:tabs>
          <w:tab w:val="left" w:pos="630"/>
          <w:tab w:val="left" w:pos="993"/>
        </w:tabs>
        <w:kinsoku/>
        <w:wordWrap/>
        <w:overflowPunct/>
        <w:topLinePunct w:val="0"/>
        <w:autoSpaceDE/>
        <w:autoSpaceDN/>
        <w:bidi w:val="0"/>
        <w:adjustRightInd/>
        <w:snapToGrid/>
        <w:spacing w:line="520" w:lineRule="exact"/>
        <w:ind w:left="120" w:leftChars="5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（2）设备检修如须高处作业、动火、动土、断路、吊装、进入设备内作业等应严格执行国家相关规范及厂内相关规定；</w:t>
      </w:r>
    </w:p>
    <w:p w14:paraId="5FBF2511">
      <w:pPr>
        <w:keepNext w:val="0"/>
        <w:keepLines w:val="0"/>
        <w:pageBreakBefore w:val="0"/>
        <w:widowControl w:val="0"/>
        <w:tabs>
          <w:tab w:val="left" w:pos="630"/>
          <w:tab w:val="left" w:pos="993"/>
        </w:tabs>
        <w:kinsoku/>
        <w:wordWrap/>
        <w:overflowPunct/>
        <w:topLinePunct w:val="0"/>
        <w:autoSpaceDE/>
        <w:autoSpaceDN/>
        <w:bidi w:val="0"/>
        <w:adjustRightInd/>
        <w:snapToGrid/>
        <w:spacing w:line="520" w:lineRule="exact"/>
        <w:ind w:left="120" w:leftChars="5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14:textFill>
            <w14:solidFill>
              <w14:schemeClr w14:val="tx1"/>
            </w14:solidFill>
          </w14:textFill>
        </w:rPr>
        <w:t>）电气设备检修作业须遵守电气安全工作规定，由具有相关电工作业资质人员担任；</w:t>
      </w:r>
    </w:p>
    <w:p w14:paraId="7F88C411">
      <w:pPr>
        <w:keepNext w:val="0"/>
        <w:keepLines w:val="0"/>
        <w:pageBreakBefore w:val="0"/>
        <w:widowControl w:val="0"/>
        <w:tabs>
          <w:tab w:val="left" w:pos="630"/>
          <w:tab w:val="left" w:pos="993"/>
        </w:tabs>
        <w:kinsoku/>
        <w:wordWrap/>
        <w:overflowPunct/>
        <w:topLinePunct w:val="0"/>
        <w:autoSpaceDE/>
        <w:autoSpaceDN/>
        <w:bidi w:val="0"/>
        <w:adjustRightInd/>
        <w:snapToGrid/>
        <w:spacing w:line="520" w:lineRule="exact"/>
        <w:ind w:left="120" w:leftChars="5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）检修完成应将检修需要而拆移的盖板、篦子板、扶手、栏杆、防护罩等安全设施要恢复正常；</w:t>
      </w:r>
    </w:p>
    <w:p w14:paraId="380020AE">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6．</w:t>
      </w:r>
      <w:r>
        <w:rPr>
          <w:rFonts w:hint="eastAsia" w:ascii="宋体" w:hAnsi="宋体" w:eastAsia="宋体" w:cs="宋体"/>
          <w:color w:val="000000" w:themeColor="text1"/>
          <w:sz w:val="28"/>
          <w:szCs w:val="28"/>
          <w14:textFill>
            <w14:solidFill>
              <w14:schemeClr w14:val="tx1"/>
            </w14:solidFill>
          </w14:textFill>
        </w:rPr>
        <w:t>企业应按规范要求完善消防设施的配置，指定专人负责消防器材的定期检查保养工作，确保消防器材处于完好有效的状态；</w:t>
      </w:r>
    </w:p>
    <w:p w14:paraId="53414F59">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7．</w:t>
      </w:r>
      <w:r>
        <w:rPr>
          <w:rFonts w:hint="eastAsia" w:ascii="宋体" w:hAnsi="宋体" w:eastAsia="宋体" w:cs="宋体"/>
          <w:color w:val="000000" w:themeColor="text1"/>
          <w:sz w:val="28"/>
          <w:szCs w:val="28"/>
          <w14:textFill>
            <w14:solidFill>
              <w14:schemeClr w14:val="tx1"/>
            </w14:solidFill>
          </w14:textFill>
        </w:rPr>
        <w:t>消防器材应当设置在明显和便于取用的地方，任何人不得随便移动，不得上锁，不得受阳光</w:t>
      </w:r>
      <w:r>
        <w:rPr>
          <w:rFonts w:hint="eastAsia" w:ascii="宋体" w:hAnsi="宋体" w:eastAsia="宋体" w:cs="宋体"/>
          <w:color w:val="000000" w:themeColor="text1"/>
          <w:sz w:val="28"/>
          <w:szCs w:val="28"/>
          <w:lang w:eastAsia="zh-CN"/>
          <w14:textFill>
            <w14:solidFill>
              <w14:schemeClr w14:val="tx1"/>
            </w14:solidFill>
          </w14:textFill>
        </w:rPr>
        <w:t>暴晒</w:t>
      </w:r>
      <w:r>
        <w:rPr>
          <w:rFonts w:hint="eastAsia" w:ascii="宋体" w:hAnsi="宋体" w:eastAsia="宋体" w:cs="宋体"/>
          <w:color w:val="000000" w:themeColor="text1"/>
          <w:sz w:val="28"/>
          <w:szCs w:val="28"/>
          <w14:textFill>
            <w14:solidFill>
              <w14:schemeClr w14:val="tx1"/>
            </w14:solidFill>
          </w14:textFill>
        </w:rPr>
        <w:t>、火烤、雨淋，一经使用，应立即更换，不得空置或随意丢弃；</w:t>
      </w:r>
    </w:p>
    <w:p w14:paraId="759A4553">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lang w:val="en-US" w:eastAsia="zh-CN" w:bidi="ar-SA"/>
          <w14:textFill>
            <w14:solidFill>
              <w14:schemeClr w14:val="tx1"/>
            </w14:solidFill>
          </w14:textFill>
        </w:rPr>
        <w:t>8．</w:t>
      </w:r>
      <w:r>
        <w:rPr>
          <w:rFonts w:hint="eastAsia" w:ascii="宋体" w:hAnsi="宋体" w:eastAsia="宋体" w:cs="宋体"/>
          <w:color w:val="000000" w:themeColor="text1"/>
          <w:sz w:val="28"/>
          <w14:textFill>
            <w14:solidFill>
              <w14:schemeClr w14:val="tx1"/>
            </w14:solidFill>
          </w14:textFill>
        </w:rPr>
        <w:t>电气设备可能被人触及的裸露带电部分，必须设置保护罩或遮栏及警示标志。</w:t>
      </w:r>
    </w:p>
    <w:p w14:paraId="01853802">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9．</w:t>
      </w:r>
      <w:r>
        <w:rPr>
          <w:rFonts w:hint="eastAsia" w:ascii="宋体" w:hAnsi="宋体" w:eastAsia="宋体" w:cs="宋体"/>
          <w:color w:val="000000" w:themeColor="text1"/>
          <w:sz w:val="28"/>
          <w14:textFill>
            <w14:solidFill>
              <w14:schemeClr w14:val="tx1"/>
            </w14:solidFill>
          </w14:textFill>
        </w:rPr>
        <w:t>电气设备和装置的金属框架或外壳等，应按有关规定进行保护接地，在电机配出回路中设漏电保护装置。</w:t>
      </w:r>
    </w:p>
    <w:p w14:paraId="3889E282">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20" w:lineRule="exact"/>
        <w:ind w:left="0" w:leftChars="0" w:firstLine="560" w:firstLineChars="200"/>
        <w:textAlignment w:val="auto"/>
        <w:rPr>
          <w:rFonts w:hint="eastAsia" w:ascii="宋体" w:hAnsi="宋体" w:eastAsia="宋体" w:cs="宋体"/>
          <w:color w:val="000000" w:themeColor="text1"/>
          <w:sz w:val="28"/>
          <w:lang w:val="en-US" w:eastAsia="zh-CN"/>
          <w14:textFill>
            <w14:solidFill>
              <w14:schemeClr w14:val="tx1"/>
            </w14:solidFill>
          </w14:textFill>
        </w:rPr>
      </w:pPr>
      <w:r>
        <w:rPr>
          <w:rFonts w:hint="eastAsia" w:ascii="宋体" w:hAnsi="宋体" w:eastAsia="宋体" w:cs="宋体"/>
          <w:color w:val="000000" w:themeColor="text1"/>
          <w:sz w:val="28"/>
          <w:lang w:val="en-US" w:eastAsia="zh-CN"/>
          <w14:textFill>
            <w14:solidFill>
              <w14:schemeClr w14:val="tx1"/>
            </w14:solidFill>
          </w14:textFill>
        </w:rPr>
        <w:t>10.特种设备、绝缘器具、压力容器及其安全附件，应定期检定。</w:t>
      </w:r>
    </w:p>
    <w:p w14:paraId="5D81D69B">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852" w:name="_Toc313453634"/>
      <w:bookmarkStart w:id="853" w:name="_Toc335926319"/>
      <w:bookmarkStart w:id="854" w:name="_Toc29652"/>
      <w:bookmarkStart w:id="855" w:name="_Toc8580"/>
      <w:bookmarkStart w:id="856" w:name="_Toc6881"/>
      <w:bookmarkStart w:id="857" w:name="_Toc10362"/>
      <w:bookmarkStart w:id="858" w:name="_Toc21503"/>
      <w:r>
        <w:rPr>
          <w:rFonts w:hint="eastAsia" w:ascii="宋体" w:hAnsi="宋体" w:eastAsia="宋体" w:cs="宋体"/>
          <w:color w:val="000000" w:themeColor="text1"/>
          <w14:textFill>
            <w14:solidFill>
              <w14:schemeClr w14:val="tx1"/>
            </w14:solidFill>
          </w14:textFill>
        </w:rPr>
        <w:t>6.3</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安全生产管理</w:t>
      </w:r>
      <w:bookmarkEnd w:id="852"/>
      <w:r>
        <w:rPr>
          <w:rFonts w:hint="eastAsia" w:ascii="宋体" w:hAnsi="宋体" w:eastAsia="宋体" w:cs="宋体"/>
          <w:color w:val="000000" w:themeColor="text1"/>
          <w14:textFill>
            <w14:solidFill>
              <w14:schemeClr w14:val="tx1"/>
            </w14:solidFill>
          </w14:textFill>
        </w:rPr>
        <w:t>建议</w:t>
      </w:r>
      <w:bookmarkEnd w:id="853"/>
      <w:bookmarkEnd w:id="854"/>
      <w:bookmarkEnd w:id="855"/>
      <w:bookmarkEnd w:id="856"/>
      <w:bookmarkEnd w:id="857"/>
      <w:bookmarkEnd w:id="858"/>
    </w:p>
    <w:p w14:paraId="6DFFFAAD">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lang w:val="en-US" w:eastAsia="zh-CN" w:bidi="ar-SA"/>
          <w14:textFill>
            <w14:solidFill>
              <w14:schemeClr w14:val="tx1"/>
            </w14:solidFill>
          </w14:textFill>
        </w:rPr>
        <w:t>1．</w:t>
      </w:r>
      <w:r>
        <w:rPr>
          <w:rFonts w:hint="eastAsia" w:ascii="宋体" w:hAnsi="宋体" w:eastAsia="宋体" w:cs="宋体"/>
          <w:color w:val="000000" w:themeColor="text1"/>
          <w:sz w:val="28"/>
          <w:szCs w:val="22"/>
          <w14:textFill>
            <w14:solidFill>
              <w14:schemeClr w14:val="tx1"/>
            </w14:solidFill>
          </w14:textFill>
        </w:rPr>
        <w:t>应根据《国务院关于进一步加强企业安全生产工作的通知》（国发〔2010〕23号）的要求，全面加强企业安全管理，健全规章制度，完善安全标准，提高企业技术水平，夯实安全生产基础；坚持依法依规进行生产。注意做到以下几点：</w:t>
      </w:r>
    </w:p>
    <w:p w14:paraId="0AD16A85">
      <w:pPr>
        <w:keepNext w:val="0"/>
        <w:keepLines w:val="0"/>
        <w:pageBreakBefore w:val="0"/>
        <w:widowControl w:val="0"/>
        <w:kinsoku/>
        <w:wordWrap/>
        <w:overflowPunct/>
        <w:topLinePunct w:val="0"/>
        <w:autoSpaceDE/>
        <w:autoSpaceDN/>
        <w:bidi w:val="0"/>
        <w:spacing w:line="52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（1）进一步规范企业生产经营行为。企业要健全完善严格的安全生产规章制度，坚持不安全不生产。加强对生产现场监督检查，严格查处违章指挥、违规作业、违反劳动纪律的“三违”行为。</w:t>
      </w:r>
    </w:p>
    <w:p w14:paraId="290F1688">
      <w:pPr>
        <w:keepNext w:val="0"/>
        <w:keepLines w:val="0"/>
        <w:pageBreakBefore w:val="0"/>
        <w:widowControl w:val="0"/>
        <w:kinsoku/>
        <w:wordWrap/>
        <w:overflowPunct/>
        <w:topLinePunct w:val="0"/>
        <w:autoSpaceDE/>
        <w:autoSpaceDN/>
        <w:bidi w:val="0"/>
        <w:spacing w:line="52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及时排查治理安全隐患。企业要经常性开展安全隐患排查，并切实做到整改措施、责任、资金、时限和预案“五到位”。建立以安全生产专业人员为主导的隐患整改效果评价制度，确保整改到位。对隐患整改不力造成事故的，要依法追究企业和企业相关负责人的责任。对停产整改逾期未完成的不得复产。</w:t>
      </w:r>
    </w:p>
    <w:p w14:paraId="4ECBE53E">
      <w:pPr>
        <w:keepNext w:val="0"/>
        <w:keepLines w:val="0"/>
        <w:pageBreakBefore w:val="0"/>
        <w:widowControl w:val="0"/>
        <w:kinsoku/>
        <w:wordWrap/>
        <w:overflowPunct/>
        <w:topLinePunct w:val="0"/>
        <w:autoSpaceDE/>
        <w:autoSpaceDN/>
        <w:bidi w:val="0"/>
        <w:spacing w:line="52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（3）强化职工安全培训。企业主要负责人和安全生产管理人员、特</w:t>
      </w:r>
      <w:r>
        <w:rPr>
          <w:rFonts w:hint="eastAsia" w:ascii="宋体" w:hAnsi="宋体" w:eastAsia="宋体" w:cs="宋体"/>
          <w:color w:val="000000" w:themeColor="text1"/>
          <w:sz w:val="28"/>
          <w:szCs w:val="28"/>
          <w:lang w:val="en-US" w:eastAsia="zh-CN"/>
          <w14:textFill>
            <w14:solidFill>
              <w14:schemeClr w14:val="tx1"/>
            </w14:solidFill>
          </w14:textFill>
        </w:rPr>
        <w:t>种作业人员</w:t>
      </w:r>
      <w:r>
        <w:rPr>
          <w:rFonts w:hint="eastAsia" w:ascii="宋体" w:hAnsi="宋体" w:eastAsia="宋体" w:cs="宋体"/>
          <w:color w:val="000000" w:themeColor="text1"/>
          <w:sz w:val="28"/>
          <w:szCs w:val="28"/>
          <w14:textFill>
            <w14:solidFill>
              <w14:schemeClr w14:val="tx1"/>
            </w14:solidFill>
          </w14:textFill>
        </w:rPr>
        <w:t>一律严格考核，按国家有关规定持职业资格证书上岗；职工必须全部经过培训合格后上岗。企业用工要严格依照劳动合同法与职工签订劳动合同。</w:t>
      </w:r>
    </w:p>
    <w:p w14:paraId="4C6CDAC0">
      <w:pPr>
        <w:keepNext w:val="0"/>
        <w:keepLines w:val="0"/>
        <w:pageBreakBefore w:val="0"/>
        <w:widowControl w:val="0"/>
        <w:kinsoku/>
        <w:wordWrap/>
        <w:overflowPunct/>
        <w:topLinePunct w:val="0"/>
        <w:autoSpaceDE/>
        <w:autoSpaceDN/>
        <w:bidi w:val="0"/>
        <w:spacing w:line="52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（4）加强企业生产技术管理。强化企业技术管理机构的安全职能，按规定配备安全技术人员，切实落实企业负责人安全生产技术管理负责制，强化企业主要技术负责人技术决策和指挥权。</w:t>
      </w:r>
    </w:p>
    <w:p w14:paraId="5FAC1E23">
      <w:pPr>
        <w:keepNext w:val="0"/>
        <w:keepLines w:val="0"/>
        <w:pageBreakBefore w:val="0"/>
        <w:widowControl w:val="0"/>
        <w:kinsoku/>
        <w:wordWrap/>
        <w:overflowPunct/>
        <w:topLinePunct w:val="0"/>
        <w:autoSpaceDE/>
        <w:autoSpaceDN/>
        <w:bidi w:val="0"/>
        <w:spacing w:line="52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（5）强制推行先进适用的技术装备，积极推进信息化建设，努力提高企业安全防护水平。</w:t>
      </w:r>
    </w:p>
    <w:p w14:paraId="6B2AF953">
      <w:pPr>
        <w:keepNext w:val="0"/>
        <w:keepLines w:val="0"/>
        <w:pageBreakBefore w:val="0"/>
        <w:widowControl w:val="0"/>
        <w:kinsoku/>
        <w:wordWrap/>
        <w:overflowPunct/>
        <w:topLinePunct w:val="0"/>
        <w:autoSpaceDE/>
        <w:autoSpaceDN/>
        <w:bidi w:val="0"/>
        <w:spacing w:line="52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（6）加快安全生产技术研发。企业在年度财务预算中必须确定必要的安全投入。</w:t>
      </w:r>
    </w:p>
    <w:p w14:paraId="03979794">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lang w:val="en-US" w:eastAsia="zh-CN" w:bidi="ar-SA"/>
          <w14:textFill>
            <w14:solidFill>
              <w14:schemeClr w14:val="tx1"/>
            </w14:solidFill>
          </w14:textFill>
        </w:rPr>
        <w:t>2．</w:t>
      </w:r>
      <w:r>
        <w:rPr>
          <w:rFonts w:hint="eastAsia" w:ascii="宋体" w:hAnsi="宋体" w:eastAsia="宋体" w:cs="宋体"/>
          <w:color w:val="000000" w:themeColor="text1"/>
          <w:sz w:val="28"/>
          <w:szCs w:val="22"/>
          <w14:textFill>
            <w14:solidFill>
              <w14:schemeClr w14:val="tx1"/>
            </w14:solidFill>
          </w14:textFill>
        </w:rPr>
        <w:t>公司领导及安全管理人员应不断提高自身的综合安全管理水平，并应取得相应的安全资格证书；加强对在职职工及新进人员的安全教育工作，进行风险预警和告知，教育员工树立“安全第一，预防为主，综合治理”的思想，提高全体员工的安全意识和自我保护能力；并做好日常的安全教育培训记录；严禁违章作业、违章指挥；安全管理人员及特种设备作业人员应全员参加培训，经考核合格后，持证上岗。</w:t>
      </w:r>
    </w:p>
    <w:p w14:paraId="684F54D7">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lang w:val="en-US" w:eastAsia="zh-CN" w:bidi="ar-SA"/>
          <w14:textFill>
            <w14:solidFill>
              <w14:schemeClr w14:val="tx1"/>
            </w14:solidFill>
          </w14:textFill>
        </w:rPr>
        <w:t>3．</w:t>
      </w:r>
      <w:r>
        <w:rPr>
          <w:rFonts w:hint="eastAsia" w:ascii="宋体" w:hAnsi="宋体" w:eastAsia="宋体" w:cs="宋体"/>
          <w:color w:val="000000" w:themeColor="text1"/>
          <w:sz w:val="28"/>
          <w:szCs w:val="22"/>
          <w14:textFill>
            <w14:solidFill>
              <w14:schemeClr w14:val="tx1"/>
            </w14:solidFill>
          </w14:textFill>
        </w:rPr>
        <w:t>加强操作人员的职业技能培训，提高人员的安全操作技能；加强生产过程中的各个环节的安全管理，操作人员要严格按照操作规程进行操作，严禁违规操作。</w:t>
      </w:r>
    </w:p>
    <w:p w14:paraId="1D0642D0">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lang w:val="en-US" w:eastAsia="zh-CN" w:bidi="ar-SA"/>
          <w14:textFill>
            <w14:solidFill>
              <w14:schemeClr w14:val="tx1"/>
            </w14:solidFill>
          </w14:textFill>
        </w:rPr>
        <w:t>4．</w:t>
      </w:r>
      <w:r>
        <w:rPr>
          <w:rFonts w:hint="eastAsia" w:ascii="宋体" w:hAnsi="宋体" w:eastAsia="宋体" w:cs="宋体"/>
          <w:color w:val="000000" w:themeColor="text1"/>
          <w:sz w:val="28"/>
          <w:szCs w:val="22"/>
          <w14:textFill>
            <w14:solidFill>
              <w14:schemeClr w14:val="tx1"/>
            </w14:solidFill>
          </w14:textFill>
        </w:rPr>
        <w:t>根据生产的实际情况，不断完善安全生产管理规章制度；完善生产、检修等作业的安全操作规程；做好安全</w:t>
      </w:r>
      <w:r>
        <w:rPr>
          <w:rFonts w:hint="eastAsia" w:ascii="宋体" w:hAnsi="宋体" w:eastAsia="宋体" w:cs="宋体"/>
          <w:color w:val="000000" w:themeColor="text1"/>
          <w:sz w:val="28"/>
          <w:szCs w:val="22"/>
          <w:lang w:eastAsia="zh-CN"/>
          <w14:textFill>
            <w14:solidFill>
              <w14:schemeClr w14:val="tx1"/>
            </w14:solidFill>
          </w14:textFill>
        </w:rPr>
        <w:t>管理台账</w:t>
      </w:r>
      <w:r>
        <w:rPr>
          <w:rFonts w:hint="eastAsia" w:ascii="宋体" w:hAnsi="宋体" w:eastAsia="宋体" w:cs="宋体"/>
          <w:color w:val="000000" w:themeColor="text1"/>
          <w:sz w:val="28"/>
          <w:szCs w:val="22"/>
          <w14:textFill>
            <w14:solidFill>
              <w14:schemeClr w14:val="tx1"/>
            </w14:solidFill>
          </w14:textFill>
        </w:rPr>
        <w:t>的记录。</w:t>
      </w:r>
    </w:p>
    <w:p w14:paraId="2C98AB70">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lang w:val="en-US" w:eastAsia="zh-CN" w:bidi="ar-SA"/>
          <w14:textFill>
            <w14:solidFill>
              <w14:schemeClr w14:val="tx1"/>
            </w14:solidFill>
          </w14:textFill>
        </w:rPr>
        <w:t>5．</w:t>
      </w:r>
      <w:r>
        <w:rPr>
          <w:rFonts w:hint="eastAsia" w:ascii="宋体" w:hAnsi="宋体" w:eastAsia="宋体" w:cs="宋体"/>
          <w:color w:val="000000" w:themeColor="text1"/>
          <w:sz w:val="28"/>
          <w:szCs w:val="22"/>
          <w14:textFill>
            <w14:solidFill>
              <w14:schemeClr w14:val="tx1"/>
            </w14:solidFill>
          </w14:textFill>
        </w:rPr>
        <w:t>针对厂内检修过程可能出现的事故特点，制定并不断完善设备检修管理制度，并严格监督执行。</w:t>
      </w:r>
    </w:p>
    <w:p w14:paraId="6E5CBF4B">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lang w:val="en-US" w:eastAsia="zh-CN" w:bidi="ar-SA"/>
          <w14:textFill>
            <w14:solidFill>
              <w14:schemeClr w14:val="tx1"/>
            </w14:solidFill>
          </w14:textFill>
        </w:rPr>
        <w:t>6．</w:t>
      </w:r>
      <w:r>
        <w:rPr>
          <w:rFonts w:hint="eastAsia" w:ascii="宋体" w:hAnsi="宋体" w:eastAsia="宋体" w:cs="宋体"/>
          <w:color w:val="000000" w:themeColor="text1"/>
          <w:sz w:val="28"/>
          <w:szCs w:val="22"/>
          <w14:textFill>
            <w14:solidFill>
              <w14:schemeClr w14:val="tx1"/>
            </w14:solidFill>
          </w14:textFill>
        </w:rPr>
        <w:t>每天定人定时对各生产区域进行安全检查（特别是危险场所），加强对工艺设备、输送管道的管理，及时维修、更换受损、老化的设备及管线；定期检查安全设施设备的有效性。</w:t>
      </w:r>
    </w:p>
    <w:p w14:paraId="004983EA">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lang w:eastAsia="zh-CN"/>
          <w14:textFill>
            <w14:solidFill>
              <w14:schemeClr w14:val="tx1"/>
            </w14:solidFill>
          </w14:textFill>
        </w:rPr>
      </w:pPr>
      <w:r>
        <w:rPr>
          <w:rFonts w:hint="eastAsia" w:ascii="宋体" w:hAnsi="宋体" w:eastAsia="宋体" w:cs="宋体"/>
          <w:color w:val="000000" w:themeColor="text1"/>
          <w:sz w:val="28"/>
          <w:szCs w:val="22"/>
          <w:lang w:val="en-US" w:eastAsia="zh-CN" w:bidi="ar-SA"/>
          <w14:textFill>
            <w14:solidFill>
              <w14:schemeClr w14:val="tx1"/>
            </w14:solidFill>
          </w14:textFill>
        </w:rPr>
        <w:t>7．</w:t>
      </w:r>
      <w:r>
        <w:rPr>
          <w:rFonts w:hint="eastAsia" w:ascii="宋体" w:hAnsi="宋体" w:eastAsia="宋体" w:cs="宋体"/>
          <w:color w:val="000000" w:themeColor="text1"/>
          <w:sz w:val="28"/>
          <w:szCs w:val="22"/>
          <w14:textFill>
            <w14:solidFill>
              <w14:schemeClr w14:val="tx1"/>
            </w14:solidFill>
          </w14:textFill>
        </w:rPr>
        <w:t>企业保证每年安全生产所需要的资金投入，使公司具备安全生产条件，安全设施投资应当纳入建设项目概算。安全资金主要用在以下方面</w:t>
      </w:r>
      <w:r>
        <w:rPr>
          <w:rFonts w:hint="eastAsia" w:ascii="宋体" w:hAnsi="宋体" w:eastAsia="宋体" w:cs="宋体"/>
          <w:color w:val="000000" w:themeColor="text1"/>
          <w:sz w:val="28"/>
          <w:szCs w:val="22"/>
          <w:lang w:eastAsia="zh-CN"/>
          <w14:textFill>
            <w14:solidFill>
              <w14:schemeClr w14:val="tx1"/>
            </w14:solidFill>
          </w14:textFill>
        </w:rPr>
        <w:t>：</w:t>
      </w:r>
    </w:p>
    <w:p w14:paraId="68A94918">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lang w:eastAsia="zh-CN"/>
          <w14:textFill>
            <w14:solidFill>
              <w14:schemeClr w14:val="tx1"/>
            </w14:solidFill>
          </w14:textFill>
        </w:rPr>
        <w:t>（</w:t>
      </w:r>
      <w:r>
        <w:rPr>
          <w:rFonts w:hint="eastAsia" w:ascii="宋体" w:hAnsi="宋体" w:eastAsia="宋体" w:cs="宋体"/>
          <w:color w:val="000000" w:themeColor="text1"/>
          <w:sz w:val="28"/>
          <w:szCs w:val="22"/>
          <w:lang w:val="en-US" w:eastAsia="zh-CN"/>
          <w14:textFill>
            <w14:solidFill>
              <w14:schemeClr w14:val="tx1"/>
            </w14:solidFill>
          </w14:textFill>
        </w:rPr>
        <w:t>1</w:t>
      </w:r>
      <w:r>
        <w:rPr>
          <w:rFonts w:hint="eastAsia" w:ascii="宋体" w:hAnsi="宋体" w:eastAsia="宋体" w:cs="宋体"/>
          <w:color w:val="000000" w:themeColor="text1"/>
          <w:sz w:val="28"/>
          <w:szCs w:val="22"/>
          <w:lang w:eastAsia="zh-CN"/>
          <w14:textFill>
            <w14:solidFill>
              <w14:schemeClr w14:val="tx1"/>
            </w14:solidFill>
          </w14:textFill>
        </w:rPr>
        <w:t>）</w:t>
      </w:r>
      <w:r>
        <w:rPr>
          <w:rFonts w:hint="eastAsia" w:ascii="宋体" w:hAnsi="宋体" w:eastAsia="宋体" w:cs="宋体"/>
          <w:color w:val="000000" w:themeColor="text1"/>
          <w:sz w:val="28"/>
          <w:szCs w:val="22"/>
          <w14:textFill>
            <w14:solidFill>
              <w14:schemeClr w14:val="tx1"/>
            </w14:solidFill>
          </w14:textFill>
        </w:rPr>
        <w:t>购置购建、更新改造、检测检验、检定校准、运行维护安全防护和紧急避险设施、设备支出[不含按照“建设项目安全设施必须与主体工程同时设计、同时施工、同时投入生产和使用”（以下简称“三同时”）规定投入的安全设施、设备]；</w:t>
      </w:r>
    </w:p>
    <w:p w14:paraId="4165FD41">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14:textFill>
            <w14:solidFill>
              <w14:schemeClr w14:val="tx1"/>
            </w14:solidFill>
          </w14:textFill>
        </w:rPr>
        <w:t>（</w:t>
      </w:r>
      <w:r>
        <w:rPr>
          <w:rFonts w:hint="eastAsia" w:ascii="宋体" w:hAnsi="宋体" w:eastAsia="宋体" w:cs="宋体"/>
          <w:color w:val="000000" w:themeColor="text1"/>
          <w:sz w:val="28"/>
          <w:szCs w:val="22"/>
          <w:lang w:val="en-US" w:eastAsia="zh-CN"/>
          <w14:textFill>
            <w14:solidFill>
              <w14:schemeClr w14:val="tx1"/>
            </w14:solidFill>
          </w14:textFill>
        </w:rPr>
        <w:t>2</w:t>
      </w:r>
      <w:r>
        <w:rPr>
          <w:rFonts w:hint="eastAsia" w:ascii="宋体" w:hAnsi="宋体" w:eastAsia="宋体" w:cs="宋体"/>
          <w:color w:val="000000" w:themeColor="text1"/>
          <w:sz w:val="28"/>
          <w:szCs w:val="22"/>
          <w14:textFill>
            <w14:solidFill>
              <w14:schemeClr w14:val="tx1"/>
            </w14:solidFill>
          </w14:textFill>
        </w:rPr>
        <w:t>）购置、开发、推广应用、更新升级、运行维护安全生产信息系统、软件、网络安全、技术支出；</w:t>
      </w:r>
    </w:p>
    <w:p w14:paraId="00B170CC">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14:textFill>
            <w14:solidFill>
              <w14:schemeClr w14:val="tx1"/>
            </w14:solidFill>
          </w14:textFill>
        </w:rPr>
        <w:t>（</w:t>
      </w:r>
      <w:r>
        <w:rPr>
          <w:rFonts w:hint="eastAsia" w:ascii="宋体" w:hAnsi="宋体" w:eastAsia="宋体" w:cs="宋体"/>
          <w:color w:val="000000" w:themeColor="text1"/>
          <w:sz w:val="28"/>
          <w:szCs w:val="22"/>
          <w:lang w:val="en-US" w:eastAsia="zh-CN"/>
          <w14:textFill>
            <w14:solidFill>
              <w14:schemeClr w14:val="tx1"/>
            </w14:solidFill>
          </w14:textFill>
        </w:rPr>
        <w:t>3</w:t>
      </w:r>
      <w:r>
        <w:rPr>
          <w:rFonts w:hint="eastAsia" w:ascii="宋体" w:hAnsi="宋体" w:eastAsia="宋体" w:cs="宋体"/>
          <w:color w:val="000000" w:themeColor="text1"/>
          <w:sz w:val="28"/>
          <w:szCs w:val="22"/>
          <w14:textFill>
            <w14:solidFill>
              <w14:schemeClr w14:val="tx1"/>
            </w14:solidFill>
          </w14:textFill>
        </w:rPr>
        <w:t>）配备、更新、维护、保养安全防护用品和应急救援器材、设备支出；</w:t>
      </w:r>
    </w:p>
    <w:p w14:paraId="3240EED8">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14:textFill>
            <w14:solidFill>
              <w14:schemeClr w14:val="tx1"/>
            </w14:solidFill>
          </w14:textFill>
        </w:rPr>
        <w:t>（</w:t>
      </w:r>
      <w:r>
        <w:rPr>
          <w:rFonts w:hint="eastAsia" w:ascii="宋体" w:hAnsi="宋体" w:eastAsia="宋体" w:cs="宋体"/>
          <w:color w:val="000000" w:themeColor="text1"/>
          <w:sz w:val="28"/>
          <w:szCs w:val="22"/>
          <w:lang w:val="en-US" w:eastAsia="zh-CN"/>
          <w14:textFill>
            <w14:solidFill>
              <w14:schemeClr w14:val="tx1"/>
            </w14:solidFill>
          </w14:textFill>
        </w:rPr>
        <w:t>4</w:t>
      </w:r>
      <w:r>
        <w:rPr>
          <w:rFonts w:hint="eastAsia" w:ascii="宋体" w:hAnsi="宋体" w:eastAsia="宋体" w:cs="宋体"/>
          <w:color w:val="000000" w:themeColor="text1"/>
          <w:sz w:val="28"/>
          <w:szCs w:val="22"/>
          <w14:textFill>
            <w14:solidFill>
              <w14:schemeClr w14:val="tx1"/>
            </w14:solidFill>
          </w14:textFill>
        </w:rPr>
        <w:t>）企业应急救援队伍建设（含建设应急救援队伍所需应急救援物资储备、人员培训等方面）、安全生产宣传教育培训、从业人员发现报告事故隐患的奖励支出；</w:t>
      </w:r>
    </w:p>
    <w:p w14:paraId="001798CF">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14:textFill>
            <w14:solidFill>
              <w14:schemeClr w14:val="tx1"/>
            </w14:solidFill>
          </w14:textFill>
        </w:rPr>
        <w:t>（</w:t>
      </w:r>
      <w:r>
        <w:rPr>
          <w:rFonts w:hint="eastAsia" w:ascii="宋体" w:hAnsi="宋体" w:eastAsia="宋体" w:cs="宋体"/>
          <w:color w:val="000000" w:themeColor="text1"/>
          <w:sz w:val="28"/>
          <w:szCs w:val="22"/>
          <w:lang w:val="en-US" w:eastAsia="zh-CN"/>
          <w14:textFill>
            <w14:solidFill>
              <w14:schemeClr w14:val="tx1"/>
            </w14:solidFill>
          </w14:textFill>
        </w:rPr>
        <w:t>5</w:t>
      </w:r>
      <w:r>
        <w:rPr>
          <w:rFonts w:hint="eastAsia" w:ascii="宋体" w:hAnsi="宋体" w:eastAsia="宋体" w:cs="宋体"/>
          <w:color w:val="000000" w:themeColor="text1"/>
          <w:sz w:val="28"/>
          <w:szCs w:val="22"/>
          <w14:textFill>
            <w14:solidFill>
              <w14:schemeClr w14:val="tx1"/>
            </w14:solidFill>
          </w14:textFill>
        </w:rPr>
        <w:t>）安全生产责任保险、承运人责任险等与安全生产直接相关的法定保险支出；</w:t>
      </w:r>
    </w:p>
    <w:p w14:paraId="244DEEFE">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14:textFill>
            <w14:solidFill>
              <w14:schemeClr w14:val="tx1"/>
            </w14:solidFill>
          </w14:textFill>
        </w:rPr>
        <w:t>（</w:t>
      </w:r>
      <w:r>
        <w:rPr>
          <w:rFonts w:hint="eastAsia" w:ascii="宋体" w:hAnsi="宋体" w:eastAsia="宋体" w:cs="宋体"/>
          <w:color w:val="000000" w:themeColor="text1"/>
          <w:sz w:val="28"/>
          <w:szCs w:val="22"/>
          <w:lang w:val="en-US" w:eastAsia="zh-CN"/>
          <w14:textFill>
            <w14:solidFill>
              <w14:schemeClr w14:val="tx1"/>
            </w14:solidFill>
          </w14:textFill>
        </w:rPr>
        <w:t>6</w:t>
      </w:r>
      <w:r>
        <w:rPr>
          <w:rFonts w:hint="eastAsia" w:ascii="宋体" w:hAnsi="宋体" w:eastAsia="宋体" w:cs="宋体"/>
          <w:color w:val="000000" w:themeColor="text1"/>
          <w:sz w:val="28"/>
          <w:szCs w:val="22"/>
          <w14:textFill>
            <w14:solidFill>
              <w14:schemeClr w14:val="tx1"/>
            </w14:solidFill>
          </w14:textFill>
        </w:rPr>
        <w:t>）安全生产检查检测、评估评价（不含新建、改建、扩建项目安全评价）、评审、咨询、标准化建设、应急预案制修订、应急演练支出；</w:t>
      </w:r>
    </w:p>
    <w:p w14:paraId="21871981">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snapToGrid w:val="0"/>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2"/>
          <w14:textFill>
            <w14:solidFill>
              <w14:schemeClr w14:val="tx1"/>
            </w14:solidFill>
          </w14:textFill>
        </w:rPr>
        <w:t>（</w:t>
      </w:r>
      <w:r>
        <w:rPr>
          <w:rFonts w:hint="eastAsia" w:ascii="宋体" w:hAnsi="宋体" w:eastAsia="宋体" w:cs="宋体"/>
          <w:color w:val="000000" w:themeColor="text1"/>
          <w:sz w:val="28"/>
          <w:szCs w:val="22"/>
          <w:lang w:val="en-US" w:eastAsia="zh-CN"/>
          <w14:textFill>
            <w14:solidFill>
              <w14:schemeClr w14:val="tx1"/>
            </w14:solidFill>
          </w14:textFill>
        </w:rPr>
        <w:t>7</w:t>
      </w:r>
      <w:r>
        <w:rPr>
          <w:rFonts w:hint="eastAsia" w:ascii="宋体" w:hAnsi="宋体" w:eastAsia="宋体" w:cs="宋体"/>
          <w:color w:val="000000" w:themeColor="text1"/>
          <w:sz w:val="28"/>
          <w:szCs w:val="22"/>
          <w14:textFill>
            <w14:solidFill>
              <w14:schemeClr w14:val="tx1"/>
            </w14:solidFill>
          </w14:textFill>
        </w:rPr>
        <w:t>）与安全生产直接相关的其他支出。</w:t>
      </w:r>
    </w:p>
    <w:p w14:paraId="7815CF0B">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lang w:val="en-US" w:eastAsia="zh-CN" w:bidi="ar-SA"/>
          <w14:textFill>
            <w14:solidFill>
              <w14:schemeClr w14:val="tx1"/>
            </w14:solidFill>
          </w14:textFill>
        </w:rPr>
        <w:t>8．</w:t>
      </w:r>
      <w:r>
        <w:rPr>
          <w:rFonts w:hint="eastAsia" w:ascii="宋体" w:hAnsi="宋体" w:eastAsia="宋体" w:cs="宋体"/>
          <w:color w:val="000000" w:themeColor="text1"/>
          <w:sz w:val="28"/>
          <w:szCs w:val="22"/>
          <w14:textFill>
            <w14:solidFill>
              <w14:schemeClr w14:val="tx1"/>
            </w14:solidFill>
          </w14:textFill>
        </w:rPr>
        <w:t>定期为作业人员配发合格的劳动防护用品（</w:t>
      </w:r>
      <w:r>
        <w:rPr>
          <w:rFonts w:hint="eastAsia" w:ascii="宋体" w:hAnsi="宋体" w:eastAsia="宋体" w:cs="宋体"/>
          <w:color w:val="000000" w:themeColor="text1"/>
          <w:sz w:val="28"/>
          <w:szCs w:val="22"/>
          <w:lang w:val="en-US" w:eastAsia="zh-CN"/>
          <w14:textFill>
            <w14:solidFill>
              <w14:schemeClr w14:val="tx1"/>
            </w14:solidFill>
          </w14:textFill>
        </w:rPr>
        <w:t>手套</w:t>
      </w:r>
      <w:r>
        <w:rPr>
          <w:rFonts w:hint="eastAsia" w:ascii="宋体" w:hAnsi="宋体" w:eastAsia="宋体" w:cs="宋体"/>
          <w:color w:val="000000" w:themeColor="text1"/>
          <w:sz w:val="28"/>
          <w:szCs w:val="22"/>
          <w14:textFill>
            <w14:solidFill>
              <w14:schemeClr w14:val="tx1"/>
            </w14:solidFill>
          </w14:textFill>
        </w:rPr>
        <w:t>、防尘口罩等），并严格监督作业人员的</w:t>
      </w:r>
      <w:r>
        <w:rPr>
          <w:rFonts w:hint="eastAsia" w:ascii="宋体" w:hAnsi="宋体" w:eastAsia="宋体" w:cs="宋体"/>
          <w:color w:val="000000" w:themeColor="text1"/>
          <w:sz w:val="28"/>
          <w:szCs w:val="22"/>
          <w:lang w:val="en-US" w:eastAsia="zh-CN"/>
          <w14:textFill>
            <w14:solidFill>
              <w14:schemeClr w14:val="tx1"/>
            </w14:solidFill>
          </w14:textFill>
        </w:rPr>
        <w:t>正确佩戴</w:t>
      </w:r>
      <w:r>
        <w:rPr>
          <w:rFonts w:hint="eastAsia" w:ascii="宋体" w:hAnsi="宋体" w:eastAsia="宋体" w:cs="宋体"/>
          <w:color w:val="000000" w:themeColor="text1"/>
          <w:sz w:val="28"/>
          <w:szCs w:val="22"/>
          <w14:textFill>
            <w14:solidFill>
              <w14:schemeClr w14:val="tx1"/>
            </w14:solidFill>
          </w14:textFill>
        </w:rPr>
        <w:t>，及时更换失效的劳动防护用品；由于其生产过程中会产生粉尘，因此应保证作业人员的防尘装备有效，并定期对作业人员进行体检。</w:t>
      </w:r>
    </w:p>
    <w:p w14:paraId="7F446D21">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lang w:val="en-US" w:eastAsia="zh-CN" w:bidi="ar-SA"/>
          <w14:textFill>
            <w14:solidFill>
              <w14:schemeClr w14:val="tx1"/>
            </w14:solidFill>
          </w14:textFill>
        </w:rPr>
        <w:t>9．</w:t>
      </w:r>
      <w:r>
        <w:rPr>
          <w:rFonts w:hint="eastAsia" w:ascii="宋体" w:hAnsi="宋体" w:eastAsia="宋体" w:cs="宋体"/>
          <w:color w:val="000000" w:themeColor="text1"/>
          <w:sz w:val="28"/>
          <w:szCs w:val="22"/>
          <w14:textFill>
            <w14:solidFill>
              <w14:schemeClr w14:val="tx1"/>
            </w14:solidFill>
          </w14:textFill>
        </w:rPr>
        <w:t>在各作业岗位将相关的安全岗位职责、安全管理制度及安全操作规程上墙；加强现场安全管理，配置现场安全监督检查人员。</w:t>
      </w:r>
    </w:p>
    <w:p w14:paraId="13FF2775">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lang w:val="en-US" w:eastAsia="zh-CN" w:bidi="ar-SA"/>
          <w14:textFill>
            <w14:solidFill>
              <w14:schemeClr w14:val="tx1"/>
            </w14:solidFill>
          </w14:textFill>
        </w:rPr>
        <w:t>10．</w:t>
      </w:r>
      <w:r>
        <w:rPr>
          <w:rFonts w:hint="eastAsia" w:ascii="宋体" w:hAnsi="宋体" w:eastAsia="宋体" w:cs="宋体"/>
          <w:color w:val="000000" w:themeColor="text1"/>
          <w:sz w:val="28"/>
          <w:szCs w:val="22"/>
          <w14:textFill>
            <w14:solidFill>
              <w14:schemeClr w14:val="tx1"/>
            </w14:solidFill>
          </w14:textFill>
        </w:rPr>
        <w:t>根据厂区各危险场所的职业危害因素情况，定期对各危险场所的职业危害因素进行检测并配备相应的防护设施。</w:t>
      </w:r>
    </w:p>
    <w:p w14:paraId="6766434C">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lang w:val="en-US" w:eastAsia="zh-CN" w:bidi="ar-SA"/>
          <w14:textFill>
            <w14:solidFill>
              <w14:schemeClr w14:val="tx1"/>
            </w14:solidFill>
          </w14:textFill>
        </w:rPr>
        <w:t>11．</w:t>
      </w:r>
      <w:r>
        <w:rPr>
          <w:rFonts w:hint="eastAsia" w:ascii="宋体" w:hAnsi="宋体" w:eastAsia="宋体" w:cs="宋体"/>
          <w:color w:val="000000" w:themeColor="text1"/>
          <w:sz w:val="28"/>
          <w:szCs w:val="22"/>
          <w14:textFill>
            <w14:solidFill>
              <w14:schemeClr w14:val="tx1"/>
            </w14:solidFill>
          </w14:textFill>
        </w:rPr>
        <w:t>各电气室应备有按规定经定期检查试验合格的电工器具和电工防护用品。</w:t>
      </w:r>
    </w:p>
    <w:p w14:paraId="2985E082">
      <w:pPr>
        <w:keepNext w:val="0"/>
        <w:keepLines w:val="0"/>
        <w:pageBreakBefore w:val="0"/>
        <w:widowControl w:val="0"/>
        <w:numPr>
          <w:ilvl w:val="0"/>
          <w:numId w:val="0"/>
        </w:numPr>
        <w:tabs>
          <w:tab w:val="left" w:pos="630"/>
          <w:tab w:val="left" w:pos="993"/>
        </w:tabs>
        <w:kinsoku/>
        <w:wordWrap/>
        <w:overflowPunct/>
        <w:topLinePunct w:val="0"/>
        <w:autoSpaceDE/>
        <w:autoSpaceDN/>
        <w:bidi w:val="0"/>
        <w:spacing w:line="520" w:lineRule="exact"/>
        <w:ind w:left="0" w:leftChars="0" w:firstLine="560" w:firstLineChars="200"/>
        <w:textAlignment w:val="auto"/>
        <w:rPr>
          <w:rFonts w:hint="eastAsia" w:ascii="宋体" w:hAnsi="宋体" w:eastAsia="宋体" w:cs="宋体"/>
          <w:color w:val="000000" w:themeColor="text1"/>
          <w:sz w:val="28"/>
          <w:szCs w:val="22"/>
          <w14:textFill>
            <w14:solidFill>
              <w14:schemeClr w14:val="tx1"/>
            </w14:solidFill>
          </w14:textFill>
        </w:rPr>
      </w:pPr>
      <w:r>
        <w:rPr>
          <w:rFonts w:hint="eastAsia" w:ascii="宋体" w:hAnsi="宋体" w:eastAsia="宋体" w:cs="宋体"/>
          <w:color w:val="000000" w:themeColor="text1"/>
          <w:sz w:val="28"/>
          <w:szCs w:val="22"/>
          <w:lang w:val="en-US" w:eastAsia="zh-CN" w:bidi="ar-SA"/>
          <w14:textFill>
            <w14:solidFill>
              <w14:schemeClr w14:val="tx1"/>
            </w14:solidFill>
          </w14:textFill>
        </w:rPr>
        <w:t>12．</w:t>
      </w:r>
      <w:r>
        <w:rPr>
          <w:rFonts w:hint="eastAsia" w:ascii="宋体" w:hAnsi="宋体" w:eastAsia="宋体" w:cs="宋体"/>
          <w:color w:val="000000" w:themeColor="text1"/>
          <w:sz w:val="28"/>
          <w:szCs w:val="22"/>
          <w14:textFill>
            <w14:solidFill>
              <w14:schemeClr w14:val="tx1"/>
            </w14:solidFill>
          </w14:textFill>
        </w:rPr>
        <w:t>企业应当制定本单位的应急预案演练计划，根据本单位的事故风险特点，每年至少组织一次综合应急预案演练或者专项应急预案演练，每半年至少组织一次现场处置方案演练。</w:t>
      </w:r>
    </w:p>
    <w:p w14:paraId="1BE1B1CC">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2"/>
          <w:lang w:val="en-US" w:eastAsia="zh-CN" w:bidi="ar-SA"/>
          <w14:textFill>
            <w14:solidFill>
              <w14:schemeClr w14:val="tx1"/>
            </w14:solidFill>
          </w14:textFill>
        </w:rPr>
      </w:pPr>
      <w:bookmarkStart w:id="859" w:name="_Toc30001470"/>
      <w:bookmarkStart w:id="860" w:name="_Toc10099"/>
      <w:bookmarkStart w:id="861" w:name="_Toc17208"/>
      <w:bookmarkStart w:id="862" w:name="_Toc61474493"/>
      <w:bookmarkStart w:id="863" w:name="_Toc19790"/>
      <w:bookmarkStart w:id="864" w:name="_Toc322356093"/>
      <w:bookmarkStart w:id="865" w:name="_Toc32066"/>
      <w:r>
        <w:rPr>
          <w:rFonts w:hint="eastAsia" w:ascii="宋体" w:hAnsi="宋体" w:eastAsia="宋体" w:cs="宋体"/>
          <w:color w:val="000000" w:themeColor="text1"/>
          <w:sz w:val="28"/>
          <w:szCs w:val="22"/>
          <w:lang w:val="en-US" w:eastAsia="zh-CN" w:bidi="ar-SA"/>
          <w14:textFill>
            <w14:solidFill>
              <w14:schemeClr w14:val="tx1"/>
            </w14:solidFill>
          </w14:textFill>
        </w:rPr>
        <w:t>1</w:t>
      </w:r>
      <w:r>
        <w:rPr>
          <w:rFonts w:hint="eastAsia" w:ascii="宋体" w:hAnsi="宋体" w:eastAsia="宋体" w:cs="宋体"/>
          <w:color w:val="000000" w:themeColor="text1"/>
          <w:sz w:val="28"/>
          <w:szCs w:val="22"/>
          <w:lang w:val="en-US" w:eastAsia="zh-CN" w:bidi="ar-SA"/>
          <w14:textFill>
            <w14:solidFill>
              <w14:schemeClr w14:val="tx1"/>
            </w14:solidFill>
          </w14:textFill>
        </w:rPr>
        <w:t>3</w:t>
      </w:r>
      <w:r>
        <w:rPr>
          <w:rFonts w:hint="eastAsia" w:ascii="宋体" w:hAnsi="宋体" w:eastAsia="宋体" w:cs="宋体"/>
          <w:color w:val="000000" w:themeColor="text1"/>
          <w:sz w:val="28"/>
          <w:szCs w:val="22"/>
          <w:lang w:val="en-US" w:eastAsia="zh-CN" w:bidi="ar-SA"/>
          <w14:textFill>
            <w14:solidFill>
              <w14:schemeClr w14:val="tx1"/>
            </w14:solidFill>
          </w14:textFill>
        </w:rPr>
        <w:t>.安全生产标准化</w:t>
      </w:r>
      <w:bookmarkEnd w:id="859"/>
      <w:bookmarkEnd w:id="860"/>
      <w:bookmarkEnd w:id="861"/>
      <w:bookmarkEnd w:id="862"/>
      <w:bookmarkEnd w:id="863"/>
      <w:bookmarkEnd w:id="864"/>
      <w:bookmarkEnd w:id="865"/>
    </w:p>
    <w:p w14:paraId="524900F7">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企业应贯彻和落实《国务院关于进一步加强企业安全生产工作的通知》（国发〔2010〕23号）和《企业安全生产标准化建设定级办法》（应急(2021)83号）全面推进本企业安全生产标准化建设，进一步规范企业安全生产行为，改善安全生产条件，强化安全基础管理，有效防范和坚决遏制重特大事故发生。企业安全生产标准化工作应采用“策划、实施、检查、改进”动态循环的模式，依据本标准的要求，结合自身特点，</w:t>
      </w:r>
      <w:r>
        <w:rPr>
          <w:rFonts w:hint="eastAsia" w:ascii="宋体" w:hAnsi="宋体" w:eastAsia="宋体" w:cs="宋体"/>
          <w:color w:val="000000" w:themeColor="text1"/>
          <w:sz w:val="28"/>
          <w:szCs w:val="28"/>
          <w:highlight w:val="none"/>
          <w:lang w:val="zh-CN"/>
          <w14:textFill>
            <w14:solidFill>
              <w14:schemeClr w14:val="tx1"/>
            </w14:solidFill>
          </w14:textFill>
        </w:rPr>
        <w:t>建立并</w:t>
      </w:r>
      <w:r>
        <w:rPr>
          <w:rFonts w:hint="eastAsia" w:ascii="宋体" w:hAnsi="宋体" w:eastAsia="宋体" w:cs="宋体"/>
          <w:color w:val="000000" w:themeColor="text1"/>
          <w:sz w:val="28"/>
          <w:szCs w:val="28"/>
          <w:highlight w:val="none"/>
          <w:lang w:val="en-US" w:eastAsia="zh-CN"/>
          <w14:textFill>
            <w14:solidFill>
              <w14:schemeClr w14:val="tx1"/>
            </w14:solidFill>
          </w14:textFill>
        </w:rPr>
        <w:t>准备开展</w:t>
      </w:r>
      <w:r>
        <w:rPr>
          <w:rFonts w:hint="eastAsia" w:ascii="宋体" w:hAnsi="宋体" w:eastAsia="宋体" w:cs="宋体"/>
          <w:color w:val="000000" w:themeColor="text1"/>
          <w:sz w:val="28"/>
          <w:szCs w:val="28"/>
          <w:highlight w:val="none"/>
          <w:lang w:val="zh-CN"/>
          <w14:textFill>
            <w14:solidFill>
              <w14:schemeClr w14:val="tx1"/>
            </w14:solidFill>
          </w14:textFill>
        </w:rPr>
        <w:t>安全生产标准化系统</w:t>
      </w:r>
      <w:r>
        <w:rPr>
          <w:rFonts w:hint="eastAsia" w:ascii="宋体" w:hAnsi="宋体" w:eastAsia="宋体" w:cs="宋体"/>
          <w:color w:val="000000" w:themeColor="text1"/>
          <w:sz w:val="28"/>
          <w:szCs w:val="28"/>
          <w:lang w:val="zh-CN"/>
          <w14:textFill>
            <w14:solidFill>
              <w14:schemeClr w14:val="tx1"/>
            </w14:solidFill>
          </w14:textFill>
        </w:rPr>
        <w:t>；通过自我检查、自我纠正和自我完善，建立安全绩效持续改进的安全生产长效机制。</w:t>
      </w:r>
    </w:p>
    <w:p w14:paraId="59F063AB">
      <w:pPr>
        <w:keepNext w:val="0"/>
        <w:keepLines w:val="0"/>
        <w:pageBreakBefore w:val="0"/>
        <w:widowControl w:val="0"/>
        <w:numPr>
          <w:ilvl w:val="0"/>
          <w:numId w:val="0"/>
        </w:numPr>
        <w:tabs>
          <w:tab w:val="left" w:pos="630"/>
          <w:tab w:val="left" w:pos="993"/>
        </w:tabs>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2"/>
          <w:lang w:val="zh-CN" w:eastAsia="zh-CN" w:bidi="ar-SA"/>
          <w14:textFill>
            <w14:solidFill>
              <w14:schemeClr w14:val="tx1"/>
            </w14:solidFill>
          </w14:textFill>
        </w:rPr>
      </w:pPr>
      <w:bookmarkStart w:id="866" w:name="_Toc3105"/>
      <w:bookmarkStart w:id="867" w:name="_Toc16565"/>
      <w:bookmarkStart w:id="868" w:name="_Toc31886"/>
      <w:bookmarkStart w:id="869" w:name="_Toc363"/>
      <w:r>
        <w:rPr>
          <w:rFonts w:hint="eastAsia" w:ascii="宋体" w:hAnsi="宋体" w:eastAsia="宋体" w:cs="宋体"/>
          <w:color w:val="000000" w:themeColor="text1"/>
          <w:sz w:val="28"/>
          <w:szCs w:val="22"/>
          <w:lang w:val="en-US" w:eastAsia="zh-CN" w:bidi="ar-SA"/>
          <w14:textFill>
            <w14:solidFill>
              <w14:schemeClr w14:val="tx1"/>
            </w14:solidFill>
          </w14:textFill>
        </w:rPr>
        <w:t>1</w:t>
      </w:r>
      <w:r>
        <w:rPr>
          <w:rFonts w:hint="eastAsia" w:ascii="宋体" w:hAnsi="宋体" w:eastAsia="宋体" w:cs="宋体"/>
          <w:color w:val="000000" w:themeColor="text1"/>
          <w:sz w:val="28"/>
          <w:szCs w:val="22"/>
          <w:lang w:val="en-US" w:eastAsia="zh-CN" w:bidi="ar-SA"/>
          <w14:textFill>
            <w14:solidFill>
              <w14:schemeClr w14:val="tx1"/>
            </w14:solidFill>
          </w14:textFill>
        </w:rPr>
        <w:t>4</w:t>
      </w:r>
      <w:r>
        <w:rPr>
          <w:rFonts w:hint="eastAsia" w:ascii="宋体" w:hAnsi="宋体" w:eastAsia="宋体" w:cs="宋体"/>
          <w:color w:val="000000" w:themeColor="text1"/>
          <w:sz w:val="28"/>
          <w:szCs w:val="22"/>
          <w:lang w:val="en-US" w:eastAsia="zh-CN" w:bidi="ar-SA"/>
          <w14:textFill>
            <w14:solidFill>
              <w14:schemeClr w14:val="tx1"/>
            </w14:solidFill>
          </w14:textFill>
        </w:rPr>
        <w:t>.</w:t>
      </w:r>
      <w:r>
        <w:rPr>
          <w:rFonts w:hint="eastAsia" w:ascii="宋体" w:hAnsi="宋体" w:eastAsia="宋体" w:cs="宋体"/>
          <w:color w:val="000000" w:themeColor="text1"/>
          <w:sz w:val="28"/>
          <w:szCs w:val="22"/>
          <w:lang w:val="zh-CN" w:eastAsia="zh-CN" w:bidi="ar-SA"/>
          <w14:textFill>
            <w14:solidFill>
              <w14:schemeClr w14:val="tx1"/>
            </w14:solidFill>
          </w14:textFill>
        </w:rPr>
        <w:t>双重预防机制建立</w:t>
      </w:r>
      <w:bookmarkEnd w:id="866"/>
      <w:bookmarkEnd w:id="867"/>
      <w:bookmarkEnd w:id="868"/>
      <w:bookmarkEnd w:id="869"/>
    </w:p>
    <w:p w14:paraId="151A0107">
      <w:pPr>
        <w:adjustRightInd w:val="0"/>
        <w:snapToGrid w:val="0"/>
        <w:spacing w:line="500" w:lineRule="exact"/>
        <w:ind w:firstLine="635" w:firstLineChars="227"/>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b w:val="0"/>
          <w:bCs w:val="0"/>
          <w:snapToGrid/>
          <w:color w:val="000000" w:themeColor="text1"/>
          <w:sz w:val="28"/>
          <w:szCs w:val="28"/>
          <w:lang w:val="zh-CN" w:eastAsia="zh-CN" w:bidi="ar-SA"/>
          <w14:textFill>
            <w14:solidFill>
              <w14:schemeClr w14:val="tx1"/>
            </w14:solidFill>
          </w14:textFill>
        </w:rPr>
        <w:t>企业应根据《中华人民共和国安全生产法》、《企业安全生产双重预防机制建设规范》（T/CSPSTC17-2018）、《云南省安全生产条例》等规范要求构建安全风险分级管控和隐患排查治理双重预防机制。</w:t>
      </w:r>
    </w:p>
    <w:p w14:paraId="1E015CBF">
      <w:pPr>
        <w:tabs>
          <w:tab w:val="left" w:pos="630"/>
          <w:tab w:val="left" w:pos="993"/>
        </w:tabs>
        <w:spacing w:line="500" w:lineRule="exact"/>
        <w:rPr>
          <w:rFonts w:hint="eastAsia" w:ascii="宋体" w:hAnsi="宋体" w:eastAsia="宋体" w:cs="宋体"/>
          <w:color w:val="000000" w:themeColor="text1"/>
          <w:sz w:val="28"/>
          <w:szCs w:val="22"/>
          <w14:textFill>
            <w14:solidFill>
              <w14:schemeClr w14:val="tx1"/>
            </w14:solidFill>
          </w14:textFill>
        </w:rPr>
        <w:sectPr>
          <w:pgSz w:w="11906" w:h="16838"/>
          <w:pgMar w:top="1587" w:right="1701" w:bottom="1701" w:left="1701" w:header="851" w:footer="992" w:gutter="0"/>
          <w:pgBorders>
            <w:top w:val="none" w:sz="0" w:space="0"/>
            <w:left w:val="none" w:sz="0" w:space="0"/>
            <w:bottom w:val="none" w:sz="0" w:space="0"/>
            <w:right w:val="none" w:sz="0" w:space="0"/>
          </w:pgBorders>
          <w:pgNumType w:fmt="decimal"/>
          <w:cols w:space="720" w:num="1"/>
          <w:docGrid w:type="lines" w:linePitch="330" w:charSpace="0"/>
        </w:sectPr>
      </w:pPr>
    </w:p>
    <w:bookmarkEnd w:id="844"/>
    <w:p w14:paraId="34DEF5C2">
      <w:pPr>
        <w:pStyle w:val="3"/>
        <w:keepNext/>
        <w:keepLines/>
        <w:pageBreakBefore w:val="0"/>
        <w:widowControl w:val="0"/>
        <w:kinsoku/>
        <w:wordWrap/>
        <w:overflowPunct/>
        <w:topLinePunct w:val="0"/>
        <w:autoSpaceDE/>
        <w:autoSpaceDN/>
        <w:bidi w:val="0"/>
        <w:adjustRightInd/>
        <w:snapToGrid w:val="0"/>
        <w:spacing w:before="100" w:beforeAutospacing="1" w:after="100" w:afterAutospacing="1"/>
        <w:textAlignment w:val="auto"/>
        <w:rPr>
          <w:rFonts w:hint="eastAsia" w:ascii="宋体" w:hAnsi="宋体" w:eastAsia="宋体" w:cs="宋体"/>
          <w:color w:val="000000" w:themeColor="text1"/>
          <w14:textFill>
            <w14:solidFill>
              <w14:schemeClr w14:val="tx1"/>
            </w14:solidFill>
          </w14:textFill>
        </w:rPr>
      </w:pPr>
      <w:bookmarkStart w:id="870" w:name="_Toc313453636"/>
      <w:bookmarkStart w:id="871" w:name="_Toc10960"/>
      <w:bookmarkStart w:id="872" w:name="_Toc335926320"/>
      <w:bookmarkStart w:id="873" w:name="_Toc19231"/>
      <w:bookmarkStart w:id="874" w:name="_Toc12583"/>
      <w:bookmarkStart w:id="875" w:name="_Toc3353"/>
      <w:bookmarkStart w:id="876" w:name="_Toc20621"/>
      <w:r>
        <w:rPr>
          <w:rFonts w:hint="eastAsia" w:ascii="宋体" w:hAnsi="宋体" w:eastAsia="宋体" w:cs="宋体"/>
          <w:color w:val="000000" w:themeColor="text1"/>
          <w14:textFill>
            <w14:solidFill>
              <w14:schemeClr w14:val="tx1"/>
            </w14:solidFill>
          </w14:textFill>
        </w:rPr>
        <w:t>第7章  安全现状评价结论</w:t>
      </w:r>
      <w:bookmarkEnd w:id="870"/>
      <w:bookmarkEnd w:id="871"/>
      <w:bookmarkEnd w:id="872"/>
      <w:bookmarkEnd w:id="873"/>
      <w:bookmarkEnd w:id="874"/>
      <w:bookmarkEnd w:id="875"/>
      <w:bookmarkEnd w:id="876"/>
    </w:p>
    <w:p w14:paraId="49A4672A">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877" w:name="_Toc115119270"/>
      <w:bookmarkStart w:id="878" w:name="_Toc115119082"/>
      <w:bookmarkStart w:id="879" w:name="_Toc2283"/>
      <w:bookmarkStart w:id="880" w:name="_Toc23553"/>
      <w:bookmarkStart w:id="881" w:name="_Toc23397"/>
      <w:bookmarkStart w:id="882" w:name="_Toc2434"/>
      <w:bookmarkStart w:id="883" w:name="_Toc115119086"/>
      <w:bookmarkStart w:id="884" w:name="_Toc115120696"/>
      <w:bookmarkStart w:id="885" w:name="_Toc115120302"/>
      <w:bookmarkStart w:id="886" w:name="_Toc115119274"/>
      <w:r>
        <w:rPr>
          <w:rFonts w:hint="eastAsia" w:ascii="宋体" w:hAnsi="宋体" w:eastAsia="宋体" w:cs="宋体"/>
          <w:color w:val="000000" w:themeColor="text1"/>
          <w14:textFill>
            <w14:solidFill>
              <w14:schemeClr w14:val="tx1"/>
            </w14:solidFill>
          </w14:textFill>
        </w:rPr>
        <w:t>7.1</w:t>
      </w:r>
      <w:bookmarkEnd w:id="877"/>
      <w:bookmarkEnd w:id="878"/>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主要危险、有害因素评价结果</w:t>
      </w:r>
      <w:bookmarkEnd w:id="879"/>
      <w:bookmarkEnd w:id="880"/>
      <w:bookmarkEnd w:id="881"/>
      <w:bookmarkEnd w:id="882"/>
    </w:p>
    <w:p w14:paraId="20BAC6FA">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887" w:name="_Toc31829"/>
      <w:bookmarkStart w:id="888" w:name="_Toc14247"/>
      <w:bookmarkStart w:id="889" w:name="_Toc13815"/>
      <w:r>
        <w:rPr>
          <w:rFonts w:hint="eastAsia" w:ascii="宋体" w:hAnsi="宋体" w:eastAsia="宋体" w:cs="宋体"/>
          <w:color w:val="000000" w:themeColor="text1"/>
          <w:lang w:val="en-US" w:eastAsia="zh-CN"/>
          <w14:textFill>
            <w14:solidFill>
              <w14:schemeClr w14:val="tx1"/>
            </w14:solidFill>
          </w14:textFill>
        </w:rPr>
        <w:t>7.1.1</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lang w:val="en-US" w:eastAsia="zh-CN"/>
          <w14:textFill>
            <w14:solidFill>
              <w14:schemeClr w14:val="tx1"/>
            </w14:solidFill>
          </w14:textFill>
        </w:rPr>
        <w:t>主要危险、有害因素</w:t>
      </w:r>
      <w:bookmarkEnd w:id="887"/>
      <w:bookmarkEnd w:id="888"/>
      <w:bookmarkEnd w:id="889"/>
    </w:p>
    <w:p w14:paraId="1B9FC0C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本项目存在的主要危险、有害因素有：火灾、高处坠落、机械伤害、触电、车辆伤害、物体打击、</w:t>
      </w:r>
      <w:r>
        <w:rPr>
          <w:rFonts w:hint="eastAsia" w:ascii="宋体" w:hAnsi="宋体" w:eastAsia="宋体" w:cs="宋体"/>
          <w:color w:val="000000" w:themeColor="text1"/>
          <w:sz w:val="28"/>
          <w:szCs w:val="28"/>
          <w14:textFill>
            <w14:solidFill>
              <w14:schemeClr w14:val="tx1"/>
            </w14:solidFill>
          </w14:textFill>
        </w:rPr>
        <w:t>容器爆炸</w:t>
      </w:r>
      <w:r>
        <w:rPr>
          <w:rFonts w:hint="eastAsia" w:ascii="宋体" w:hAnsi="宋体" w:eastAsia="宋体" w:cs="宋体"/>
          <w:color w:val="000000" w:themeColor="text1"/>
          <w:sz w:val="28"/>
          <w:szCs w:val="28"/>
          <w14:textFill>
            <w14:solidFill>
              <w14:schemeClr w14:val="tx1"/>
            </w14:solidFill>
          </w14:textFill>
        </w:rPr>
        <w:t>、坍塌</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起重伤害</w:t>
      </w:r>
      <w:r>
        <w:rPr>
          <w:rFonts w:hint="eastAsia" w:ascii="宋体" w:hAnsi="宋体" w:eastAsia="宋体" w:cs="宋体"/>
          <w:color w:val="000000" w:themeColor="text1"/>
          <w:sz w:val="28"/>
          <w:szCs w:val="28"/>
          <w14:textFill>
            <w14:solidFill>
              <w14:schemeClr w14:val="tx1"/>
            </w14:solidFill>
          </w14:textFill>
        </w:rPr>
        <w:t>及其它危害等。</w:t>
      </w:r>
    </w:p>
    <w:p w14:paraId="4DE8AACC">
      <w:pPr>
        <w:pStyle w:val="5"/>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lang w:val="en-US" w:eastAsia="zh-CN"/>
          <w14:textFill>
            <w14:solidFill>
              <w14:schemeClr w14:val="tx1"/>
            </w14:solidFill>
          </w14:textFill>
        </w:rPr>
      </w:pPr>
      <w:bookmarkStart w:id="890" w:name="_Toc7839"/>
      <w:bookmarkStart w:id="891" w:name="_Toc4759"/>
      <w:bookmarkStart w:id="892" w:name="_Toc16655"/>
      <w:r>
        <w:rPr>
          <w:rFonts w:hint="eastAsia" w:ascii="宋体" w:hAnsi="宋体" w:eastAsia="宋体" w:cs="宋体"/>
          <w:color w:val="000000" w:themeColor="text1"/>
          <w:lang w:val="en-US" w:eastAsia="zh-CN"/>
          <w14:textFill>
            <w14:solidFill>
              <w14:schemeClr w14:val="tx1"/>
            </w14:solidFill>
          </w14:textFill>
        </w:rPr>
        <w:t>7.1.2</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lang w:val="en-US" w:eastAsia="zh-CN"/>
          <w14:textFill>
            <w14:solidFill>
              <w14:schemeClr w14:val="tx1"/>
            </w14:solidFill>
          </w14:textFill>
        </w:rPr>
        <w:t>本项目存在的主要危险、有害因素及存在部位</w:t>
      </w:r>
      <w:bookmarkEnd w:id="890"/>
      <w:bookmarkEnd w:id="891"/>
      <w:bookmarkEnd w:id="892"/>
    </w:p>
    <w:p w14:paraId="268CACC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表7-1  项目危险、有害因素汇总表</w:t>
      </w:r>
    </w:p>
    <w:tbl>
      <w:tblPr>
        <w:tblStyle w:val="52"/>
        <w:tblW w:w="886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8"/>
        <w:gridCol w:w="514"/>
        <w:gridCol w:w="2915"/>
        <w:gridCol w:w="2740"/>
        <w:gridCol w:w="2006"/>
      </w:tblGrid>
      <w:tr w14:paraId="418591B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tblHeader/>
          <w:jc w:val="center"/>
        </w:trPr>
        <w:tc>
          <w:tcPr>
            <w:tcW w:w="688" w:type="dxa"/>
            <w:tcBorders>
              <w:left w:val="single" w:color="auto" w:sz="4" w:space="0"/>
            </w:tcBorders>
            <w:noWrap/>
            <w:vAlign w:val="center"/>
          </w:tcPr>
          <w:p w14:paraId="06B13691">
            <w:pPr>
              <w:spacing w:line="32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项目</w:t>
            </w:r>
          </w:p>
        </w:tc>
        <w:tc>
          <w:tcPr>
            <w:tcW w:w="514" w:type="dxa"/>
            <w:noWrap/>
            <w:vAlign w:val="center"/>
          </w:tcPr>
          <w:p w14:paraId="0E9D2FC8">
            <w:pPr>
              <w:spacing w:line="32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2915" w:type="dxa"/>
            <w:noWrap/>
            <w:vAlign w:val="center"/>
          </w:tcPr>
          <w:p w14:paraId="4EDF52DB">
            <w:pPr>
              <w:spacing w:line="32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危险因素分类</w:t>
            </w:r>
          </w:p>
        </w:tc>
        <w:tc>
          <w:tcPr>
            <w:tcW w:w="2740" w:type="dxa"/>
            <w:noWrap/>
            <w:vAlign w:val="center"/>
          </w:tcPr>
          <w:p w14:paraId="53F0938A">
            <w:pPr>
              <w:spacing w:line="32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可能存在部位</w:t>
            </w:r>
          </w:p>
        </w:tc>
        <w:tc>
          <w:tcPr>
            <w:tcW w:w="2006" w:type="dxa"/>
            <w:tcBorders>
              <w:right w:val="single" w:color="auto" w:sz="4" w:space="0"/>
            </w:tcBorders>
            <w:noWrap/>
            <w:vAlign w:val="center"/>
          </w:tcPr>
          <w:p w14:paraId="6F463BDF">
            <w:pPr>
              <w:spacing w:line="320" w:lineRule="exact"/>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可能造成的后果</w:t>
            </w:r>
          </w:p>
        </w:tc>
      </w:tr>
      <w:tr w14:paraId="129194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restart"/>
            <w:tcBorders>
              <w:left w:val="single" w:color="auto" w:sz="4" w:space="0"/>
            </w:tcBorders>
            <w:noWrap/>
            <w:vAlign w:val="center"/>
          </w:tcPr>
          <w:p w14:paraId="458E706E">
            <w:pPr>
              <w:spacing w:line="32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危险因素</w:t>
            </w:r>
          </w:p>
        </w:tc>
        <w:tc>
          <w:tcPr>
            <w:tcW w:w="514" w:type="dxa"/>
            <w:noWrap/>
            <w:vAlign w:val="center"/>
          </w:tcPr>
          <w:p w14:paraId="733F4A11">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2915" w:type="dxa"/>
            <w:noWrap/>
            <w:vAlign w:val="center"/>
          </w:tcPr>
          <w:p w14:paraId="303F1D21">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火灾</w:t>
            </w:r>
          </w:p>
        </w:tc>
        <w:tc>
          <w:tcPr>
            <w:tcW w:w="2740" w:type="dxa"/>
            <w:noWrap/>
            <w:vAlign w:val="center"/>
          </w:tcPr>
          <w:p w14:paraId="27DAB8CE">
            <w:pPr>
              <w:spacing w:line="32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配电</w:t>
            </w:r>
            <w:r>
              <w:rPr>
                <w:rFonts w:hint="eastAsia" w:ascii="宋体" w:hAnsi="宋体" w:eastAsia="宋体" w:cs="宋体"/>
                <w:color w:val="000000" w:themeColor="text1"/>
                <w:sz w:val="21"/>
                <w:szCs w:val="21"/>
                <w:lang w:val="en-US" w:eastAsia="zh-CN"/>
                <w14:textFill>
                  <w14:solidFill>
                    <w14:schemeClr w14:val="tx1"/>
                  </w14:solidFill>
                </w14:textFill>
              </w:rPr>
              <w:t>柜</w:t>
            </w:r>
            <w:r>
              <w:rPr>
                <w:rFonts w:hint="eastAsia" w:ascii="宋体" w:hAnsi="宋体" w:eastAsia="宋体" w:cs="宋体"/>
                <w:color w:val="000000" w:themeColor="text1"/>
                <w:sz w:val="21"/>
                <w:szCs w:val="21"/>
                <w14:textFill>
                  <w14:solidFill>
                    <w14:schemeClr w14:val="tx1"/>
                  </w14:solidFill>
                </w14:textFill>
              </w:rPr>
              <w:t>及电气设备、供电线路及焊接作业场所。</w:t>
            </w:r>
          </w:p>
        </w:tc>
        <w:tc>
          <w:tcPr>
            <w:tcW w:w="2006" w:type="dxa"/>
            <w:tcBorders>
              <w:right w:val="single" w:color="auto" w:sz="4" w:space="0"/>
            </w:tcBorders>
            <w:noWrap/>
            <w:vAlign w:val="center"/>
          </w:tcPr>
          <w:p w14:paraId="4123D0B1">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人员伤亡、财产损失</w:t>
            </w:r>
          </w:p>
        </w:tc>
      </w:tr>
      <w:tr w14:paraId="7D9481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66FC1406">
            <w:pPr>
              <w:spacing w:line="320" w:lineRule="exact"/>
              <w:rPr>
                <w:rFonts w:hint="eastAsia" w:ascii="宋体" w:hAnsi="宋体" w:eastAsia="宋体" w:cs="宋体"/>
                <w:color w:val="000000" w:themeColor="text1"/>
                <w:sz w:val="21"/>
                <w:szCs w:val="21"/>
                <w14:textFill>
                  <w14:solidFill>
                    <w14:schemeClr w14:val="tx1"/>
                  </w14:solidFill>
                </w14:textFill>
              </w:rPr>
            </w:pPr>
          </w:p>
        </w:tc>
        <w:tc>
          <w:tcPr>
            <w:tcW w:w="514" w:type="dxa"/>
            <w:noWrap/>
            <w:vAlign w:val="center"/>
          </w:tcPr>
          <w:p w14:paraId="449E6139">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2915" w:type="dxa"/>
            <w:noWrap/>
            <w:vAlign w:val="center"/>
          </w:tcPr>
          <w:p w14:paraId="729FCFC3">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高处坠落</w:t>
            </w:r>
          </w:p>
        </w:tc>
        <w:tc>
          <w:tcPr>
            <w:tcW w:w="2740" w:type="dxa"/>
            <w:noWrap/>
            <w:vAlign w:val="center"/>
          </w:tcPr>
          <w:p w14:paraId="26D4680D">
            <w:pPr>
              <w:spacing w:line="32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爬梯、平台、高处作业等场所。</w:t>
            </w:r>
          </w:p>
        </w:tc>
        <w:tc>
          <w:tcPr>
            <w:tcW w:w="2006" w:type="dxa"/>
            <w:tcBorders>
              <w:right w:val="single" w:color="auto" w:sz="4" w:space="0"/>
            </w:tcBorders>
            <w:noWrap/>
            <w:vAlign w:val="center"/>
          </w:tcPr>
          <w:p w14:paraId="2013860A">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人员伤亡</w:t>
            </w:r>
          </w:p>
        </w:tc>
      </w:tr>
      <w:tr w14:paraId="6436CB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086A7AAF">
            <w:pPr>
              <w:spacing w:line="320" w:lineRule="exact"/>
              <w:rPr>
                <w:rFonts w:hint="eastAsia" w:ascii="宋体" w:hAnsi="宋体" w:eastAsia="宋体" w:cs="宋体"/>
                <w:color w:val="000000" w:themeColor="text1"/>
                <w:sz w:val="21"/>
                <w:szCs w:val="21"/>
                <w14:textFill>
                  <w14:solidFill>
                    <w14:schemeClr w14:val="tx1"/>
                  </w14:solidFill>
                </w14:textFill>
              </w:rPr>
            </w:pPr>
          </w:p>
        </w:tc>
        <w:tc>
          <w:tcPr>
            <w:tcW w:w="514" w:type="dxa"/>
            <w:noWrap/>
            <w:vAlign w:val="center"/>
          </w:tcPr>
          <w:p w14:paraId="3D2F46B3">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2915" w:type="dxa"/>
            <w:noWrap/>
            <w:vAlign w:val="center"/>
          </w:tcPr>
          <w:p w14:paraId="01A29166">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机械伤害</w:t>
            </w:r>
          </w:p>
        </w:tc>
        <w:tc>
          <w:tcPr>
            <w:tcW w:w="2740" w:type="dxa"/>
            <w:noWrap/>
            <w:vAlign w:val="center"/>
          </w:tcPr>
          <w:p w14:paraId="012B3BFC">
            <w:pPr>
              <w:spacing w:line="32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生产车间</w:t>
            </w:r>
            <w:r>
              <w:rPr>
                <w:rFonts w:hint="eastAsia" w:ascii="宋体" w:hAnsi="宋体" w:eastAsia="宋体" w:cs="宋体"/>
                <w:color w:val="000000" w:themeColor="text1"/>
                <w:sz w:val="21"/>
                <w:szCs w:val="21"/>
                <w14:textFill>
                  <w14:solidFill>
                    <w14:schemeClr w14:val="tx1"/>
                  </w14:solidFill>
                </w14:textFill>
              </w:rPr>
              <w:t>及机器运转部位。</w:t>
            </w:r>
          </w:p>
        </w:tc>
        <w:tc>
          <w:tcPr>
            <w:tcW w:w="2006" w:type="dxa"/>
            <w:tcBorders>
              <w:right w:val="single" w:color="auto" w:sz="4" w:space="0"/>
            </w:tcBorders>
            <w:noWrap/>
            <w:vAlign w:val="center"/>
          </w:tcPr>
          <w:p w14:paraId="043EF273">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人员伤亡</w:t>
            </w:r>
          </w:p>
        </w:tc>
      </w:tr>
      <w:tr w14:paraId="03CCD7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75EBA32C">
            <w:pPr>
              <w:spacing w:line="320" w:lineRule="exact"/>
              <w:rPr>
                <w:rFonts w:hint="eastAsia" w:ascii="宋体" w:hAnsi="宋体" w:eastAsia="宋体" w:cs="宋体"/>
                <w:color w:val="000000" w:themeColor="text1"/>
                <w:sz w:val="21"/>
                <w:szCs w:val="21"/>
                <w14:textFill>
                  <w14:solidFill>
                    <w14:schemeClr w14:val="tx1"/>
                  </w14:solidFill>
                </w14:textFill>
              </w:rPr>
            </w:pPr>
          </w:p>
        </w:tc>
        <w:tc>
          <w:tcPr>
            <w:tcW w:w="514" w:type="dxa"/>
            <w:noWrap/>
            <w:vAlign w:val="center"/>
          </w:tcPr>
          <w:p w14:paraId="7219230C">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p>
        </w:tc>
        <w:tc>
          <w:tcPr>
            <w:tcW w:w="2915" w:type="dxa"/>
            <w:noWrap/>
            <w:vAlign w:val="center"/>
          </w:tcPr>
          <w:p w14:paraId="4A44B728">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触电</w:t>
            </w:r>
          </w:p>
        </w:tc>
        <w:tc>
          <w:tcPr>
            <w:tcW w:w="2740" w:type="dxa"/>
            <w:noWrap/>
            <w:vAlign w:val="center"/>
          </w:tcPr>
          <w:p w14:paraId="2B3D1548">
            <w:pPr>
              <w:spacing w:line="32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变压器、</w:t>
            </w:r>
            <w:r>
              <w:rPr>
                <w:rFonts w:hint="eastAsia" w:ascii="宋体" w:hAnsi="宋体" w:eastAsia="宋体" w:cs="宋体"/>
                <w:bCs/>
                <w:color w:val="000000" w:themeColor="text1"/>
                <w:sz w:val="21"/>
                <w:szCs w:val="21"/>
                <w14:textFill>
                  <w14:solidFill>
                    <w14:schemeClr w14:val="tx1"/>
                  </w14:solidFill>
                </w14:textFill>
              </w:rPr>
              <w:t>电气设备、裸露线路等。</w:t>
            </w:r>
          </w:p>
        </w:tc>
        <w:tc>
          <w:tcPr>
            <w:tcW w:w="2006" w:type="dxa"/>
            <w:tcBorders>
              <w:right w:val="single" w:color="auto" w:sz="4" w:space="0"/>
            </w:tcBorders>
            <w:noWrap/>
            <w:vAlign w:val="center"/>
          </w:tcPr>
          <w:p w14:paraId="2590E1F6">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人员伤亡</w:t>
            </w:r>
          </w:p>
        </w:tc>
      </w:tr>
      <w:tr w14:paraId="0198AC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6BC0CD9D">
            <w:pPr>
              <w:spacing w:line="320" w:lineRule="exact"/>
              <w:rPr>
                <w:rFonts w:hint="eastAsia" w:ascii="宋体" w:hAnsi="宋体" w:eastAsia="宋体" w:cs="宋体"/>
                <w:color w:val="000000" w:themeColor="text1"/>
                <w:sz w:val="21"/>
                <w:szCs w:val="21"/>
                <w14:textFill>
                  <w14:solidFill>
                    <w14:schemeClr w14:val="tx1"/>
                  </w14:solidFill>
                </w14:textFill>
              </w:rPr>
            </w:pPr>
          </w:p>
        </w:tc>
        <w:tc>
          <w:tcPr>
            <w:tcW w:w="514" w:type="dxa"/>
            <w:noWrap/>
            <w:vAlign w:val="center"/>
          </w:tcPr>
          <w:p w14:paraId="02969178">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w:t>
            </w:r>
          </w:p>
        </w:tc>
        <w:tc>
          <w:tcPr>
            <w:tcW w:w="2915" w:type="dxa"/>
            <w:noWrap/>
            <w:vAlign w:val="center"/>
          </w:tcPr>
          <w:p w14:paraId="48DAC072">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车辆伤害</w:t>
            </w:r>
          </w:p>
        </w:tc>
        <w:tc>
          <w:tcPr>
            <w:tcW w:w="2740" w:type="dxa"/>
            <w:noWrap/>
            <w:vAlign w:val="center"/>
          </w:tcPr>
          <w:p w14:paraId="5A027B3B">
            <w:pPr>
              <w:spacing w:line="32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厂区、道路等场所。</w:t>
            </w:r>
          </w:p>
        </w:tc>
        <w:tc>
          <w:tcPr>
            <w:tcW w:w="2006" w:type="dxa"/>
            <w:tcBorders>
              <w:right w:val="single" w:color="auto" w:sz="4" w:space="0"/>
            </w:tcBorders>
            <w:noWrap/>
            <w:vAlign w:val="center"/>
          </w:tcPr>
          <w:p w14:paraId="59A9E43B">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人员伤亡</w:t>
            </w:r>
          </w:p>
        </w:tc>
      </w:tr>
      <w:tr w14:paraId="45F7ABD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2232184C">
            <w:pPr>
              <w:spacing w:line="320" w:lineRule="exact"/>
              <w:rPr>
                <w:rFonts w:hint="eastAsia" w:ascii="宋体" w:hAnsi="宋体" w:eastAsia="宋体" w:cs="宋体"/>
                <w:color w:val="000000" w:themeColor="text1"/>
                <w:sz w:val="21"/>
                <w:szCs w:val="21"/>
                <w14:textFill>
                  <w14:solidFill>
                    <w14:schemeClr w14:val="tx1"/>
                  </w14:solidFill>
                </w14:textFill>
              </w:rPr>
            </w:pPr>
          </w:p>
        </w:tc>
        <w:tc>
          <w:tcPr>
            <w:tcW w:w="514" w:type="dxa"/>
            <w:noWrap/>
            <w:vAlign w:val="center"/>
          </w:tcPr>
          <w:p w14:paraId="7C736D32">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2915" w:type="dxa"/>
            <w:noWrap/>
            <w:vAlign w:val="center"/>
          </w:tcPr>
          <w:p w14:paraId="35286669">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物体打击</w:t>
            </w:r>
          </w:p>
        </w:tc>
        <w:tc>
          <w:tcPr>
            <w:tcW w:w="2740" w:type="dxa"/>
            <w:noWrap/>
            <w:vAlign w:val="center"/>
          </w:tcPr>
          <w:p w14:paraId="59A4E571">
            <w:pPr>
              <w:spacing w:line="32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原料区</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sz w:val="21"/>
                <w:szCs w:val="21"/>
                <w:lang w:eastAsia="zh-CN"/>
                <w14:textFill>
                  <w14:solidFill>
                    <w14:schemeClr w14:val="tx1"/>
                  </w14:solidFill>
                </w14:textFill>
              </w:rPr>
              <w:t>成品区</w:t>
            </w:r>
            <w:r>
              <w:rPr>
                <w:rFonts w:hint="eastAsia" w:ascii="宋体" w:hAnsi="宋体" w:eastAsia="宋体" w:cs="宋体"/>
                <w:color w:val="000000" w:themeColor="text1"/>
                <w:sz w:val="21"/>
                <w:szCs w:val="21"/>
                <w14:textFill>
                  <w14:solidFill>
                    <w14:schemeClr w14:val="tx1"/>
                  </w14:solidFill>
                </w14:textFill>
              </w:rPr>
              <w:t>装卸等场所。</w:t>
            </w:r>
          </w:p>
        </w:tc>
        <w:tc>
          <w:tcPr>
            <w:tcW w:w="2006" w:type="dxa"/>
            <w:tcBorders>
              <w:right w:val="single" w:color="auto" w:sz="4" w:space="0"/>
            </w:tcBorders>
            <w:noWrap/>
            <w:vAlign w:val="center"/>
          </w:tcPr>
          <w:p w14:paraId="1D039688">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人员伤亡</w:t>
            </w:r>
          </w:p>
        </w:tc>
      </w:tr>
      <w:tr w14:paraId="2C6BEB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3EE59AFF">
            <w:pPr>
              <w:spacing w:line="320" w:lineRule="exact"/>
              <w:rPr>
                <w:rFonts w:hint="eastAsia" w:ascii="宋体" w:hAnsi="宋体" w:eastAsia="宋体" w:cs="宋体"/>
                <w:color w:val="000000" w:themeColor="text1"/>
                <w:sz w:val="21"/>
                <w:szCs w:val="21"/>
                <w14:textFill>
                  <w14:solidFill>
                    <w14:schemeClr w14:val="tx1"/>
                  </w14:solidFill>
                </w14:textFill>
              </w:rPr>
            </w:pPr>
          </w:p>
        </w:tc>
        <w:tc>
          <w:tcPr>
            <w:tcW w:w="514" w:type="dxa"/>
            <w:noWrap/>
            <w:vAlign w:val="center"/>
          </w:tcPr>
          <w:p w14:paraId="23E5BF31">
            <w:pPr>
              <w:spacing w:line="32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p>
        </w:tc>
        <w:tc>
          <w:tcPr>
            <w:tcW w:w="2915" w:type="dxa"/>
            <w:noWrap/>
            <w:vAlign w:val="center"/>
          </w:tcPr>
          <w:p w14:paraId="3FD42C16">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容器爆炸</w:t>
            </w:r>
          </w:p>
        </w:tc>
        <w:tc>
          <w:tcPr>
            <w:tcW w:w="2740" w:type="dxa"/>
            <w:noWrap/>
            <w:vAlign w:val="center"/>
          </w:tcPr>
          <w:p w14:paraId="02EBADCC">
            <w:pPr>
              <w:spacing w:line="32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储气罐及其附近</w:t>
            </w:r>
            <w:r>
              <w:rPr>
                <w:rFonts w:hint="eastAsia" w:ascii="宋体" w:hAnsi="宋体" w:eastAsia="宋体" w:cs="宋体"/>
                <w:color w:val="000000" w:themeColor="text1"/>
                <w:sz w:val="21"/>
                <w:szCs w:val="21"/>
                <w14:textFill>
                  <w14:solidFill>
                    <w14:schemeClr w14:val="tx1"/>
                  </w14:solidFill>
                </w14:textFill>
              </w:rPr>
              <w:t>场所。</w:t>
            </w:r>
          </w:p>
        </w:tc>
        <w:tc>
          <w:tcPr>
            <w:tcW w:w="2006" w:type="dxa"/>
            <w:tcBorders>
              <w:right w:val="single" w:color="auto" w:sz="4" w:space="0"/>
            </w:tcBorders>
            <w:noWrap/>
            <w:vAlign w:val="center"/>
          </w:tcPr>
          <w:p w14:paraId="210BBAAF">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人员伤亡、财产损失</w:t>
            </w:r>
          </w:p>
        </w:tc>
      </w:tr>
      <w:tr w14:paraId="69261C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6060B5B2">
            <w:pPr>
              <w:spacing w:line="320" w:lineRule="exact"/>
              <w:rPr>
                <w:rFonts w:hint="eastAsia" w:ascii="宋体" w:hAnsi="宋体" w:eastAsia="宋体" w:cs="宋体"/>
                <w:color w:val="000000" w:themeColor="text1"/>
                <w:sz w:val="21"/>
                <w:szCs w:val="21"/>
                <w14:textFill>
                  <w14:solidFill>
                    <w14:schemeClr w14:val="tx1"/>
                  </w14:solidFill>
                </w14:textFill>
              </w:rPr>
            </w:pPr>
          </w:p>
        </w:tc>
        <w:tc>
          <w:tcPr>
            <w:tcW w:w="514" w:type="dxa"/>
            <w:noWrap/>
            <w:vAlign w:val="center"/>
          </w:tcPr>
          <w:p w14:paraId="78D6F700">
            <w:pPr>
              <w:spacing w:line="32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8</w:t>
            </w:r>
          </w:p>
        </w:tc>
        <w:tc>
          <w:tcPr>
            <w:tcW w:w="2915" w:type="dxa"/>
            <w:noWrap/>
            <w:vAlign w:val="center"/>
          </w:tcPr>
          <w:p w14:paraId="5EC344D5">
            <w:pPr>
              <w:spacing w:line="320" w:lineRule="exact"/>
              <w:jc w:val="center"/>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坍塌</w:t>
            </w:r>
          </w:p>
        </w:tc>
        <w:tc>
          <w:tcPr>
            <w:tcW w:w="2740" w:type="dxa"/>
            <w:noWrap/>
            <w:vAlign w:val="center"/>
          </w:tcPr>
          <w:p w14:paraId="007FD9C3">
            <w:pPr>
              <w:spacing w:line="32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原料堆场、</w:t>
            </w:r>
            <w:r>
              <w:rPr>
                <w:rFonts w:hint="eastAsia" w:ascii="宋体" w:hAnsi="宋体" w:eastAsia="宋体" w:cs="宋体"/>
                <w:color w:val="000000" w:themeColor="text1"/>
                <w:sz w:val="21"/>
                <w:szCs w:val="21"/>
                <w:lang w:val="en-US" w:eastAsia="zh-CN"/>
                <w14:textFill>
                  <w14:solidFill>
                    <w14:schemeClr w14:val="tx1"/>
                  </w14:solidFill>
                </w14:textFill>
              </w:rPr>
              <w:t>成品区</w:t>
            </w:r>
            <w:r>
              <w:rPr>
                <w:rFonts w:hint="eastAsia" w:ascii="宋体" w:hAnsi="宋体" w:eastAsia="宋体" w:cs="宋体"/>
                <w:color w:val="000000" w:themeColor="text1"/>
                <w:sz w:val="21"/>
                <w:szCs w:val="21"/>
                <w:lang w:eastAsia="zh-CN"/>
                <w14:textFill>
                  <w14:solidFill>
                    <w14:schemeClr w14:val="tx1"/>
                  </w14:solidFill>
                </w14:textFill>
              </w:rPr>
              <w:t>等场所。</w:t>
            </w:r>
          </w:p>
        </w:tc>
        <w:tc>
          <w:tcPr>
            <w:tcW w:w="2006" w:type="dxa"/>
            <w:tcBorders>
              <w:right w:val="single" w:color="auto" w:sz="4" w:space="0"/>
            </w:tcBorders>
            <w:noWrap/>
            <w:vAlign w:val="center"/>
          </w:tcPr>
          <w:p w14:paraId="498C4807">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人员伤亡、财产损失</w:t>
            </w:r>
          </w:p>
        </w:tc>
      </w:tr>
      <w:tr w14:paraId="77FC529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3E0FE96C">
            <w:pPr>
              <w:spacing w:line="320" w:lineRule="exact"/>
              <w:rPr>
                <w:rFonts w:hint="eastAsia" w:ascii="宋体" w:hAnsi="宋体" w:eastAsia="宋体" w:cs="宋体"/>
                <w:color w:val="000000" w:themeColor="text1"/>
                <w:sz w:val="21"/>
                <w:szCs w:val="21"/>
                <w14:textFill>
                  <w14:solidFill>
                    <w14:schemeClr w14:val="tx1"/>
                  </w14:solidFill>
                </w14:textFill>
              </w:rPr>
            </w:pPr>
          </w:p>
        </w:tc>
        <w:tc>
          <w:tcPr>
            <w:tcW w:w="514" w:type="dxa"/>
            <w:noWrap/>
            <w:vAlign w:val="center"/>
          </w:tcPr>
          <w:p w14:paraId="1D736628">
            <w:pPr>
              <w:spacing w:line="32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9</w:t>
            </w:r>
          </w:p>
        </w:tc>
        <w:tc>
          <w:tcPr>
            <w:tcW w:w="2915" w:type="dxa"/>
            <w:noWrap/>
            <w:vAlign w:val="center"/>
          </w:tcPr>
          <w:p w14:paraId="3EFDC09D">
            <w:pPr>
              <w:spacing w:line="320" w:lineRule="exact"/>
              <w:jc w:val="center"/>
              <w:rPr>
                <w:rFonts w:hint="eastAsia" w:ascii="宋体" w:hAnsi="宋体" w:eastAsia="宋体" w:cs="宋体"/>
                <w:bCs/>
                <w:color w:val="000000" w:themeColor="text1"/>
                <w:sz w:val="21"/>
                <w:szCs w:val="21"/>
                <w:lang w:val="en-US" w:eastAsia="zh-CN"/>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起重伤害</w:t>
            </w:r>
          </w:p>
        </w:tc>
        <w:tc>
          <w:tcPr>
            <w:tcW w:w="2740" w:type="dxa"/>
            <w:noWrap/>
            <w:vAlign w:val="center"/>
          </w:tcPr>
          <w:p w14:paraId="5743A8C0">
            <w:pPr>
              <w:spacing w:line="320" w:lineRule="exact"/>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生产车间、组装区</w:t>
            </w:r>
            <w:r>
              <w:rPr>
                <w:rFonts w:hint="eastAsia" w:ascii="宋体" w:hAnsi="宋体" w:eastAsia="宋体" w:cs="宋体"/>
                <w:color w:val="000000" w:themeColor="text1"/>
                <w:sz w:val="21"/>
                <w:szCs w:val="21"/>
                <w:lang w:eastAsia="zh-CN"/>
                <w14:textFill>
                  <w14:solidFill>
                    <w14:schemeClr w14:val="tx1"/>
                  </w14:solidFill>
                </w14:textFill>
              </w:rPr>
              <w:t>等</w:t>
            </w:r>
          </w:p>
        </w:tc>
        <w:tc>
          <w:tcPr>
            <w:tcW w:w="2006" w:type="dxa"/>
            <w:tcBorders>
              <w:right w:val="single" w:color="auto" w:sz="4" w:space="0"/>
            </w:tcBorders>
            <w:noWrap/>
            <w:vAlign w:val="center"/>
          </w:tcPr>
          <w:p w14:paraId="3C70AD34">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人员伤亡</w:t>
            </w:r>
          </w:p>
        </w:tc>
      </w:tr>
      <w:tr w14:paraId="01A6278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tcBorders>
              <w:left w:val="single" w:color="auto" w:sz="4" w:space="0"/>
            </w:tcBorders>
            <w:noWrap/>
            <w:vAlign w:val="center"/>
          </w:tcPr>
          <w:p w14:paraId="12F11517">
            <w:pPr>
              <w:spacing w:line="32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有害因素</w:t>
            </w:r>
          </w:p>
        </w:tc>
        <w:tc>
          <w:tcPr>
            <w:tcW w:w="514" w:type="dxa"/>
            <w:noWrap/>
            <w:vAlign w:val="center"/>
          </w:tcPr>
          <w:p w14:paraId="4D76D0F8">
            <w:pPr>
              <w:spacing w:line="32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2915" w:type="dxa"/>
            <w:noWrap/>
            <w:vAlign w:val="center"/>
          </w:tcPr>
          <w:p w14:paraId="4F9DD183">
            <w:pPr>
              <w:spacing w:line="320" w:lineRule="exact"/>
              <w:jc w:val="center"/>
              <w:rPr>
                <w:rFonts w:hint="eastAsia" w:ascii="宋体" w:hAnsi="宋体" w:eastAsia="宋体" w:cs="宋体"/>
                <w:bCs/>
                <w:color w:val="000000" w:themeColor="text1"/>
                <w:sz w:val="21"/>
                <w:szCs w:val="21"/>
                <w:lang w:val="en-US" w:eastAsia="zh-CN"/>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噪声</w:t>
            </w:r>
          </w:p>
        </w:tc>
        <w:tc>
          <w:tcPr>
            <w:tcW w:w="2740" w:type="dxa"/>
            <w:noWrap/>
            <w:vAlign w:val="center"/>
          </w:tcPr>
          <w:p w14:paraId="63A63FF5">
            <w:pPr>
              <w:spacing w:line="320" w:lineRule="exact"/>
              <w:jc w:val="center"/>
              <w:rPr>
                <w:rFonts w:hint="eastAsia" w:ascii="宋体" w:hAnsi="宋体" w:eastAsia="宋体" w:cs="宋体"/>
                <w:bCs/>
                <w:color w:val="000000" w:themeColor="text1"/>
                <w:sz w:val="21"/>
                <w:szCs w:val="21"/>
                <w:lang w:val="en-US" w:eastAsia="zh-CN"/>
                <w14:textFill>
                  <w14:solidFill>
                    <w14:schemeClr w14:val="tx1"/>
                  </w14:solidFill>
                </w14:textFill>
              </w:rPr>
            </w:pPr>
            <w:r>
              <w:rPr>
                <w:rFonts w:hint="eastAsia" w:ascii="宋体" w:hAnsi="宋体" w:eastAsia="宋体" w:cs="宋体"/>
                <w:bCs/>
                <w:color w:val="000000" w:themeColor="text1"/>
                <w:sz w:val="21"/>
                <w:szCs w:val="21"/>
                <w:lang w:val="en-US" w:eastAsia="zh-CN"/>
                <w14:textFill>
                  <w14:solidFill>
                    <w14:schemeClr w14:val="tx1"/>
                  </w14:solidFill>
                </w14:textFill>
              </w:rPr>
              <w:t>生产车间、加工区、组装区</w:t>
            </w:r>
          </w:p>
        </w:tc>
        <w:tc>
          <w:tcPr>
            <w:tcW w:w="2006" w:type="dxa"/>
            <w:tcBorders>
              <w:right w:val="single" w:color="auto" w:sz="4" w:space="0"/>
            </w:tcBorders>
            <w:noWrap/>
            <w:vAlign w:val="center"/>
          </w:tcPr>
          <w:p w14:paraId="2D225BDE">
            <w:pPr>
              <w:spacing w:line="320" w:lineRule="exact"/>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噪声性耳聋</w:t>
            </w:r>
          </w:p>
        </w:tc>
      </w:tr>
      <w:tr w14:paraId="4D3CE2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restart"/>
            <w:tcBorders>
              <w:left w:val="single" w:color="auto" w:sz="4" w:space="0"/>
            </w:tcBorders>
            <w:noWrap/>
            <w:vAlign w:val="center"/>
          </w:tcPr>
          <w:p w14:paraId="65D56A1E">
            <w:pPr>
              <w:adjustRightInd w:val="0"/>
              <w:snapToGrid w:val="0"/>
              <w:spacing w:line="36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管理因素</w:t>
            </w:r>
          </w:p>
        </w:tc>
        <w:tc>
          <w:tcPr>
            <w:tcW w:w="514" w:type="dxa"/>
            <w:noWrap/>
            <w:vAlign w:val="center"/>
          </w:tcPr>
          <w:p w14:paraId="544FD6C4">
            <w:pPr>
              <w:adjustRightInd w:val="0"/>
              <w:snapToGrid w:val="0"/>
              <w:spacing w:line="36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2915" w:type="dxa"/>
            <w:noWrap/>
            <w:vAlign w:val="center"/>
          </w:tcPr>
          <w:p w14:paraId="21636DDA">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安全生产管理机构或安全生产监督检查不到位</w:t>
            </w:r>
          </w:p>
        </w:tc>
        <w:tc>
          <w:tcPr>
            <w:tcW w:w="2740" w:type="dxa"/>
            <w:vMerge w:val="restart"/>
            <w:noWrap/>
            <w:vAlign w:val="center"/>
          </w:tcPr>
          <w:p w14:paraId="2E40E1DC">
            <w:pPr>
              <w:adjustRightInd w:val="0"/>
              <w:snapToGrid w:val="0"/>
              <w:spacing w:line="36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安全管理过程中，安全生产命令执行过程中</w:t>
            </w:r>
          </w:p>
        </w:tc>
        <w:tc>
          <w:tcPr>
            <w:tcW w:w="2006" w:type="dxa"/>
            <w:vMerge w:val="restart"/>
            <w:tcBorders>
              <w:right w:val="single" w:color="auto" w:sz="4" w:space="0"/>
            </w:tcBorders>
            <w:noWrap/>
            <w:vAlign w:val="center"/>
          </w:tcPr>
          <w:p w14:paraId="52D18AB9">
            <w:pPr>
              <w:adjustRightInd w:val="0"/>
              <w:snapToGrid w:val="0"/>
              <w:spacing w:line="36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人员伤亡</w:t>
            </w:r>
          </w:p>
        </w:tc>
      </w:tr>
      <w:tr w14:paraId="13ADA7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88" w:type="dxa"/>
            <w:vMerge w:val="continue"/>
            <w:tcBorders>
              <w:left w:val="single" w:color="auto" w:sz="4" w:space="0"/>
            </w:tcBorders>
            <w:noWrap/>
            <w:vAlign w:val="center"/>
          </w:tcPr>
          <w:p w14:paraId="07683E84">
            <w:pPr>
              <w:adjustRightInd w:val="0"/>
              <w:snapToGrid w:val="0"/>
              <w:spacing w:line="360" w:lineRule="exact"/>
              <w:rPr>
                <w:rFonts w:hint="eastAsia" w:ascii="宋体" w:hAnsi="宋体" w:eastAsia="宋体" w:cs="宋体"/>
                <w:color w:val="000000" w:themeColor="text1"/>
                <w:sz w:val="21"/>
                <w:szCs w:val="21"/>
                <w14:textFill>
                  <w14:solidFill>
                    <w14:schemeClr w14:val="tx1"/>
                  </w14:solidFill>
                </w14:textFill>
              </w:rPr>
            </w:pPr>
          </w:p>
        </w:tc>
        <w:tc>
          <w:tcPr>
            <w:tcW w:w="514" w:type="dxa"/>
            <w:noWrap/>
            <w:vAlign w:val="center"/>
          </w:tcPr>
          <w:p w14:paraId="6801CEA8">
            <w:pPr>
              <w:adjustRightInd w:val="0"/>
              <w:snapToGrid w:val="0"/>
              <w:spacing w:line="36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w:t>
            </w:r>
          </w:p>
        </w:tc>
        <w:tc>
          <w:tcPr>
            <w:tcW w:w="2915" w:type="dxa"/>
            <w:noWrap/>
            <w:vAlign w:val="center"/>
          </w:tcPr>
          <w:p w14:paraId="693D9F22">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安全生产责任制、安全管理制度及操作规程不健全</w:t>
            </w:r>
          </w:p>
        </w:tc>
        <w:tc>
          <w:tcPr>
            <w:tcW w:w="2740" w:type="dxa"/>
            <w:vMerge w:val="continue"/>
            <w:noWrap/>
            <w:vAlign w:val="center"/>
          </w:tcPr>
          <w:p w14:paraId="51AA547D">
            <w:pPr>
              <w:adjustRightInd w:val="0"/>
              <w:snapToGrid w:val="0"/>
              <w:spacing w:line="360" w:lineRule="exact"/>
              <w:rPr>
                <w:rFonts w:hint="eastAsia" w:ascii="宋体" w:hAnsi="宋体" w:eastAsia="宋体" w:cs="宋体"/>
                <w:color w:val="000000" w:themeColor="text1"/>
                <w:sz w:val="21"/>
                <w:szCs w:val="21"/>
                <w14:textFill>
                  <w14:solidFill>
                    <w14:schemeClr w14:val="tx1"/>
                  </w14:solidFill>
                </w14:textFill>
              </w:rPr>
            </w:pPr>
          </w:p>
        </w:tc>
        <w:tc>
          <w:tcPr>
            <w:tcW w:w="2006" w:type="dxa"/>
            <w:vMerge w:val="continue"/>
            <w:tcBorders>
              <w:right w:val="single" w:color="auto" w:sz="4" w:space="0"/>
            </w:tcBorders>
            <w:noWrap/>
            <w:vAlign w:val="center"/>
          </w:tcPr>
          <w:p w14:paraId="72B05A1F">
            <w:pPr>
              <w:adjustRightInd w:val="0"/>
              <w:snapToGrid w:val="0"/>
              <w:spacing w:line="360" w:lineRule="exact"/>
              <w:jc w:val="center"/>
              <w:rPr>
                <w:rFonts w:hint="eastAsia" w:ascii="宋体" w:hAnsi="宋体" w:eastAsia="宋体" w:cs="宋体"/>
                <w:color w:val="000000" w:themeColor="text1"/>
                <w:sz w:val="21"/>
                <w:szCs w:val="21"/>
                <w14:textFill>
                  <w14:solidFill>
                    <w14:schemeClr w14:val="tx1"/>
                  </w14:solidFill>
                </w14:textFill>
              </w:rPr>
            </w:pPr>
          </w:p>
        </w:tc>
      </w:tr>
      <w:tr w14:paraId="548131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688" w:type="dxa"/>
            <w:vMerge w:val="continue"/>
            <w:tcBorders>
              <w:left w:val="single" w:color="auto" w:sz="4" w:space="0"/>
            </w:tcBorders>
            <w:noWrap/>
            <w:vAlign w:val="center"/>
          </w:tcPr>
          <w:p w14:paraId="6CC4C1E3">
            <w:pPr>
              <w:spacing w:line="320" w:lineRule="exact"/>
              <w:rPr>
                <w:rFonts w:hint="eastAsia" w:ascii="宋体" w:hAnsi="宋体" w:eastAsia="宋体" w:cs="宋体"/>
                <w:color w:val="000000" w:themeColor="text1"/>
                <w:sz w:val="21"/>
                <w:szCs w:val="21"/>
                <w14:textFill>
                  <w14:solidFill>
                    <w14:schemeClr w14:val="tx1"/>
                  </w14:solidFill>
                </w14:textFill>
              </w:rPr>
            </w:pPr>
          </w:p>
        </w:tc>
        <w:tc>
          <w:tcPr>
            <w:tcW w:w="514" w:type="dxa"/>
            <w:noWrap/>
            <w:vAlign w:val="center"/>
          </w:tcPr>
          <w:p w14:paraId="4B85A214">
            <w:pPr>
              <w:spacing w:line="32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w:t>
            </w:r>
          </w:p>
        </w:tc>
        <w:tc>
          <w:tcPr>
            <w:tcW w:w="2915" w:type="dxa"/>
            <w:noWrap/>
            <w:vAlign w:val="center"/>
          </w:tcPr>
          <w:p w14:paraId="51AC0F47">
            <w:pPr>
              <w:spacing w:line="320" w:lineRule="exact"/>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违章指挥、违章操作</w:t>
            </w:r>
          </w:p>
        </w:tc>
        <w:tc>
          <w:tcPr>
            <w:tcW w:w="2740" w:type="dxa"/>
            <w:vMerge w:val="continue"/>
            <w:noWrap/>
            <w:vAlign w:val="center"/>
          </w:tcPr>
          <w:p w14:paraId="6A6540B7">
            <w:pPr>
              <w:spacing w:line="320" w:lineRule="exact"/>
              <w:rPr>
                <w:rFonts w:hint="eastAsia" w:ascii="宋体" w:hAnsi="宋体" w:eastAsia="宋体" w:cs="宋体"/>
                <w:color w:val="000000" w:themeColor="text1"/>
                <w:sz w:val="21"/>
                <w:szCs w:val="21"/>
                <w14:textFill>
                  <w14:solidFill>
                    <w14:schemeClr w14:val="tx1"/>
                  </w14:solidFill>
                </w14:textFill>
              </w:rPr>
            </w:pPr>
          </w:p>
        </w:tc>
        <w:tc>
          <w:tcPr>
            <w:tcW w:w="2006" w:type="dxa"/>
            <w:vMerge w:val="continue"/>
            <w:tcBorders>
              <w:right w:val="single" w:color="auto" w:sz="4" w:space="0"/>
            </w:tcBorders>
            <w:noWrap/>
            <w:vAlign w:val="center"/>
          </w:tcPr>
          <w:p w14:paraId="6F299994">
            <w:pPr>
              <w:spacing w:line="260" w:lineRule="exact"/>
              <w:rPr>
                <w:rFonts w:hint="eastAsia" w:ascii="宋体" w:hAnsi="宋体" w:eastAsia="宋体" w:cs="宋体"/>
                <w:color w:val="000000" w:themeColor="text1"/>
                <w:sz w:val="21"/>
                <w:szCs w:val="21"/>
                <w14:textFill>
                  <w14:solidFill>
                    <w14:schemeClr w14:val="tx1"/>
                  </w14:solidFill>
                </w14:textFill>
              </w:rPr>
            </w:pPr>
          </w:p>
        </w:tc>
      </w:tr>
    </w:tbl>
    <w:p w14:paraId="58288544">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893" w:name="_Toc4435"/>
      <w:bookmarkStart w:id="894" w:name="_Toc4206"/>
      <w:bookmarkStart w:id="895" w:name="_Toc28992"/>
      <w:bookmarkStart w:id="896" w:name="_Toc27408"/>
      <w:r>
        <w:rPr>
          <w:rFonts w:hint="eastAsia" w:ascii="宋体" w:hAnsi="宋体" w:eastAsia="宋体" w:cs="宋体"/>
          <w:color w:val="000000" w:themeColor="text1"/>
          <w14:textFill>
            <w14:solidFill>
              <w14:schemeClr w14:val="tx1"/>
            </w14:solidFill>
          </w14:textFill>
        </w:rPr>
        <w:t>7.2</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需要重点防范和控制的危险、有害因素</w:t>
      </w:r>
      <w:bookmarkEnd w:id="893"/>
      <w:bookmarkEnd w:id="894"/>
      <w:bookmarkEnd w:id="895"/>
      <w:bookmarkEnd w:id="896"/>
    </w:p>
    <w:bookmarkEnd w:id="883"/>
    <w:bookmarkEnd w:id="884"/>
    <w:bookmarkEnd w:id="885"/>
    <w:bookmarkEnd w:id="886"/>
    <w:tbl>
      <w:tblPr>
        <w:tblStyle w:val="5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3545"/>
        <w:gridCol w:w="850"/>
        <w:gridCol w:w="3510"/>
      </w:tblGrid>
      <w:tr w14:paraId="37D62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67" w:type="pct"/>
            <w:vAlign w:val="center"/>
          </w:tcPr>
          <w:p w14:paraId="5D99777D">
            <w:pPr>
              <w:jc w:val="center"/>
              <w:rPr>
                <w:rFonts w:hint="eastAsia" w:ascii="宋体" w:hAnsi="宋体" w:eastAsia="宋体" w:cs="宋体"/>
                <w:b/>
                <w:color w:val="000000" w:themeColor="text1"/>
                <w:sz w:val="21"/>
                <w:szCs w:val="21"/>
                <w14:textFill>
                  <w14:solidFill>
                    <w14:schemeClr w14:val="tx1"/>
                  </w14:solidFill>
                </w14:textFill>
              </w:rPr>
            </w:pPr>
            <w:bookmarkStart w:id="897" w:name="_Toc14604"/>
            <w:bookmarkStart w:id="898" w:name="_Toc22567"/>
            <w:bookmarkStart w:id="899" w:name="_Toc29866"/>
            <w:r>
              <w:rPr>
                <w:rFonts w:hint="eastAsia" w:ascii="宋体" w:hAnsi="宋体" w:eastAsia="宋体" w:cs="宋体"/>
                <w:b/>
                <w:color w:val="000000" w:themeColor="text1"/>
                <w:sz w:val="21"/>
                <w:szCs w:val="21"/>
                <w14:textFill>
                  <w14:solidFill>
                    <w14:schemeClr w14:val="tx1"/>
                  </w14:solidFill>
                </w14:textFill>
              </w:rPr>
              <w:t>序号</w:t>
            </w:r>
          </w:p>
        </w:tc>
        <w:tc>
          <w:tcPr>
            <w:tcW w:w="2032" w:type="pct"/>
            <w:vAlign w:val="center"/>
          </w:tcPr>
          <w:p w14:paraId="5F12F417">
            <w:pPr>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危险、有害因素</w:t>
            </w:r>
          </w:p>
        </w:tc>
        <w:tc>
          <w:tcPr>
            <w:tcW w:w="487" w:type="pct"/>
            <w:vAlign w:val="center"/>
          </w:tcPr>
          <w:p w14:paraId="48113025">
            <w:pPr>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2012" w:type="pct"/>
            <w:vAlign w:val="center"/>
          </w:tcPr>
          <w:p w14:paraId="1E5E8D1C">
            <w:pPr>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危险、有害因素</w:t>
            </w:r>
          </w:p>
        </w:tc>
      </w:tr>
      <w:tr w14:paraId="69D15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67" w:type="pct"/>
            <w:vAlign w:val="center"/>
          </w:tcPr>
          <w:p w14:paraId="160CD4CC">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2032" w:type="pct"/>
            <w:vAlign w:val="center"/>
          </w:tcPr>
          <w:p w14:paraId="5EBAD6A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火灾</w:t>
            </w:r>
          </w:p>
        </w:tc>
        <w:tc>
          <w:tcPr>
            <w:tcW w:w="487" w:type="pct"/>
            <w:vAlign w:val="center"/>
          </w:tcPr>
          <w:p w14:paraId="33D5FB42">
            <w:pPr>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w:t>
            </w:r>
          </w:p>
        </w:tc>
        <w:tc>
          <w:tcPr>
            <w:tcW w:w="2012" w:type="pct"/>
            <w:vAlign w:val="center"/>
          </w:tcPr>
          <w:p w14:paraId="704DA228">
            <w:pPr>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机械伤害</w:t>
            </w:r>
          </w:p>
        </w:tc>
      </w:tr>
      <w:tr w14:paraId="2BF34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67" w:type="pct"/>
            <w:vAlign w:val="center"/>
          </w:tcPr>
          <w:p w14:paraId="40B9C4CB">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2032" w:type="pct"/>
            <w:vAlign w:val="center"/>
          </w:tcPr>
          <w:p w14:paraId="38D1BBF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触电</w:t>
            </w:r>
          </w:p>
        </w:tc>
        <w:tc>
          <w:tcPr>
            <w:tcW w:w="487" w:type="pct"/>
            <w:vAlign w:val="center"/>
          </w:tcPr>
          <w:p w14:paraId="6EABB59B">
            <w:pPr>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2012" w:type="pct"/>
            <w:vAlign w:val="center"/>
          </w:tcPr>
          <w:p w14:paraId="44CC175E">
            <w:pPr>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起重伤害</w:t>
            </w:r>
          </w:p>
        </w:tc>
      </w:tr>
      <w:tr w14:paraId="3786A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67" w:type="pct"/>
            <w:vAlign w:val="center"/>
          </w:tcPr>
          <w:p w14:paraId="18E9559E">
            <w:pPr>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w:t>
            </w:r>
          </w:p>
        </w:tc>
        <w:tc>
          <w:tcPr>
            <w:tcW w:w="2032" w:type="pct"/>
            <w:vAlign w:val="center"/>
          </w:tcPr>
          <w:p w14:paraId="63FBE69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车辆伤害</w:t>
            </w:r>
          </w:p>
        </w:tc>
        <w:tc>
          <w:tcPr>
            <w:tcW w:w="487" w:type="pct"/>
            <w:vAlign w:val="center"/>
          </w:tcPr>
          <w:p w14:paraId="4F44860A">
            <w:pPr>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p>
        </w:tc>
        <w:tc>
          <w:tcPr>
            <w:tcW w:w="2012" w:type="pct"/>
            <w:vAlign w:val="center"/>
          </w:tcPr>
          <w:p w14:paraId="351278B9">
            <w:pPr>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容器爆炸</w:t>
            </w:r>
          </w:p>
        </w:tc>
      </w:tr>
      <w:tr w14:paraId="413E5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67" w:type="pct"/>
            <w:vAlign w:val="center"/>
          </w:tcPr>
          <w:p w14:paraId="23FD50DC">
            <w:pPr>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p>
        </w:tc>
        <w:tc>
          <w:tcPr>
            <w:tcW w:w="2032" w:type="pct"/>
            <w:vAlign w:val="center"/>
          </w:tcPr>
          <w:p w14:paraId="4FAF33B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高处坠落</w:t>
            </w:r>
          </w:p>
        </w:tc>
        <w:tc>
          <w:tcPr>
            <w:tcW w:w="487" w:type="pct"/>
            <w:vAlign w:val="center"/>
          </w:tcPr>
          <w:p w14:paraId="51DC6C33">
            <w:pPr>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8</w:t>
            </w:r>
          </w:p>
        </w:tc>
        <w:tc>
          <w:tcPr>
            <w:tcW w:w="2012" w:type="pct"/>
            <w:vAlign w:val="center"/>
          </w:tcPr>
          <w:p w14:paraId="72BF4711">
            <w:pPr>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物体打击</w:t>
            </w:r>
          </w:p>
        </w:tc>
      </w:tr>
    </w:tbl>
    <w:p w14:paraId="17D534B7">
      <w:pPr>
        <w:pStyle w:val="4"/>
        <w:keepNext/>
        <w:keepLines/>
        <w:pageBreakBefore w:val="0"/>
        <w:widowControl w:val="0"/>
        <w:kinsoku/>
        <w:wordWrap/>
        <w:overflowPunct/>
        <w:topLinePunct w:val="0"/>
        <w:autoSpaceDE/>
        <w:autoSpaceDN/>
        <w:bidi w:val="0"/>
        <w:adjustRightInd/>
        <w:snapToGrid w:val="0"/>
        <w:jc w:val="both"/>
        <w:textAlignment w:val="auto"/>
        <w:rPr>
          <w:rFonts w:hint="eastAsia" w:ascii="宋体" w:hAnsi="宋体" w:eastAsia="宋体" w:cs="宋体"/>
          <w:color w:val="000000" w:themeColor="text1"/>
          <w14:textFill>
            <w14:solidFill>
              <w14:schemeClr w14:val="tx1"/>
            </w14:solidFill>
          </w14:textFill>
        </w:rPr>
      </w:pPr>
      <w:bookmarkStart w:id="900" w:name="_Toc16612"/>
      <w:r>
        <w:rPr>
          <w:rFonts w:hint="eastAsia" w:ascii="宋体" w:hAnsi="宋体" w:eastAsia="宋体" w:cs="宋体"/>
          <w:color w:val="000000" w:themeColor="text1"/>
          <w14:textFill>
            <w14:solidFill>
              <w14:schemeClr w14:val="tx1"/>
            </w14:solidFill>
          </w14:textFill>
        </w:rPr>
        <w:t>7.3</w:t>
      </w:r>
      <w:r>
        <w:rPr>
          <w:rFonts w:hint="eastAsia" w:ascii="宋体" w:hAnsi="宋体" w:eastAsia="宋体" w:cs="宋体"/>
          <w:color w:val="000000" w:themeColor="text1"/>
          <w:lang w:val="en-US" w:eastAsia="zh-CN"/>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安全评价结论</w:t>
      </w:r>
      <w:bookmarkEnd w:id="897"/>
      <w:bookmarkEnd w:id="898"/>
      <w:bookmarkEnd w:id="899"/>
      <w:bookmarkEnd w:id="900"/>
    </w:p>
    <w:p w14:paraId="124E386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昭通市鼎安科技有限公司依据安全评价相关法规，对该项目严格按照安全评价过程控制程序，依据各单元主要危险、有害因素辨识、定性定量分析结果、得出如下安全现状评价综合结论：</w:t>
      </w:r>
    </w:p>
    <w:bookmarkEnd w:id="273"/>
    <w:bookmarkEnd w:id="274"/>
    <w:bookmarkEnd w:id="275"/>
    <w:p w14:paraId="6841BB3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14:textFill>
            <w14:solidFill>
              <w14:schemeClr w14:val="tx1"/>
            </w14:solidFill>
          </w14:textFill>
        </w:rPr>
        <w:t>项目平面布置</w:t>
      </w:r>
      <w:r>
        <w:rPr>
          <w:rFonts w:hint="eastAsia" w:ascii="宋体" w:hAnsi="宋体" w:eastAsia="宋体" w:cs="宋体"/>
          <w:color w:val="000000" w:themeColor="text1"/>
          <w:sz w:val="28"/>
          <w:szCs w:val="28"/>
          <w:lang w:val="en-US" w:eastAsia="zh-CN"/>
          <w14:textFill>
            <w14:solidFill>
              <w14:schemeClr w14:val="tx1"/>
            </w14:solidFill>
          </w14:textFill>
        </w:rPr>
        <w:t>符合</w:t>
      </w:r>
      <w:r>
        <w:rPr>
          <w:rFonts w:hint="eastAsia" w:ascii="宋体" w:hAnsi="宋体" w:eastAsia="宋体" w:cs="宋体"/>
          <w:color w:val="000000" w:themeColor="text1"/>
          <w:sz w:val="28"/>
          <w:szCs w:val="28"/>
          <w14:textFill>
            <w14:solidFill>
              <w14:schemeClr w14:val="tx1"/>
            </w14:solidFill>
          </w14:textFill>
        </w:rPr>
        <w:t>《工业企业总平面设计规范》（</w:t>
      </w:r>
      <w:r>
        <w:rPr>
          <w:rFonts w:hint="eastAsia" w:ascii="宋体" w:hAnsi="宋体" w:eastAsia="宋体" w:cs="宋体"/>
          <w:color w:val="000000" w:themeColor="text1"/>
          <w:sz w:val="28"/>
          <w:szCs w:val="28"/>
          <w:lang w:val="zh-CN"/>
          <w14:textFill>
            <w14:solidFill>
              <w14:schemeClr w14:val="tx1"/>
            </w14:solidFill>
          </w14:textFill>
        </w:rPr>
        <w:t>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zh-CN"/>
          <w14:textFill>
            <w14:solidFill>
              <w14:schemeClr w14:val="tx1"/>
            </w14:solidFill>
          </w14:textFill>
        </w:rPr>
        <w:t>50187-2012）、《工业企业厂内铁路、道路运输安全规程》（GB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zh-CN"/>
          <w14:textFill>
            <w14:solidFill>
              <w14:schemeClr w14:val="tx1"/>
            </w14:solidFill>
          </w14:textFill>
        </w:rPr>
        <w:t>4387-2008）</w:t>
      </w:r>
      <w:r>
        <w:rPr>
          <w:rFonts w:hint="eastAsia" w:ascii="宋体" w:hAnsi="宋体" w:eastAsia="宋体" w:cs="宋体"/>
          <w:color w:val="000000" w:themeColor="text1"/>
          <w:sz w:val="28"/>
          <w:szCs w:val="28"/>
          <w14:textFill>
            <w14:solidFill>
              <w14:schemeClr w14:val="tx1"/>
            </w14:solidFill>
          </w14:textFill>
        </w:rPr>
        <w:t>和《建筑设计防火规范〔2018</w:t>
      </w:r>
      <w:r>
        <w:rPr>
          <w:rFonts w:hint="eastAsia" w:ascii="宋体" w:hAnsi="宋体" w:eastAsia="宋体" w:cs="宋体"/>
          <w:color w:val="000000" w:themeColor="text1"/>
          <w:sz w:val="28"/>
          <w:szCs w:val="28"/>
          <w:lang w:val="en-US" w:eastAsia="zh-CN"/>
          <w14:textFill>
            <w14:solidFill>
              <w14:schemeClr w14:val="tx1"/>
            </w14:solidFill>
          </w14:textFill>
        </w:rPr>
        <w:t>年</w:t>
      </w:r>
      <w:r>
        <w:rPr>
          <w:rFonts w:hint="eastAsia" w:ascii="宋体" w:hAnsi="宋体" w:eastAsia="宋体" w:cs="宋体"/>
          <w:color w:val="000000" w:themeColor="text1"/>
          <w:sz w:val="28"/>
          <w:szCs w:val="28"/>
          <w14:textFill>
            <w14:solidFill>
              <w14:schemeClr w14:val="tx1"/>
            </w14:solidFill>
          </w14:textFill>
        </w:rPr>
        <w:t>版〕》（GB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50016-2014）中的</w:t>
      </w:r>
      <w:r>
        <w:rPr>
          <w:rFonts w:hint="eastAsia" w:ascii="宋体" w:hAnsi="宋体" w:eastAsia="宋体" w:cs="宋体"/>
          <w:color w:val="000000" w:themeColor="text1"/>
          <w:sz w:val="28"/>
          <w:szCs w:val="28"/>
          <w:lang w:val="en-US" w:eastAsia="zh-CN"/>
          <w14:textFill>
            <w14:solidFill>
              <w14:schemeClr w14:val="tx1"/>
            </w14:solidFill>
          </w14:textFill>
        </w:rPr>
        <w:t>规范要求</w:t>
      </w:r>
      <w:r>
        <w:rPr>
          <w:rFonts w:hint="eastAsia" w:ascii="宋体" w:hAnsi="宋体" w:eastAsia="宋体" w:cs="宋体"/>
          <w:color w:val="000000" w:themeColor="text1"/>
          <w:sz w:val="28"/>
          <w:szCs w:val="28"/>
          <w14:textFill>
            <w14:solidFill>
              <w14:schemeClr w14:val="tx1"/>
            </w14:solidFill>
          </w14:textFill>
        </w:rPr>
        <w:t>。</w:t>
      </w:r>
    </w:p>
    <w:p w14:paraId="1711742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该项目的生产工艺设备设施符合《生产设备安全卫生设计总则》（GB5083-</w:t>
      </w:r>
      <w:r>
        <w:rPr>
          <w:rFonts w:hint="eastAsia" w:ascii="宋体" w:hAnsi="宋体" w:eastAsia="宋体" w:cs="宋体"/>
          <w:color w:val="000000" w:themeColor="text1"/>
          <w:sz w:val="28"/>
          <w:szCs w:val="28"/>
          <w:lang w:val="en-US" w:eastAsia="zh-CN"/>
          <w14:textFill>
            <w14:solidFill>
              <w14:schemeClr w14:val="tx1"/>
            </w14:solidFill>
          </w14:textFill>
        </w:rPr>
        <w:t>2023</w:t>
      </w:r>
      <w:r>
        <w:rPr>
          <w:rFonts w:hint="eastAsia" w:ascii="宋体" w:hAnsi="宋体" w:eastAsia="宋体" w:cs="宋体"/>
          <w:color w:val="000000" w:themeColor="text1"/>
          <w:sz w:val="28"/>
          <w:szCs w:val="28"/>
          <w14:textFill>
            <w14:solidFill>
              <w14:schemeClr w14:val="tx1"/>
            </w14:solidFill>
          </w14:textFill>
        </w:rPr>
        <w:t>）、《生产过程安全卫生要求总则》（GB/T 12801-2008）、《中华人民共和国安全生产法》（中华人民共和国主席令第88号，2021年修订）、</w:t>
      </w:r>
      <w:r>
        <w:rPr>
          <w:rFonts w:hint="eastAsia" w:ascii="宋体" w:hAnsi="宋体" w:eastAsia="宋体" w:cs="宋体"/>
          <w:color w:val="000000" w:themeColor="text1"/>
          <w:kern w:val="0"/>
          <w:sz w:val="28"/>
          <w:szCs w:val="28"/>
          <w14:textFill>
            <w14:solidFill>
              <w14:schemeClr w14:val="tx1"/>
            </w14:solidFill>
          </w14:textFill>
        </w:rPr>
        <w:t>《压力容器定期检验规则》（TSG R7001-2013）</w:t>
      </w:r>
      <w:r>
        <w:rPr>
          <w:rFonts w:hint="eastAsia" w:ascii="宋体" w:hAnsi="宋体" w:eastAsia="宋体" w:cs="宋体"/>
          <w:color w:val="000000" w:themeColor="text1"/>
          <w:sz w:val="28"/>
          <w:szCs w:val="28"/>
          <w14:textFill>
            <w14:solidFill>
              <w14:schemeClr w14:val="tx1"/>
            </w14:solidFill>
          </w14:textFill>
        </w:rPr>
        <w:t>等相关规范的要求。</w:t>
      </w:r>
    </w:p>
    <w:p w14:paraId="17D85E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14:textFill>
            <w14:solidFill>
              <w14:schemeClr w14:val="tx1"/>
            </w14:solidFill>
          </w14:textFill>
        </w:rPr>
        <w:t>该项目的安全防护设施符合《安全色》（GB2893-2008）、《安全标志及其使用导则》（GB2894-2008）、《机械安全防护装置固定式和活动式防护装置的设计与制造一般要求》（GB/T8196-2018）、《机械工业职业安全卫生设计规范》（JBJ18-2000）等国家相关标准、规范的规定和要求。</w:t>
      </w:r>
    </w:p>
    <w:p w14:paraId="48DAED2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该项目的供配电系统、给排水、消防设施等公辅设施能够满足生产的需要。</w:t>
      </w:r>
    </w:p>
    <w:p w14:paraId="62B45A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．该公司任命了专职安全员对生产安全进行管理。主要负责人、特种作业人员均取得了安全培训合格证。</w:t>
      </w:r>
    </w:p>
    <w:p w14:paraId="0D0826D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6</w:t>
      </w:r>
      <w:r>
        <w:rPr>
          <w:rFonts w:hint="eastAsia" w:ascii="宋体" w:hAnsi="宋体" w:eastAsia="宋体" w:cs="宋体"/>
          <w:color w:val="000000" w:themeColor="text1"/>
          <w:sz w:val="28"/>
          <w:szCs w:val="28"/>
          <w14:textFill>
            <w14:solidFill>
              <w14:schemeClr w14:val="tx1"/>
            </w14:solidFill>
          </w14:textFill>
        </w:rPr>
        <w:t>．该公司证照齐全有效，各级人员安全职责明确，安全生产责任制、管理制度、操作规程、生产安全事故应急预案基本健全、可行，并能切实得到落实。</w:t>
      </w:r>
    </w:p>
    <w:p w14:paraId="1FBD44F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7</w:t>
      </w:r>
      <w:r>
        <w:rPr>
          <w:rFonts w:hint="eastAsia" w:ascii="宋体" w:hAnsi="宋体" w:eastAsia="宋体" w:cs="宋体"/>
          <w:color w:val="000000" w:themeColor="text1"/>
          <w:sz w:val="28"/>
          <w:szCs w:val="28"/>
          <w14:textFill>
            <w14:solidFill>
              <w14:schemeClr w14:val="tx1"/>
            </w14:solidFill>
          </w14:textFill>
        </w:rPr>
        <w:t>．该公司为员工购买了工伤保险，从业人员配发了相应的劳动防护用品，并对日常的佩戴使用情况进行检查。</w:t>
      </w:r>
    </w:p>
    <w:p w14:paraId="1A18378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8</w:t>
      </w:r>
      <w:r>
        <w:rPr>
          <w:rFonts w:hint="eastAsia" w:ascii="宋体" w:hAnsi="宋体" w:eastAsia="宋体" w:cs="宋体"/>
          <w:color w:val="000000" w:themeColor="text1"/>
          <w:sz w:val="28"/>
          <w:szCs w:val="28"/>
          <w14:textFill>
            <w14:solidFill>
              <w14:schemeClr w14:val="tx1"/>
            </w14:solidFill>
          </w14:textFill>
        </w:rPr>
        <w:t>.根据《工贸企业重大事故隐患判定标准》（应急管理部令〔</w:t>
      </w:r>
      <w:r>
        <w:rPr>
          <w:rFonts w:hint="eastAsia" w:ascii="宋体" w:hAnsi="宋体" w:eastAsia="宋体" w:cs="宋体"/>
          <w:color w:val="000000" w:themeColor="text1"/>
          <w:sz w:val="28"/>
          <w:szCs w:val="28"/>
          <w:lang w:val="en-US" w:eastAsia="zh-CN"/>
          <w14:textFill>
            <w14:solidFill>
              <w14:schemeClr w14:val="tx1"/>
            </w14:solidFill>
          </w14:textFill>
        </w:rPr>
        <w:t>2023</w:t>
      </w:r>
      <w:r>
        <w:rPr>
          <w:rFonts w:hint="eastAsia" w:ascii="宋体" w:hAnsi="宋体" w:eastAsia="宋体" w:cs="宋体"/>
          <w:color w:val="000000" w:themeColor="text1"/>
          <w:sz w:val="28"/>
          <w:szCs w:val="28"/>
          <w14:textFill>
            <w14:solidFill>
              <w14:schemeClr w14:val="tx1"/>
            </w14:solidFill>
          </w14:textFill>
        </w:rPr>
        <w:t>〕第10号），该厂无重大事故隐患</w:t>
      </w:r>
      <w:r>
        <w:rPr>
          <w:rFonts w:hint="eastAsia" w:ascii="宋体" w:hAnsi="宋体" w:eastAsia="宋体" w:cs="宋体"/>
          <w:color w:val="000000" w:themeColor="text1"/>
          <w:sz w:val="28"/>
          <w:szCs w:val="28"/>
          <w:lang w:eastAsia="zh-CN"/>
          <w14:textFill>
            <w14:solidFill>
              <w14:schemeClr w14:val="tx1"/>
            </w14:solidFill>
          </w14:textFill>
        </w:rPr>
        <w:t>。</w:t>
      </w:r>
    </w:p>
    <w:p w14:paraId="0F4CADAE">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b/>
          <w:color w:val="000000" w:themeColor="text1"/>
          <w:kern w:val="0"/>
          <w:sz w:val="28"/>
          <w:szCs w:val="28"/>
          <w:lang w:eastAsia="zh-TW"/>
          <w14:textFill>
            <w14:solidFill>
              <w14:schemeClr w14:val="tx1"/>
            </w14:solidFill>
          </w14:textFill>
        </w:rPr>
      </w:pPr>
      <w:r>
        <w:rPr>
          <w:rFonts w:hint="eastAsia" w:ascii="宋体" w:hAnsi="宋体" w:eastAsia="宋体" w:cs="宋体"/>
          <w:b/>
          <w:bCs/>
          <w:color w:val="000000" w:themeColor="text1"/>
          <w:sz w:val="28"/>
          <w:szCs w:val="28"/>
          <w:lang w:eastAsia="zh-CN"/>
          <w14:textFill>
            <w14:solidFill>
              <w14:schemeClr w14:val="tx1"/>
            </w14:solidFill>
          </w14:textFill>
        </w:rPr>
        <w:t>综上所述，评价组认为：</w:t>
      </w:r>
      <w:r>
        <w:rPr>
          <w:rFonts w:hint="eastAsia" w:ascii="宋体" w:hAnsi="宋体" w:eastAsia="宋体" w:cs="宋体"/>
          <w:b/>
          <w:bCs/>
          <w:color w:val="000000" w:themeColor="text1"/>
          <w:sz w:val="28"/>
          <w:szCs w:val="28"/>
          <w:lang w:eastAsia="zh-CN"/>
          <w14:textFill>
            <w14:solidFill>
              <w14:schemeClr w14:val="tx1"/>
            </w14:solidFill>
          </w14:textFill>
        </w:rPr>
        <w:t>玉溪市明哲数控科技有限公司</w:t>
      </w:r>
      <w:r>
        <w:rPr>
          <w:rFonts w:hint="eastAsia" w:ascii="宋体" w:hAnsi="宋体" w:eastAsia="宋体" w:cs="宋体"/>
          <w:b/>
          <w:bCs/>
          <w:color w:val="000000" w:themeColor="text1"/>
          <w:sz w:val="28"/>
          <w:szCs w:val="28"/>
          <w:lang w:val="en-US" w:eastAsia="zh-CN"/>
          <w14:textFill>
            <w14:solidFill>
              <w14:schemeClr w14:val="tx1"/>
            </w14:solidFill>
          </w14:textFill>
        </w:rPr>
        <w:t>安全现状评价</w:t>
      </w:r>
      <w:r>
        <w:rPr>
          <w:rFonts w:hint="eastAsia" w:ascii="宋体" w:hAnsi="宋体" w:eastAsia="宋体" w:cs="宋体"/>
          <w:b/>
          <w:bCs/>
          <w:color w:val="000000" w:themeColor="text1"/>
          <w:sz w:val="28"/>
          <w:szCs w:val="28"/>
          <w:lang w:eastAsia="zh-CN"/>
          <w14:textFill>
            <w14:solidFill>
              <w14:schemeClr w14:val="tx1"/>
            </w14:solidFill>
          </w14:textFill>
        </w:rPr>
        <w:t>项目</w:t>
      </w:r>
      <w:r>
        <w:rPr>
          <w:rFonts w:hint="eastAsia" w:ascii="宋体" w:hAnsi="宋体" w:eastAsia="宋体" w:cs="宋体"/>
          <w:b/>
          <w:bCs/>
          <w:color w:val="000000" w:themeColor="text1"/>
          <w:sz w:val="28"/>
          <w:szCs w:val="28"/>
          <w:lang w:eastAsia="zh-CN"/>
          <w14:textFill>
            <w14:solidFill>
              <w14:schemeClr w14:val="tx1"/>
            </w14:solidFill>
          </w14:textFill>
        </w:rPr>
        <w:t>从安全生产角度分析评价符合国家有关法律、法规、标准、规范的相关要求，</w:t>
      </w:r>
      <w:r>
        <w:rPr>
          <w:rFonts w:hint="eastAsia" w:ascii="宋体" w:hAnsi="宋体" w:eastAsia="宋体" w:cs="宋体"/>
          <w:b/>
          <w:color w:val="000000" w:themeColor="text1"/>
          <w:kern w:val="0"/>
          <w:sz w:val="28"/>
          <w:szCs w:val="28"/>
          <w14:textFill>
            <w14:solidFill>
              <w14:schemeClr w14:val="tx1"/>
            </w14:solidFill>
          </w14:textFill>
        </w:rPr>
        <w:t>其现状具备安全生产条件</w:t>
      </w:r>
      <w:r>
        <w:rPr>
          <w:rFonts w:hint="eastAsia" w:ascii="宋体" w:hAnsi="宋体" w:eastAsia="宋体" w:cs="宋体"/>
          <w:b/>
          <w:snapToGrid w:val="0"/>
          <w:color w:val="000000" w:themeColor="text1"/>
          <w:kern w:val="0"/>
          <w:sz w:val="28"/>
          <w:szCs w:val="21"/>
          <w14:textFill>
            <w14:solidFill>
              <w14:schemeClr w14:val="tx1"/>
            </w14:solidFill>
          </w14:textFill>
        </w:rPr>
        <w:t>。</w:t>
      </w:r>
    </w:p>
    <w:p w14:paraId="1BDF66E7">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snapToGrid w:val="0"/>
          <w:color w:val="000000" w:themeColor="text1"/>
          <w:kern w:val="0"/>
          <w:sz w:val="28"/>
          <w:szCs w:val="21"/>
          <w14:textFill>
            <w14:solidFill>
              <w14:schemeClr w14:val="tx1"/>
            </w14:solidFill>
          </w14:textFill>
        </w:rPr>
      </w:pPr>
      <w:r>
        <w:rPr>
          <w:rFonts w:hint="eastAsia" w:ascii="宋体" w:hAnsi="宋体" w:eastAsia="宋体" w:cs="宋体"/>
          <w:snapToGrid w:val="0"/>
          <w:color w:val="000000" w:themeColor="text1"/>
          <w:kern w:val="0"/>
          <w:sz w:val="28"/>
          <w:szCs w:val="21"/>
          <w14:textFill>
            <w14:solidFill>
              <w14:schemeClr w14:val="tx1"/>
            </w14:solidFill>
          </w14:textFill>
        </w:rPr>
        <w:t>总之，企业</w:t>
      </w:r>
      <w:r>
        <w:rPr>
          <w:rFonts w:hint="eastAsia" w:ascii="宋体" w:hAnsi="宋体" w:eastAsia="宋体" w:cs="宋体"/>
          <w:snapToGrid w:val="0"/>
          <w:color w:val="000000" w:themeColor="text1"/>
          <w:kern w:val="0"/>
          <w:sz w:val="28"/>
          <w:szCs w:val="21"/>
          <w:lang w:val="en-US" w:eastAsia="zh-CN"/>
          <w14:textFill>
            <w14:solidFill>
              <w14:schemeClr w14:val="tx1"/>
            </w14:solidFill>
          </w14:textFill>
        </w:rPr>
        <w:t>安全</w:t>
      </w:r>
      <w:r>
        <w:rPr>
          <w:rFonts w:hint="eastAsia" w:ascii="宋体" w:hAnsi="宋体" w:eastAsia="宋体" w:cs="宋体"/>
          <w:snapToGrid w:val="0"/>
          <w:color w:val="000000" w:themeColor="text1"/>
          <w:kern w:val="0"/>
          <w:sz w:val="28"/>
          <w:szCs w:val="21"/>
          <w14:textFill>
            <w14:solidFill>
              <w14:schemeClr w14:val="tx1"/>
            </w14:solidFill>
          </w14:textFill>
        </w:rPr>
        <w:t>生产是一个动态的过程，企业在今后的生产过程中，应根据生产条件的变化，把安全管理工作贯穿于生产的全过程，不断完善企业安全管理，依靠科技进步提升安全技术水平，防止安全事故的发生，实现本质化安全，切实保障人民生命和财产的安全。</w:t>
      </w:r>
      <w:bookmarkStart w:id="901" w:name="_Toc365119562"/>
      <w:bookmarkStart w:id="902" w:name="_Toc403746198"/>
    </w:p>
    <w:bookmarkEnd w:id="901"/>
    <w:bookmarkEnd w:id="902"/>
    <w:p w14:paraId="0BF44F79">
      <w:pPr>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br w:type="page"/>
      </w:r>
    </w:p>
    <w:p w14:paraId="372498FF">
      <w:pPr>
        <w:pStyle w:val="3"/>
        <w:keepNext/>
        <w:keepLines/>
        <w:pageBreakBefore w:val="0"/>
        <w:widowControl w:val="0"/>
        <w:kinsoku/>
        <w:wordWrap/>
        <w:overflowPunct/>
        <w:topLinePunct w:val="0"/>
        <w:autoSpaceDE/>
        <w:autoSpaceDN/>
        <w:bidi w:val="0"/>
        <w:adjustRightInd/>
        <w:snapToGrid w:val="0"/>
        <w:spacing w:before="100" w:beforeAutospacing="1" w:after="100" w:afterAutospacing="1"/>
        <w:textAlignment w:val="auto"/>
        <w:rPr>
          <w:rFonts w:hint="eastAsia" w:ascii="宋体" w:hAnsi="宋体" w:eastAsia="宋体" w:cs="宋体"/>
          <w:color w:val="000000" w:themeColor="text1"/>
          <w14:textFill>
            <w14:solidFill>
              <w14:schemeClr w14:val="tx1"/>
            </w14:solidFill>
          </w14:textFill>
        </w:rPr>
      </w:pPr>
      <w:bookmarkStart w:id="903" w:name="_Toc11905"/>
      <w:bookmarkStart w:id="904" w:name="_Toc6436"/>
      <w:r>
        <w:rPr>
          <w:rFonts w:hint="eastAsia" w:ascii="宋体" w:hAnsi="宋体" w:eastAsia="宋体" w:cs="宋体"/>
          <w:color w:val="000000" w:themeColor="text1"/>
          <w14:textFill>
            <w14:solidFill>
              <w14:schemeClr w14:val="tx1"/>
            </w14:solidFill>
          </w14:textFill>
        </w:rPr>
        <w:t>第8章  与企业交换的意见</w:t>
      </w:r>
      <w:bookmarkEnd w:id="903"/>
      <w:bookmarkEnd w:id="904"/>
    </w:p>
    <w:p w14:paraId="4287F00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评价组通过对项目的现场实地调查和评价，在现场向企业负责人指出不符合项目，建议企业今后进行完善，企业已根据评价组出具的意见完成了整改，出具了整改报告</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bidi="ar-SA"/>
          <w14:textFill>
            <w14:solidFill>
              <w14:schemeClr w14:val="tx1"/>
            </w14:solidFill>
          </w14:textFill>
        </w:rPr>
        <w:t>企业应加强《中华人民共和国安全生产法》及其他有关安全生产的法律、法规的学习，加强安全管理，定期组织应急演练，完善演练记录，加强员工的安全教育培训，完善培训记录。尽快创建安全生产标准化和安全风险分级管控和隐患排查治理双重预防机制，健全风险防范化解机制，提高安全生产水平，确保安全生产。</w:t>
      </w:r>
      <w:r>
        <w:rPr>
          <w:rFonts w:hint="eastAsia" w:ascii="宋体" w:hAnsi="宋体" w:eastAsia="宋体" w:cs="宋体"/>
          <w:color w:val="000000" w:themeColor="text1"/>
          <w:sz w:val="28"/>
          <w:szCs w:val="28"/>
          <w:lang w:val="en-US" w:eastAsia="zh-CN"/>
          <w14:textFill>
            <w14:solidFill>
              <w14:schemeClr w14:val="tx1"/>
            </w14:solidFill>
          </w14:textFill>
        </w:rPr>
        <w:t>企业</w:t>
      </w:r>
      <w:r>
        <w:rPr>
          <w:rFonts w:hint="eastAsia" w:ascii="宋体" w:hAnsi="宋体" w:eastAsia="宋体" w:cs="宋体"/>
          <w:color w:val="000000" w:themeColor="text1"/>
          <w:sz w:val="28"/>
          <w:szCs w:val="28"/>
          <w14:textFill>
            <w14:solidFill>
              <w14:schemeClr w14:val="tx1"/>
            </w14:solidFill>
          </w14:textFill>
        </w:rPr>
        <w:t>负责人表示会</w:t>
      </w:r>
      <w:r>
        <w:rPr>
          <w:rFonts w:hint="eastAsia" w:ascii="宋体" w:hAnsi="宋体" w:eastAsia="宋体" w:cs="宋体"/>
          <w:color w:val="000000" w:themeColor="text1"/>
          <w:sz w:val="28"/>
          <w:szCs w:val="28"/>
          <w:lang w:eastAsia="zh-CN"/>
          <w14:textFill>
            <w14:solidFill>
              <w14:schemeClr w14:val="tx1"/>
            </w14:solidFill>
          </w14:textFill>
        </w:rPr>
        <w:t>加强有关安全生产的法律、法规的学习，依法办事，加强安全管理，</w:t>
      </w:r>
      <w:r>
        <w:rPr>
          <w:rFonts w:hint="eastAsia" w:ascii="宋体" w:hAnsi="宋体" w:eastAsia="宋体" w:cs="宋体"/>
          <w:color w:val="000000" w:themeColor="text1"/>
          <w:sz w:val="28"/>
          <w:szCs w:val="28"/>
          <w14:textFill>
            <w14:solidFill>
              <w14:schemeClr w14:val="tx1"/>
            </w14:solidFill>
          </w14:textFill>
        </w:rPr>
        <w:t>进一步完善应急演练、</w:t>
      </w:r>
      <w:r>
        <w:rPr>
          <w:rFonts w:hint="eastAsia" w:ascii="宋体" w:hAnsi="宋体" w:eastAsia="宋体" w:cs="宋体"/>
          <w:color w:val="000000" w:themeColor="text1"/>
          <w:sz w:val="28"/>
          <w:szCs w:val="28"/>
          <w:lang w:eastAsia="zh-CN"/>
          <w14:textFill>
            <w14:solidFill>
              <w14:schemeClr w14:val="tx1"/>
            </w14:solidFill>
          </w14:textFill>
        </w:rPr>
        <w:t>安全教育培训、</w:t>
      </w:r>
      <w:r>
        <w:rPr>
          <w:rFonts w:hint="eastAsia" w:ascii="宋体" w:hAnsi="宋体" w:eastAsia="宋体" w:cs="宋体"/>
          <w:color w:val="000000" w:themeColor="text1"/>
          <w:sz w:val="28"/>
          <w:szCs w:val="28"/>
          <w14:textFill>
            <w14:solidFill>
              <w14:schemeClr w14:val="tx1"/>
            </w14:solidFill>
          </w14:textFill>
        </w:rPr>
        <w:t>安全管理制度</w:t>
      </w:r>
      <w:r>
        <w:rPr>
          <w:rFonts w:hint="eastAsia" w:ascii="宋体" w:hAnsi="宋体" w:eastAsia="宋体" w:cs="宋体"/>
          <w:color w:val="000000" w:themeColor="text1"/>
          <w:sz w:val="28"/>
          <w:szCs w:val="28"/>
          <w:lang w:eastAsia="zh-CN"/>
          <w14:textFill>
            <w14:solidFill>
              <w14:schemeClr w14:val="tx1"/>
            </w14:solidFill>
          </w14:textFill>
        </w:rPr>
        <w:t>建设</w:t>
      </w:r>
      <w:r>
        <w:rPr>
          <w:rFonts w:hint="eastAsia" w:ascii="宋体" w:hAnsi="宋体" w:eastAsia="宋体" w:cs="宋体"/>
          <w:color w:val="000000" w:themeColor="text1"/>
          <w:sz w:val="28"/>
          <w:szCs w:val="28"/>
          <w14:textFill>
            <w14:solidFill>
              <w14:schemeClr w14:val="tx1"/>
            </w14:solidFill>
          </w14:textFill>
        </w:rPr>
        <w:t>等管理内容，</w:t>
      </w:r>
      <w:r>
        <w:rPr>
          <w:rFonts w:hint="eastAsia" w:ascii="宋体" w:hAnsi="宋体" w:eastAsia="宋体" w:cs="宋体"/>
          <w:color w:val="000000" w:themeColor="text1"/>
          <w:sz w:val="28"/>
          <w:szCs w:val="28"/>
          <w:lang w:eastAsia="zh-CN"/>
          <w14:textFill>
            <w14:solidFill>
              <w14:schemeClr w14:val="tx1"/>
            </w14:solidFill>
          </w14:textFill>
        </w:rPr>
        <w:t>进一步抓好现场管理，完善各类安全管理台账资料，</w:t>
      </w:r>
      <w:r>
        <w:rPr>
          <w:rFonts w:hint="eastAsia" w:ascii="宋体" w:hAnsi="宋体" w:eastAsia="宋体" w:cs="宋体"/>
          <w:color w:val="000000" w:themeColor="text1"/>
          <w:sz w:val="28"/>
          <w:szCs w:val="28"/>
          <w14:textFill>
            <w14:solidFill>
              <w14:schemeClr w14:val="tx1"/>
            </w14:solidFill>
          </w14:textFill>
        </w:rPr>
        <w:t>进一步提高安全生产水平。</w:t>
      </w:r>
    </w:p>
    <w:p w14:paraId="0D86CC87">
      <w:pPr>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br w:type="page"/>
      </w:r>
    </w:p>
    <w:p w14:paraId="70E42919">
      <w:pPr>
        <w:pStyle w:val="4"/>
        <w:keepNext/>
        <w:keepLines/>
        <w:pageBreakBefore w:val="0"/>
        <w:widowControl w:val="0"/>
        <w:kinsoku/>
        <w:wordWrap/>
        <w:overflowPunct/>
        <w:topLinePunct w:val="0"/>
        <w:autoSpaceDE/>
        <w:autoSpaceDN/>
        <w:bidi w:val="0"/>
        <w:adjustRightInd/>
        <w:snapToGrid w:val="0"/>
        <w:spacing w:beforeLines="50" w:afterLines="50" w:line="520" w:lineRule="exact"/>
        <w:jc w:val="both"/>
        <w:textAlignment w:val="auto"/>
        <w:rPr>
          <w:rFonts w:hint="eastAsia" w:ascii="宋体" w:hAnsi="宋体" w:eastAsia="宋体" w:cs="宋体"/>
          <w:color w:val="000000" w:themeColor="text1"/>
          <w:sz w:val="28"/>
          <w:szCs w:val="28"/>
          <w14:textFill>
            <w14:solidFill>
              <w14:schemeClr w14:val="tx1"/>
            </w14:solidFill>
          </w14:textFill>
        </w:rPr>
      </w:pPr>
      <w:bookmarkStart w:id="905" w:name="_Toc314238312"/>
      <w:bookmarkStart w:id="906" w:name="_Toc24852"/>
      <w:bookmarkStart w:id="907" w:name="_Toc1001"/>
      <w:bookmarkStart w:id="908" w:name="_Toc12665"/>
      <w:bookmarkStart w:id="909" w:name="_Toc9127"/>
      <w:r>
        <w:rPr>
          <w:rFonts w:hint="eastAsia" w:ascii="宋体" w:hAnsi="宋体" w:eastAsia="宋体" w:cs="宋体"/>
          <w:color w:val="000000" w:themeColor="text1"/>
          <w:sz w:val="28"/>
          <w:szCs w:val="28"/>
          <w14:textFill>
            <w14:solidFill>
              <w14:schemeClr w14:val="tx1"/>
            </w14:solidFill>
          </w14:textFill>
        </w:rPr>
        <w:t>附件</w:t>
      </w:r>
      <w:bookmarkEnd w:id="905"/>
      <w:bookmarkEnd w:id="906"/>
      <w:bookmarkEnd w:id="907"/>
      <w:bookmarkEnd w:id="908"/>
    </w:p>
    <w:p w14:paraId="0BD84323">
      <w:pPr>
        <w:pStyle w:val="71"/>
        <w:keepNext w:val="0"/>
        <w:keepLines w:val="0"/>
        <w:pageBreakBefore w:val="0"/>
        <w:widowControl w:val="0"/>
        <w:numPr>
          <w:ilvl w:val="0"/>
          <w:numId w:val="0"/>
        </w:numPr>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bidi="ar-SA"/>
          <w14:textFill>
            <w14:solidFill>
              <w14:schemeClr w14:val="tx1"/>
            </w14:solidFill>
          </w14:textFill>
        </w:rPr>
        <w:t>1.</w:t>
      </w:r>
      <w:r>
        <w:rPr>
          <w:rFonts w:hint="eastAsia" w:ascii="宋体" w:hAnsi="宋体" w:eastAsia="宋体" w:cs="宋体"/>
          <w:b w:val="0"/>
          <w:bCs/>
          <w:color w:val="000000" w:themeColor="text1"/>
          <w:sz w:val="28"/>
          <w:szCs w:val="28"/>
          <w14:textFill>
            <w14:solidFill>
              <w14:schemeClr w14:val="tx1"/>
            </w14:solidFill>
          </w14:textFill>
        </w:rPr>
        <w:t>委托书</w:t>
      </w:r>
      <w:r>
        <w:rPr>
          <w:rFonts w:hint="eastAsia" w:ascii="宋体" w:hAnsi="宋体" w:eastAsia="宋体" w:cs="宋体"/>
          <w:b w:val="0"/>
          <w:bCs/>
          <w:color w:val="000000" w:themeColor="text1"/>
          <w:sz w:val="28"/>
          <w:szCs w:val="28"/>
          <w:lang w:eastAsia="zh-CN"/>
          <w14:textFill>
            <w14:solidFill>
              <w14:schemeClr w14:val="tx1"/>
            </w14:solidFill>
          </w14:textFill>
        </w:rPr>
        <w:t>、</w:t>
      </w:r>
      <w:r>
        <w:rPr>
          <w:rFonts w:hint="eastAsia" w:ascii="宋体" w:hAnsi="宋体" w:eastAsia="宋体" w:cs="宋体"/>
          <w:b w:val="0"/>
          <w:bCs/>
          <w:color w:val="000000" w:themeColor="text1"/>
          <w:sz w:val="28"/>
          <w:szCs w:val="28"/>
          <w:lang w:val="en-US" w:eastAsia="zh-CN"/>
          <w14:textFill>
            <w14:solidFill>
              <w14:schemeClr w14:val="tx1"/>
            </w14:solidFill>
          </w14:textFill>
        </w:rPr>
        <w:t>承诺书</w:t>
      </w:r>
    </w:p>
    <w:p w14:paraId="137DEFED">
      <w:pPr>
        <w:pStyle w:val="71"/>
        <w:keepNext w:val="0"/>
        <w:keepLines w:val="0"/>
        <w:pageBreakBefore w:val="0"/>
        <w:widowControl w:val="0"/>
        <w:numPr>
          <w:ilvl w:val="0"/>
          <w:numId w:val="0"/>
        </w:numPr>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lang w:val="en-US" w:eastAsia="zh-CN" w:bidi="ar-SA"/>
          <w14:textFill>
            <w14:solidFill>
              <w14:schemeClr w14:val="tx1"/>
            </w14:solidFill>
          </w14:textFill>
        </w:rPr>
        <w:t>2.</w:t>
      </w:r>
      <w:r>
        <w:rPr>
          <w:rFonts w:hint="eastAsia" w:ascii="宋体" w:hAnsi="宋体" w:eastAsia="宋体" w:cs="宋体"/>
          <w:b w:val="0"/>
          <w:bCs/>
          <w:color w:val="000000" w:themeColor="text1"/>
          <w:sz w:val="28"/>
          <w:szCs w:val="28"/>
          <w:lang w:val="en-US" w:eastAsia="zh-CN" w:bidi="ar-SA"/>
          <w14:textFill>
            <w14:solidFill>
              <w14:schemeClr w14:val="tx1"/>
            </w14:solidFill>
          </w14:textFill>
        </w:rPr>
        <w:t>营业执照</w:t>
      </w:r>
    </w:p>
    <w:p w14:paraId="3FF3D2AC">
      <w:pPr>
        <w:pStyle w:val="71"/>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3</w:t>
      </w:r>
      <w:r>
        <w:rPr>
          <w:rFonts w:hint="eastAsia" w:ascii="宋体" w:hAnsi="宋体" w:eastAsia="宋体" w:cs="宋体"/>
          <w:b w:val="0"/>
          <w:bCs/>
          <w:color w:val="000000" w:themeColor="text1"/>
          <w:sz w:val="28"/>
          <w:szCs w:val="28"/>
          <w:lang w:val="en-US" w:eastAsia="zh-CN"/>
          <w14:textFill>
            <w14:solidFill>
              <w14:schemeClr w14:val="tx1"/>
            </w14:solidFill>
          </w14:textFill>
        </w:rPr>
        <w:t>.</w:t>
      </w:r>
      <w:r>
        <w:rPr>
          <w:rFonts w:hint="eastAsia" w:ascii="宋体" w:hAnsi="宋体" w:eastAsia="宋体" w:cs="宋体"/>
          <w:b w:val="0"/>
          <w:bCs/>
          <w:color w:val="000000" w:themeColor="text1"/>
          <w:sz w:val="28"/>
          <w:szCs w:val="28"/>
          <w:lang w:val="en-US" w:eastAsia="zh-CN"/>
          <w14:textFill>
            <w14:solidFill>
              <w14:schemeClr w14:val="tx1"/>
            </w14:solidFill>
          </w14:textFill>
        </w:rPr>
        <w:t>厂房租赁合同</w:t>
      </w:r>
    </w:p>
    <w:p w14:paraId="03893982">
      <w:pPr>
        <w:pStyle w:val="71"/>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4</w:t>
      </w:r>
      <w:r>
        <w:rPr>
          <w:rFonts w:hint="eastAsia" w:ascii="宋体" w:hAnsi="宋体" w:eastAsia="宋体" w:cs="宋体"/>
          <w:b w:val="0"/>
          <w:bCs/>
          <w:color w:val="000000" w:themeColor="text1"/>
          <w:sz w:val="28"/>
          <w:szCs w:val="28"/>
          <w:lang w:val="en-US" w:eastAsia="zh-CN"/>
          <w14:textFill>
            <w14:solidFill>
              <w14:schemeClr w14:val="tx1"/>
            </w14:solidFill>
          </w14:textFill>
        </w:rPr>
        <w:t>.</w:t>
      </w:r>
      <w:r>
        <w:rPr>
          <w:rFonts w:hint="eastAsia" w:ascii="宋体" w:hAnsi="宋体" w:eastAsia="宋体" w:cs="宋体"/>
          <w:b w:val="0"/>
          <w:bCs/>
          <w:color w:val="000000" w:themeColor="text1"/>
          <w:sz w:val="28"/>
          <w:szCs w:val="28"/>
          <w:lang w:val="en-US" w:eastAsia="zh-CN"/>
          <w14:textFill>
            <w14:solidFill>
              <w14:schemeClr w14:val="tx1"/>
            </w14:solidFill>
          </w14:textFill>
        </w:rPr>
        <w:t>起重机械租赁协议</w:t>
      </w:r>
    </w:p>
    <w:p w14:paraId="23B3ACE7">
      <w:pPr>
        <w:pStyle w:val="71"/>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5</w:t>
      </w:r>
      <w:r>
        <w:rPr>
          <w:rFonts w:hint="eastAsia" w:ascii="宋体" w:hAnsi="宋体" w:eastAsia="宋体" w:cs="宋体"/>
          <w:b w:val="0"/>
          <w:bCs/>
          <w:color w:val="000000" w:themeColor="text1"/>
          <w:sz w:val="28"/>
          <w:szCs w:val="28"/>
          <w14:textFill>
            <w14:solidFill>
              <w14:schemeClr w14:val="tx1"/>
            </w14:solidFill>
          </w14:textFill>
        </w:rPr>
        <w:t>.</w:t>
      </w:r>
      <w:r>
        <w:rPr>
          <w:rFonts w:hint="eastAsia" w:ascii="宋体" w:hAnsi="宋体" w:eastAsia="宋体" w:cs="宋体"/>
          <w:b w:val="0"/>
          <w:bCs/>
          <w:color w:val="000000" w:themeColor="text1"/>
          <w:sz w:val="28"/>
          <w:szCs w:val="28"/>
          <w:lang w:val="en-US" w:eastAsia="zh-CN"/>
          <w14:textFill>
            <w14:solidFill>
              <w14:schemeClr w14:val="tx1"/>
            </w14:solidFill>
          </w14:textFill>
        </w:rPr>
        <w:t>起重机械检验报告</w:t>
      </w:r>
    </w:p>
    <w:p w14:paraId="4FDE9418">
      <w:pPr>
        <w:pStyle w:val="71"/>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6</w:t>
      </w:r>
      <w:r>
        <w:rPr>
          <w:rFonts w:hint="eastAsia" w:ascii="宋体" w:hAnsi="宋体" w:eastAsia="宋体" w:cs="宋体"/>
          <w:b w:val="0"/>
          <w:bCs/>
          <w:color w:val="000000" w:themeColor="text1"/>
          <w:sz w:val="28"/>
          <w:szCs w:val="28"/>
          <w:lang w:val="en-US" w:eastAsia="zh-CN"/>
          <w14:textFill>
            <w14:solidFill>
              <w14:schemeClr w14:val="tx1"/>
            </w14:solidFill>
          </w14:textFill>
        </w:rPr>
        <w:t>.</w:t>
      </w:r>
      <w:r>
        <w:rPr>
          <w:rFonts w:hint="eastAsia" w:ascii="宋体" w:hAnsi="宋体" w:eastAsia="宋体" w:cs="宋体"/>
          <w:b w:val="0"/>
          <w:bCs/>
          <w:color w:val="000000" w:themeColor="text1"/>
          <w:sz w:val="28"/>
          <w:szCs w:val="28"/>
          <w:lang w:val="en-US" w:eastAsia="zh-CN"/>
          <w14:textFill>
            <w14:solidFill>
              <w14:schemeClr w14:val="tx1"/>
            </w14:solidFill>
          </w14:textFill>
        </w:rPr>
        <w:t>安全领导小组成立文件、主要负责人、安全员任命文件</w:t>
      </w:r>
    </w:p>
    <w:p w14:paraId="40B56DAC">
      <w:pPr>
        <w:pStyle w:val="71"/>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7.主要负责人、安全生产管理人员证书</w:t>
      </w:r>
    </w:p>
    <w:p w14:paraId="0E6BBC79">
      <w:pPr>
        <w:pStyle w:val="71"/>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8.低压电工操作证</w:t>
      </w:r>
    </w:p>
    <w:p w14:paraId="6D189690">
      <w:pPr>
        <w:pStyle w:val="71"/>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9.工伤保险购买凭证</w:t>
      </w:r>
    </w:p>
    <w:p w14:paraId="106D9E87">
      <w:pPr>
        <w:pStyle w:val="71"/>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10</w:t>
      </w:r>
      <w:r>
        <w:rPr>
          <w:rFonts w:hint="eastAsia" w:ascii="宋体" w:hAnsi="宋体" w:eastAsia="宋体" w:cs="宋体"/>
          <w:b w:val="0"/>
          <w:bCs/>
          <w:color w:val="000000" w:themeColor="text1"/>
          <w:sz w:val="28"/>
          <w:szCs w:val="28"/>
          <w:lang w:val="en-US" w:eastAsia="zh-CN"/>
          <w14:textFill>
            <w14:solidFill>
              <w14:schemeClr w14:val="tx1"/>
            </w14:solidFill>
          </w14:textFill>
        </w:rPr>
        <w:t>.</w:t>
      </w:r>
      <w:r>
        <w:rPr>
          <w:rFonts w:hint="eastAsia" w:ascii="宋体" w:hAnsi="宋体" w:eastAsia="宋体" w:cs="宋体"/>
          <w:b w:val="0"/>
          <w:bCs/>
          <w:color w:val="000000" w:themeColor="text1"/>
          <w:sz w:val="28"/>
          <w:szCs w:val="28"/>
          <w14:textFill>
            <w14:solidFill>
              <w14:schemeClr w14:val="tx1"/>
            </w14:solidFill>
          </w14:textFill>
        </w:rPr>
        <w:t>安全管理制度、安全生产责任制目录</w:t>
      </w:r>
    </w:p>
    <w:p w14:paraId="79D58543">
      <w:pPr>
        <w:pStyle w:val="71"/>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11</w:t>
      </w:r>
      <w:r>
        <w:rPr>
          <w:rFonts w:hint="eastAsia" w:ascii="宋体" w:hAnsi="宋体" w:eastAsia="宋体" w:cs="宋体"/>
          <w:b w:val="0"/>
          <w:bCs/>
          <w:color w:val="000000" w:themeColor="text1"/>
          <w:sz w:val="28"/>
          <w:szCs w:val="28"/>
          <w:lang w:val="en-US" w:eastAsia="zh-CN"/>
          <w14:textFill>
            <w14:solidFill>
              <w14:schemeClr w14:val="tx1"/>
            </w14:solidFill>
          </w14:textFill>
        </w:rPr>
        <w:t>.安全教育培训记录</w:t>
      </w:r>
    </w:p>
    <w:p w14:paraId="714BCF9F">
      <w:pPr>
        <w:pStyle w:val="71"/>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12.安全生产检查记录</w:t>
      </w:r>
      <w:r>
        <w:rPr>
          <w:rFonts w:hint="eastAsia" w:ascii="宋体" w:hAnsi="宋体" w:eastAsia="宋体" w:cs="宋体"/>
          <w:b w:val="0"/>
          <w:bCs/>
          <w:color w:val="000000" w:themeColor="text1"/>
          <w:sz w:val="28"/>
          <w:szCs w:val="28"/>
          <w:lang w:val="en-US" w:eastAsia="zh-CN"/>
          <w14:textFill>
            <w14:solidFill>
              <w14:schemeClr w14:val="tx1"/>
            </w14:solidFill>
          </w14:textFill>
        </w:rPr>
        <w:t xml:space="preserve"> </w:t>
      </w:r>
    </w:p>
    <w:p w14:paraId="460F36C7">
      <w:pPr>
        <w:pStyle w:val="71"/>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13</w:t>
      </w:r>
      <w:r>
        <w:rPr>
          <w:rFonts w:hint="eastAsia" w:ascii="宋体" w:hAnsi="宋体" w:eastAsia="宋体" w:cs="宋体"/>
          <w:b w:val="0"/>
          <w:bCs/>
          <w:color w:val="000000" w:themeColor="text1"/>
          <w:sz w:val="28"/>
          <w:szCs w:val="28"/>
          <w:lang w:val="en-US" w:eastAsia="zh-CN"/>
          <w14:textFill>
            <w14:solidFill>
              <w14:schemeClr w14:val="tx1"/>
            </w14:solidFill>
          </w14:textFill>
        </w:rPr>
        <w:t>.</w:t>
      </w:r>
      <w:r>
        <w:rPr>
          <w:rFonts w:hint="eastAsia" w:ascii="宋体" w:hAnsi="宋体" w:eastAsia="宋体" w:cs="宋体"/>
          <w:b w:val="0"/>
          <w:bCs/>
          <w:color w:val="000000" w:themeColor="text1"/>
          <w:sz w:val="28"/>
          <w:szCs w:val="28"/>
          <w14:textFill>
            <w14:solidFill>
              <w14:schemeClr w14:val="tx1"/>
            </w14:solidFill>
          </w14:textFill>
        </w:rPr>
        <w:t>劳保用品发放记录</w:t>
      </w:r>
    </w:p>
    <w:p w14:paraId="1D2EFCB7">
      <w:pPr>
        <w:pStyle w:val="71"/>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w:t>
      </w:r>
      <w:r>
        <w:rPr>
          <w:rFonts w:hint="eastAsia" w:ascii="宋体" w:hAnsi="宋体" w:eastAsia="宋体" w:cs="宋体"/>
          <w:b w:val="0"/>
          <w:bCs/>
          <w:color w:val="000000" w:themeColor="text1"/>
          <w:sz w:val="28"/>
          <w:szCs w:val="28"/>
          <w:lang w:val="en-US" w:eastAsia="zh-CN"/>
          <w14:textFill>
            <w14:solidFill>
              <w14:schemeClr w14:val="tx1"/>
            </w14:solidFill>
          </w14:textFill>
        </w:rPr>
        <w:t>4</w:t>
      </w:r>
      <w:r>
        <w:rPr>
          <w:rFonts w:hint="eastAsia" w:ascii="宋体" w:hAnsi="宋体" w:eastAsia="宋体" w:cs="宋体"/>
          <w:b w:val="0"/>
          <w:bCs/>
          <w:color w:val="000000" w:themeColor="text1"/>
          <w:sz w:val="28"/>
          <w:szCs w:val="28"/>
          <w14:textFill>
            <w14:solidFill>
              <w14:schemeClr w14:val="tx1"/>
            </w14:solidFill>
          </w14:textFill>
        </w:rPr>
        <w:t>.</w:t>
      </w:r>
      <w:r>
        <w:rPr>
          <w:rFonts w:hint="eastAsia" w:ascii="宋体" w:hAnsi="宋体" w:eastAsia="宋体" w:cs="宋体"/>
          <w:b w:val="0"/>
          <w:bCs/>
          <w:color w:val="000000" w:themeColor="text1"/>
          <w:sz w:val="28"/>
          <w:szCs w:val="28"/>
          <w:lang w:val="en-US" w:eastAsia="zh-CN"/>
          <w14:textFill>
            <w14:solidFill>
              <w14:schemeClr w14:val="tx1"/>
            </w14:solidFill>
          </w14:textFill>
        </w:rPr>
        <w:t>隐患整改报告</w:t>
      </w:r>
    </w:p>
    <w:p w14:paraId="185DE209">
      <w:pPr>
        <w:pStyle w:val="71"/>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w:t>
      </w:r>
      <w:r>
        <w:rPr>
          <w:rFonts w:hint="eastAsia" w:ascii="宋体" w:hAnsi="宋体" w:eastAsia="宋体" w:cs="宋体"/>
          <w:b w:val="0"/>
          <w:bCs/>
          <w:color w:val="000000" w:themeColor="text1"/>
          <w:sz w:val="28"/>
          <w:szCs w:val="28"/>
          <w:lang w:val="en-US" w:eastAsia="zh-CN"/>
          <w14:textFill>
            <w14:solidFill>
              <w14:schemeClr w14:val="tx1"/>
            </w14:solidFill>
          </w14:textFill>
        </w:rPr>
        <w:t>5</w:t>
      </w:r>
      <w:r>
        <w:rPr>
          <w:rFonts w:hint="eastAsia" w:ascii="宋体" w:hAnsi="宋体" w:eastAsia="宋体" w:cs="宋体"/>
          <w:b w:val="0"/>
          <w:bCs/>
          <w:color w:val="000000" w:themeColor="text1"/>
          <w:sz w:val="28"/>
          <w:szCs w:val="28"/>
          <w14:textFill>
            <w14:solidFill>
              <w14:schemeClr w14:val="tx1"/>
            </w14:solidFill>
          </w14:textFill>
        </w:rPr>
        <w:t>.应急预案备案登记表</w:t>
      </w:r>
    </w:p>
    <w:p w14:paraId="5D731042">
      <w:pPr>
        <w:pStyle w:val="71"/>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w:t>
      </w:r>
      <w:r>
        <w:rPr>
          <w:rFonts w:hint="eastAsia" w:ascii="宋体" w:hAnsi="宋体" w:eastAsia="宋体" w:cs="宋体"/>
          <w:b w:val="0"/>
          <w:bCs/>
          <w:color w:val="000000" w:themeColor="text1"/>
          <w:sz w:val="28"/>
          <w:szCs w:val="28"/>
          <w:lang w:val="en-US" w:eastAsia="zh-CN"/>
          <w14:textFill>
            <w14:solidFill>
              <w14:schemeClr w14:val="tx1"/>
            </w14:solidFill>
          </w14:textFill>
        </w:rPr>
        <w:t>6</w:t>
      </w:r>
      <w:r>
        <w:rPr>
          <w:rFonts w:hint="eastAsia" w:ascii="宋体" w:hAnsi="宋体" w:eastAsia="宋体" w:cs="宋体"/>
          <w:b w:val="0"/>
          <w:bCs/>
          <w:color w:val="000000" w:themeColor="text1"/>
          <w:sz w:val="28"/>
          <w:szCs w:val="28"/>
          <w:lang w:val="en-US" w:eastAsia="zh-CN"/>
          <w14:textFill>
            <w14:solidFill>
              <w14:schemeClr w14:val="tx1"/>
            </w14:solidFill>
          </w14:textFill>
        </w:rPr>
        <w:t>.应急</w:t>
      </w:r>
      <w:r>
        <w:rPr>
          <w:rFonts w:hint="eastAsia" w:ascii="宋体" w:hAnsi="宋体" w:eastAsia="宋体" w:cs="宋体"/>
          <w:b w:val="0"/>
          <w:bCs/>
          <w:color w:val="000000" w:themeColor="text1"/>
          <w:sz w:val="28"/>
          <w:szCs w:val="28"/>
          <w:lang w:val="en-US" w:eastAsia="zh-CN"/>
          <w14:textFill>
            <w14:solidFill>
              <w14:schemeClr w14:val="tx1"/>
            </w14:solidFill>
          </w14:textFill>
        </w:rPr>
        <w:t>预案</w:t>
      </w:r>
      <w:r>
        <w:rPr>
          <w:rFonts w:hint="eastAsia" w:ascii="宋体" w:hAnsi="宋体" w:eastAsia="宋体" w:cs="宋体"/>
          <w:b w:val="0"/>
          <w:bCs/>
          <w:color w:val="000000" w:themeColor="text1"/>
          <w:sz w:val="28"/>
          <w:szCs w:val="28"/>
          <w:lang w:val="en-US" w:eastAsia="zh-CN"/>
          <w14:textFill>
            <w14:solidFill>
              <w14:schemeClr w14:val="tx1"/>
            </w14:solidFill>
          </w14:textFill>
        </w:rPr>
        <w:t>演练记录</w:t>
      </w:r>
      <w:r>
        <w:rPr>
          <w:rFonts w:hint="eastAsia" w:ascii="宋体" w:hAnsi="宋体" w:eastAsia="宋体" w:cs="宋体"/>
          <w:b w:val="0"/>
          <w:bCs/>
          <w:color w:val="000000" w:themeColor="text1"/>
          <w:sz w:val="28"/>
          <w:szCs w:val="28"/>
          <w:lang w:val="en-US" w:eastAsia="zh-CN"/>
          <w14:textFill>
            <w14:solidFill>
              <w14:schemeClr w14:val="tx1"/>
            </w14:solidFill>
          </w14:textFill>
        </w:rPr>
        <w:t>表</w:t>
      </w:r>
    </w:p>
    <w:p w14:paraId="405F3EC2">
      <w:pPr>
        <w:pStyle w:val="71"/>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w:t>
      </w:r>
      <w:r>
        <w:rPr>
          <w:rFonts w:hint="eastAsia" w:ascii="宋体" w:hAnsi="宋体" w:eastAsia="宋体" w:cs="宋体"/>
          <w:b w:val="0"/>
          <w:bCs/>
          <w:color w:val="000000" w:themeColor="text1"/>
          <w:sz w:val="28"/>
          <w:szCs w:val="28"/>
          <w:lang w:val="en-US" w:eastAsia="zh-CN"/>
          <w14:textFill>
            <w14:solidFill>
              <w14:schemeClr w14:val="tx1"/>
            </w14:solidFill>
          </w14:textFill>
        </w:rPr>
        <w:t>7</w:t>
      </w:r>
      <w:r>
        <w:rPr>
          <w:rFonts w:hint="eastAsia" w:ascii="宋体" w:hAnsi="宋体" w:eastAsia="宋体" w:cs="宋体"/>
          <w:b w:val="0"/>
          <w:bCs/>
          <w:color w:val="000000" w:themeColor="text1"/>
          <w:sz w:val="28"/>
          <w:szCs w:val="28"/>
          <w:lang w:val="en-US" w:eastAsia="zh-CN"/>
          <w14:textFill>
            <w14:solidFill>
              <w14:schemeClr w14:val="tx1"/>
            </w14:solidFill>
          </w14:textFill>
        </w:rPr>
        <w:t>.</w:t>
      </w:r>
      <w:r>
        <w:rPr>
          <w:rFonts w:hint="eastAsia" w:ascii="宋体" w:hAnsi="宋体" w:eastAsia="宋体" w:cs="宋体"/>
          <w:b w:val="0"/>
          <w:bCs/>
          <w:color w:val="000000" w:themeColor="text1"/>
          <w:sz w:val="28"/>
          <w:szCs w:val="28"/>
          <w:lang w:val="en-US" w:eastAsia="zh-CN"/>
          <w14:textFill>
            <w14:solidFill>
              <w14:schemeClr w14:val="tx1"/>
            </w14:solidFill>
          </w14:textFill>
        </w:rPr>
        <w:t>防雷检测报告</w:t>
      </w:r>
    </w:p>
    <w:p w14:paraId="7C20EAAE">
      <w:pPr>
        <w:pStyle w:val="4"/>
        <w:keepNext/>
        <w:keepLines/>
        <w:pageBreakBefore w:val="0"/>
        <w:widowControl w:val="0"/>
        <w:kinsoku/>
        <w:wordWrap/>
        <w:overflowPunct/>
        <w:topLinePunct w:val="0"/>
        <w:autoSpaceDE/>
        <w:autoSpaceDN/>
        <w:bidi w:val="0"/>
        <w:adjustRightInd/>
        <w:snapToGrid w:val="0"/>
        <w:spacing w:beforeLines="50" w:afterLines="50" w:line="520" w:lineRule="exact"/>
        <w:jc w:val="both"/>
        <w:textAlignment w:val="auto"/>
        <w:rPr>
          <w:rFonts w:hint="eastAsia" w:ascii="宋体" w:hAnsi="宋体" w:eastAsia="宋体" w:cs="宋体"/>
          <w:color w:val="000000" w:themeColor="text1"/>
          <w:sz w:val="28"/>
          <w:szCs w:val="28"/>
          <w14:textFill>
            <w14:solidFill>
              <w14:schemeClr w14:val="tx1"/>
            </w14:solidFill>
          </w14:textFill>
        </w:rPr>
      </w:pPr>
      <w:bookmarkStart w:id="910" w:name="_Toc5960"/>
      <w:bookmarkStart w:id="911" w:name="_Toc27181"/>
      <w:r>
        <w:rPr>
          <w:rFonts w:hint="eastAsia" w:ascii="宋体" w:hAnsi="宋体" w:eastAsia="宋体" w:cs="宋体"/>
          <w:color w:val="000000" w:themeColor="text1"/>
          <w:sz w:val="28"/>
          <w:szCs w:val="28"/>
          <w14:textFill>
            <w14:solidFill>
              <w14:schemeClr w14:val="tx1"/>
            </w14:solidFill>
          </w14:textFill>
        </w:rPr>
        <w:t>附图</w:t>
      </w:r>
      <w:bookmarkEnd w:id="909"/>
      <w:bookmarkEnd w:id="910"/>
      <w:bookmarkEnd w:id="911"/>
      <w:bookmarkStart w:id="912" w:name="_Toc15683"/>
    </w:p>
    <w:p w14:paraId="5D0D943A">
      <w:pPr>
        <w:pStyle w:val="71"/>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jc w:val="both"/>
        <w:textAlignment w:val="auto"/>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1.总</w:t>
      </w:r>
      <w:r>
        <w:rPr>
          <w:rFonts w:hint="eastAsia" w:ascii="宋体" w:hAnsi="宋体" w:eastAsia="宋体" w:cs="宋体"/>
          <w:b w:val="0"/>
          <w:bCs/>
          <w:color w:val="000000" w:themeColor="text1"/>
          <w:sz w:val="28"/>
          <w:szCs w:val="28"/>
          <w:lang w:val="en-US" w:eastAsia="zh-CN"/>
          <w14:textFill>
            <w14:solidFill>
              <w14:schemeClr w14:val="tx1"/>
            </w14:solidFill>
          </w14:textFill>
        </w:rPr>
        <w:t>平面布置</w:t>
      </w:r>
      <w:bookmarkEnd w:id="912"/>
      <w:r>
        <w:rPr>
          <w:rFonts w:hint="eastAsia" w:ascii="宋体" w:hAnsi="宋体" w:eastAsia="宋体" w:cs="宋体"/>
          <w:b w:val="0"/>
          <w:bCs/>
          <w:color w:val="000000" w:themeColor="text1"/>
          <w:sz w:val="28"/>
          <w:szCs w:val="28"/>
          <w:lang w:val="en-US" w:eastAsia="zh-CN"/>
          <w14:textFill>
            <w14:solidFill>
              <w14:schemeClr w14:val="tx1"/>
            </w14:solidFill>
          </w14:textFill>
        </w:rPr>
        <w:t>图</w:t>
      </w:r>
    </w:p>
    <w:sectPr>
      <w:footerReference r:id="rId8" w:type="default"/>
      <w:pgSz w:w="11906" w:h="16838"/>
      <w:pgMar w:top="1587" w:right="1701" w:bottom="1701" w:left="1701" w:header="851" w:footer="992" w:gutter="0"/>
      <w:pgBorders>
        <w:top w:val="none" w:sz="0" w:space="0"/>
        <w:left w:val="none" w:sz="0" w:space="0"/>
        <w:bottom w:val="none" w:sz="0" w:space="0"/>
        <w:right w:val="none" w:sz="0" w:space="0"/>
      </w:pgBorders>
      <w:pgNumType w:fmt="decimal"/>
      <w:cols w:space="720" w:num="1"/>
      <w:docGrid w:type="lines" w:linePitch="33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rebuchet MS">
    <w:panose1 w:val="020B0603020202020204"/>
    <w:charset w:val="00"/>
    <w:family w:val="swiss"/>
    <w:pitch w:val="default"/>
    <w:sig w:usb0="00000687" w:usb1="00000000" w:usb2="00000000" w:usb3="00000000" w:csb0="2000009F" w:csb1="00000000"/>
  </w:font>
  <w:font w:name="Tahoma">
    <w:panose1 w:val="020B0604030504040204"/>
    <w:charset w:val="00"/>
    <w:family w:val="swiss"/>
    <w:pitch w:val="default"/>
    <w:sig w:usb0="E1002EFF" w:usb1="C000605B" w:usb2="00000029" w:usb3="00000000" w:csb0="200101FF" w:csb1="2028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Angsana New">
    <w:altName w:val="Times New Roman"/>
    <w:panose1 w:val="02020603050405020304"/>
    <w:charset w:val="00"/>
    <w:family w:val="roman"/>
    <w:pitch w:val="default"/>
    <w:sig w:usb0="00000000" w:usb1="00000000" w:usb2="00000000" w:usb3="00000000" w:csb0="00010001" w:csb1="00000000"/>
  </w:font>
  <w:font w:name="隶书">
    <w:panose1 w:val="02010509060101010101"/>
    <w:charset w:val="86"/>
    <w:family w:val="modern"/>
    <w:pitch w:val="default"/>
    <w:sig w:usb0="00000001" w:usb1="080E0000" w:usb2="00000000" w:usb3="00000000" w:csb0="00040000" w:csb1="00000000"/>
  </w:font>
  <w:font w:name="..ì.">
    <w:altName w:val="宋体"/>
    <w:panose1 w:val="00000000000000000000"/>
    <w:charset w:val="86"/>
    <w:family w:val="swiss"/>
    <w:pitch w:val="default"/>
    <w:sig w:usb0="00000000" w:usb1="00000000" w:usb2="00000000" w:usb3="00000000" w:csb0="00040000" w:csb1="00000000"/>
  </w:font>
  <w:font w:name="瀹嬩綋">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A5871">
    <w:pPr>
      <w:pStyle w:val="33"/>
      <w:tabs>
        <w:tab w:val="center" w:pos="4252"/>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A0AF5F">
                          <w:pPr>
                            <w:pStyle w:val="33"/>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7DA0AF5F">
                    <w:pPr>
                      <w:pStyle w:val="33"/>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rPr>
      <w:t>昭通市鼎安科技有限公司</w: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73B2D7">
    <w:pPr>
      <w:pStyle w:val="3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65E6C1">
                          <w:pPr>
                            <w:pStyle w:val="33"/>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3o+8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wpMUyj4pfv3y4/&#10;fl1+fiU4g0C1C3PE7RwiY/PWNmib4TzgMPFuSq/TF4wI/JD3fJVXNJHwdGk2nc3GcHH4hg3ws8fr&#10;zof4TlhNkpFTj/q1srLTNsQudAhJ2YzdSKXaGipDapB4/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gvej7zICAABjBAAADgAAAAAAAAABACAAAAAfAQAAZHJzL2Uyb0RvYy54bWxQSwUG&#10;AAAAAAYABgBZAQAAwwUAAAAA&#10;">
              <v:fill on="f" focussize="0,0"/>
              <v:stroke on="f" weight="0.5pt"/>
              <v:imagedata o:title=""/>
              <o:lock v:ext="edit" aspectratio="f"/>
              <v:textbox inset="0mm,0mm,0mm,0mm" style="mso-fit-shape-to-text:t;">
                <w:txbxContent>
                  <w:p w14:paraId="3F65E6C1">
                    <w:pPr>
                      <w:pStyle w:val="33"/>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rPr>
      <w:t>昭通市鼎安</w:t>
    </w:r>
    <w:r>
      <w:rPr>
        <w:rFonts w:hint="eastAsia" w:hAnsi="宋体"/>
      </w:rPr>
      <w:t>科技有限公司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EFFB70">
    <w:pPr>
      <w:pStyle w:val="3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57EE1F5">
                          <w:pPr>
                            <w:snapToGrid w:val="0"/>
                            <w:rPr>
                              <w:sz w:val="18"/>
                            </w:rPr>
                          </w:pPr>
                          <w:r>
                            <w:rPr>
                              <w:sz w:val="18"/>
                            </w:rPr>
                            <w:fldChar w:fldCharType="begin"/>
                          </w:r>
                          <w:r>
                            <w:rPr>
                              <w:sz w:val="18"/>
                            </w:rPr>
                            <w:instrText xml:space="preserve"> PAGE  \* MERGEFORMAT </w:instrText>
                          </w:r>
                          <w:r>
                            <w:rPr>
                              <w:sz w:val="18"/>
                            </w:rPr>
                            <w:fldChar w:fldCharType="separate"/>
                          </w:r>
                          <w:r>
                            <w:rPr>
                              <w:sz w:val="18"/>
                            </w:rPr>
                            <w:t>99</w:t>
                          </w:r>
                          <w:r>
                            <w:rPr>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aGmCS9MAAAAFAQAADwAAAAAAAAABACAAAAAiAAAA&#10;ZHJzL2Rvd25yZXYueG1sUEsBAhQAFAAAAAgAh07iQEhdkjPTAQAApQMAAA4AAAAAAAAAAQAgAAAA&#10;IgEAAGRycy9lMm9Eb2MueG1sUEsFBgAAAAAGAAYAWQEAAGcFAAAAAA==&#10;">
              <v:fill on="f" focussize="0,0"/>
              <v:stroke on="f" weight="1.25pt"/>
              <v:imagedata o:title=""/>
              <o:lock v:ext="edit" aspectratio="f"/>
              <v:textbox inset="0mm,0mm,0mm,0mm" style="mso-fit-shape-to-text:t;">
                <w:txbxContent>
                  <w:p w14:paraId="357EE1F5">
                    <w:pPr>
                      <w:snapToGrid w:val="0"/>
                      <w:rPr>
                        <w:sz w:val="18"/>
                      </w:rPr>
                    </w:pPr>
                    <w:r>
                      <w:rPr>
                        <w:sz w:val="18"/>
                      </w:rPr>
                      <w:fldChar w:fldCharType="begin"/>
                    </w:r>
                    <w:r>
                      <w:rPr>
                        <w:sz w:val="18"/>
                      </w:rPr>
                      <w:instrText xml:space="preserve"> PAGE  \* MERGEFORMAT </w:instrText>
                    </w:r>
                    <w:r>
                      <w:rPr>
                        <w:sz w:val="18"/>
                      </w:rPr>
                      <w:fldChar w:fldCharType="separate"/>
                    </w:r>
                    <w:r>
                      <w:rPr>
                        <w:sz w:val="18"/>
                      </w:rPr>
                      <w:t>99</w:t>
                    </w:r>
                    <w:r>
                      <w:rPr>
                        <w:sz w:val="18"/>
                      </w:rPr>
                      <w:fldChar w:fldCharType="end"/>
                    </w:r>
                  </w:p>
                </w:txbxContent>
              </v:textbox>
            </v:shape>
          </w:pict>
        </mc:Fallback>
      </mc:AlternateContent>
    </w:r>
    <w:r>
      <w:rPr>
        <w:rFonts w:hint="eastAsia"/>
      </w:rPr>
      <w:t>昭通市鼎安</w:t>
    </w:r>
    <w:r>
      <w:rPr>
        <w:rFonts w:hint="eastAsia" w:hAnsi="宋体"/>
      </w:rPr>
      <w:t>科技有限公司</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42549A">
    <w:pPr>
      <w:widowControl w:val="0"/>
      <w:tabs>
        <w:tab w:val="center" w:pos="4153"/>
      </w:tabs>
      <w:snapToGrid w:val="0"/>
      <w:spacing w:line="240" w:lineRule="auto"/>
      <w:ind w:firstLine="0" w:firstLineChars="0"/>
      <w:rPr>
        <w:sz w:val="21"/>
        <w:szCs w:val="21"/>
      </w:rPr>
    </w:pPr>
    <w:r>
      <w:rPr>
        <w:sz w:val="21"/>
      </w:rPr>
      <mc:AlternateContent>
        <mc:Choice Requires="wps">
          <w:drawing>
            <wp:anchor distT="0" distB="0" distL="114300" distR="114300" simplePos="0" relativeHeight="251665408" behindDoc="0" locked="0" layoutInCell="1" allowOverlap="1">
              <wp:simplePos x="0" y="0"/>
              <wp:positionH relativeFrom="margin">
                <wp:posOffset>2169795</wp:posOffset>
              </wp:positionH>
              <wp:positionV relativeFrom="paragraph">
                <wp:posOffset>1905</wp:posOffset>
              </wp:positionV>
              <wp:extent cx="532130" cy="194945"/>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532130" cy="1949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4B36C9">
                          <w:pPr>
                            <w:pStyle w:val="33"/>
                          </w:pPr>
                          <w:r>
                            <w:t xml:space="preserve">第 </w:t>
                          </w:r>
                          <w:r>
                            <w:fldChar w:fldCharType="begin"/>
                          </w:r>
                          <w:r>
                            <w:instrText xml:space="preserve"> PAGE  \* MERGEFORMAT </w:instrText>
                          </w:r>
                          <w:r>
                            <w:fldChar w:fldCharType="separate"/>
                          </w:r>
                          <w:r>
                            <w:t>13</w:t>
                          </w:r>
                          <w:r>
                            <w:fldChar w:fldCharType="end"/>
                          </w:r>
                          <w: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70.85pt;margin-top:0.15pt;height:15.35pt;width:41.9pt;mso-position-horizontal-relative:margin;z-index:251665408;mso-width-relative:page;mso-height-relative:page;" filled="f" stroked="f" coordsize="21600,21600" o:gfxdata="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DeIUPUAAAABwEAAA8AAAAAAAAAAQAgAAAAIgAAAGRycy9kb3ducmV2&#10;LnhtbFBLAQIUABQAAAAIAIdO4kAwc2GBOQIAAGMEAAAOAAAAAAAAAAEAIAAAACMBAABkcnMvZTJv&#10;RG9jLnhtbFBLBQYAAAAABgAGAFkBAADOBQAAAAA=&#10;">
              <v:fill on="f" focussize="0,0"/>
              <v:stroke on="f" weight="0.5pt"/>
              <v:imagedata o:title=""/>
              <o:lock v:ext="edit" aspectratio="f"/>
              <v:textbox inset="0mm,0mm,0mm,0mm">
                <w:txbxContent>
                  <w:p w14:paraId="3A4B36C9">
                    <w:pPr>
                      <w:pStyle w:val="33"/>
                    </w:pPr>
                    <w:r>
                      <w:t xml:space="preserve">第 </w:t>
                    </w:r>
                    <w:r>
                      <w:fldChar w:fldCharType="begin"/>
                    </w:r>
                    <w:r>
                      <w:instrText xml:space="preserve"> PAGE  \* MERGEFORMAT </w:instrText>
                    </w:r>
                    <w:r>
                      <w:fldChar w:fldCharType="separate"/>
                    </w:r>
                    <w:r>
                      <w:t>13</w:t>
                    </w:r>
                    <w:r>
                      <w:fldChar w:fldCharType="end"/>
                    </w:r>
                    <w:r>
                      <w:t xml:space="preserve"> </w:t>
                    </w:r>
                  </w:p>
                </w:txbxContent>
              </v:textbox>
            </v:shape>
          </w:pict>
        </mc:Fallback>
      </mc:AlternateContent>
    </w:r>
    <w:r>
      <w:rPr>
        <w:sz w:val="21"/>
        <w:szCs w:val="21"/>
      </w:rPr>
      <w:t>昭通市鼎安科技有限公司</w:t>
    </w:r>
    <w:r>
      <w:rPr>
        <w:rFonts w:ascii="宋体" w:hAnsi="宋体" w:eastAsia="宋体" w:cs="Times New Roman"/>
        <w:kern w:val="2"/>
        <w:sz w:val="18"/>
        <w:szCs w:val="18"/>
        <w:lang w:val="en-US" w:eastAsia="zh-CN" w:bidi="ar-S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75946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759460" cy="1828800"/>
                      </a:xfrm>
                      <a:prstGeom prst="rect">
                        <a:avLst/>
                      </a:prstGeom>
                      <a:noFill/>
                      <a:ln>
                        <a:noFill/>
                      </a:ln>
                    </wps:spPr>
                    <wps:txbx>
                      <w:txbxContent>
                        <w:p w14:paraId="106EBD75">
                          <w:pPr>
                            <w:widowControl w:val="0"/>
                            <w:snapToGrid w:val="0"/>
                            <w:spacing w:line="360" w:lineRule="auto"/>
                            <w:ind w:firstLine="360" w:firstLineChars="200"/>
                            <w:jc w:val="left"/>
                            <w:rPr>
                              <w:rFonts w:hint="eastAsia" w:ascii="Times New Roman" w:hAnsi="Times New Roman" w:eastAsia="宋体" w:cs="Times New Roman"/>
                              <w:kern w:val="2"/>
                              <w:sz w:val="18"/>
                              <w:szCs w:val="18"/>
                              <w:lang w:val="en-US" w:eastAsia="zh-CN" w:bidi="ar-SA"/>
                            </w:rPr>
                          </w:pPr>
                        </w:p>
                      </w:txbxContent>
                    </wps:txbx>
                    <wps:bodyPr wrap="square" lIns="0" tIns="0" rIns="0" bIns="0" upright="0">
                      <a:spAutoFit/>
                    </wps:bodyPr>
                  </wps:wsp>
                </a:graphicData>
              </a:graphic>
            </wp:anchor>
          </w:drawing>
        </mc:Choice>
        <mc:Fallback>
          <w:pict>
            <v:shape id="_x0000_s1026" o:spid="_x0000_s1026" o:spt="202" type="#_x0000_t202" style="position:absolute;left:0pt;margin-top:0pt;height:144pt;width:59.8pt;mso-position-horizontal:center;mso-position-horizontal-relative:margin;z-index:251664384;mso-width-relative:page;mso-height-relative:page;" filled="f" stroked="f" coordsize="21600,21600" o:gfxdata="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&#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JnED4DTAAAABQEAAA8AAAAAAAAAAQAgAAAAIgAAAGRy&#10;cy9kb3ducmV2LnhtbFBLAQIUABQAAAAIAIdO4kBj0myy0QEAAJwDAAAOAAAAAAAAAAEAIAAAACIB&#10;AABkcnMvZTJvRG9jLnhtbFBLBQYAAAAABgAGAFkBAABlBQAAAAA=&#10;">
              <v:fill on="f" focussize="0,0"/>
              <v:stroke on="f"/>
              <v:imagedata o:title=""/>
              <o:lock v:ext="edit" aspectratio="f"/>
              <v:textbox inset="0mm,0mm,0mm,0mm" style="mso-fit-shape-to-text:t;">
                <w:txbxContent>
                  <w:p w14:paraId="106EBD75">
                    <w:pPr>
                      <w:widowControl w:val="0"/>
                      <w:snapToGrid w:val="0"/>
                      <w:spacing w:line="360" w:lineRule="auto"/>
                      <w:ind w:firstLine="360" w:firstLineChars="200"/>
                      <w:jc w:val="left"/>
                      <w:rPr>
                        <w:rFonts w:hint="eastAsia" w:ascii="Times New Roman" w:hAnsi="Times New Roman" w:eastAsia="宋体" w:cs="Times New Roman"/>
                        <w:kern w:val="2"/>
                        <w:sz w:val="18"/>
                        <w:szCs w:val="18"/>
                        <w:lang w:val="en-US" w:eastAsia="zh-CN" w:bidi="ar-SA"/>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D71DF">
    <w:pPr>
      <w:pStyle w:val="3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146BEF7">
                          <w:pPr>
                            <w:snapToGrid w:val="0"/>
                            <w:rPr>
                              <w:sz w:val="18"/>
                            </w:rPr>
                          </w:pPr>
                          <w:r>
                            <w:rPr>
                              <w:sz w:val="18"/>
                            </w:rPr>
                            <w:fldChar w:fldCharType="begin"/>
                          </w:r>
                          <w:r>
                            <w:rPr>
                              <w:sz w:val="18"/>
                            </w:rPr>
                            <w:instrText xml:space="preserve"> PAGE  \* MERGEFORMAT </w:instrText>
                          </w:r>
                          <w:r>
                            <w:rPr>
                              <w:sz w:val="18"/>
                            </w:rPr>
                            <w:fldChar w:fldCharType="separate"/>
                          </w:r>
                          <w:r>
                            <w:rPr>
                              <w:sz w:val="18"/>
                            </w:rPr>
                            <w:t>105</w:t>
                          </w:r>
                          <w:r>
                            <w:rPr>
                              <w:sz w:val="18"/>
                            </w:rPr>
                            <w:fldChar w:fldCharType="end"/>
                          </w:r>
                        </w:p>
                      </w:txbxContent>
                    </wps:txbx>
                    <wps:bodyPr wrap="none" lIns="0" tIns="0" rIns="0" bIns="0" upright="1">
                      <a:spAutoFit/>
                    </wps:bodyPr>
                  </wps:wsp>
                </a:graphicData>
              </a:graphic>
            </wp:anchor>
          </w:drawing>
        </mc:Choice>
        <mc:Fallback>
          <w:pict>
            <v:shape id="文本框 1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1eXNytIBAACkAwAADgAAAAAAAAABACAAAAAi&#10;AQAAZHJzL2Uyb0RvYy54bWxQSwUGAAAAAAYABgBZAQAAZgUAAAAA&#10;">
              <v:fill on="f" focussize="0,0"/>
              <v:stroke on="f" weight="1.25pt"/>
              <v:imagedata o:title=""/>
              <o:lock v:ext="edit" aspectratio="f"/>
              <v:textbox inset="0mm,0mm,0mm,0mm" style="mso-fit-shape-to-text:t;">
                <w:txbxContent>
                  <w:p w14:paraId="3146BEF7">
                    <w:pPr>
                      <w:snapToGrid w:val="0"/>
                      <w:rPr>
                        <w:sz w:val="18"/>
                      </w:rPr>
                    </w:pPr>
                    <w:r>
                      <w:rPr>
                        <w:sz w:val="18"/>
                      </w:rPr>
                      <w:fldChar w:fldCharType="begin"/>
                    </w:r>
                    <w:r>
                      <w:rPr>
                        <w:sz w:val="18"/>
                      </w:rPr>
                      <w:instrText xml:space="preserve"> PAGE  \* MERGEFORMAT </w:instrText>
                    </w:r>
                    <w:r>
                      <w:rPr>
                        <w:sz w:val="18"/>
                      </w:rPr>
                      <w:fldChar w:fldCharType="separate"/>
                    </w:r>
                    <w:r>
                      <w:rPr>
                        <w:sz w:val="18"/>
                      </w:rPr>
                      <w:t>105</w:t>
                    </w:r>
                    <w:r>
                      <w:rPr>
                        <w:sz w:val="18"/>
                      </w:rPr>
                      <w:fldChar w:fldCharType="end"/>
                    </w:r>
                  </w:p>
                </w:txbxContent>
              </v:textbox>
            </v:shape>
          </w:pict>
        </mc:Fallback>
      </mc:AlternateContent>
    </w:r>
    <w:r>
      <w:rPr>
        <w:rFonts w:hint="eastAsia"/>
      </w:rPr>
      <w:t>昭通市鼎安科技有限公司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B61F5">
    <w:pPr>
      <w:pStyle w:val="34"/>
      <w:rPr>
        <w:rFonts w:hint="eastAsia"/>
        <w:sz w:val="21"/>
        <w:szCs w:val="21"/>
      </w:rPr>
    </w:pPr>
    <w:r>
      <w:rPr>
        <w:rFonts w:hint="eastAsia"/>
        <w:sz w:val="21"/>
        <w:szCs w:val="21"/>
        <w:lang w:val="en-US" w:eastAsia="zh-CN"/>
      </w:rPr>
      <w:t>玉溪市明哲数控科技有限公司</w:t>
    </w:r>
    <w:r>
      <w:rPr>
        <w:rFonts w:hint="eastAsia"/>
        <w:sz w:val="21"/>
        <w:szCs w:val="21"/>
      </w:rPr>
      <w:t>安全现状评价报告</w:t>
    </w:r>
  </w:p>
  <w:p w14:paraId="2D1B4AE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12A656"/>
    <w:multiLevelType w:val="multilevel"/>
    <w:tmpl w:val="9912A656"/>
    <w:lvl w:ilvl="0" w:tentative="0">
      <w:start w:val="1"/>
      <w:numFmt w:val="decimal"/>
      <w:suff w:val="nothing"/>
      <w:lvlText w:val="%1"/>
      <w:lvlJc w:val="center"/>
      <w:pPr>
        <w:ind w:left="180" w:firstLine="0"/>
      </w:pPr>
      <w:rPr>
        <w:rFonts w:hint="eastAsia"/>
      </w:rPr>
    </w:lvl>
    <w:lvl w:ilvl="1" w:tentative="0">
      <w:start w:val="1"/>
      <w:numFmt w:val="lowerLetter"/>
      <w:lvlText w:val="%2)"/>
      <w:lvlJc w:val="left"/>
      <w:pPr>
        <w:tabs>
          <w:tab w:val="left" w:pos="1020"/>
        </w:tabs>
        <w:ind w:left="1020" w:hanging="420"/>
      </w:pPr>
      <w:rPr>
        <w:rFonts w:hint="eastAsia"/>
      </w:rPr>
    </w:lvl>
    <w:lvl w:ilvl="2" w:tentative="0">
      <w:start w:val="1"/>
      <w:numFmt w:val="lowerRoman"/>
      <w:lvlText w:val="%3."/>
      <w:lvlJc w:val="right"/>
      <w:pPr>
        <w:tabs>
          <w:tab w:val="left" w:pos="1440"/>
        </w:tabs>
        <w:ind w:left="1440" w:hanging="420"/>
      </w:pPr>
      <w:rPr>
        <w:rFonts w:hint="eastAsia"/>
      </w:rPr>
    </w:lvl>
    <w:lvl w:ilvl="3" w:tentative="0">
      <w:start w:val="1"/>
      <w:numFmt w:val="decimal"/>
      <w:lvlText w:val="%4."/>
      <w:lvlJc w:val="left"/>
      <w:pPr>
        <w:tabs>
          <w:tab w:val="left" w:pos="1860"/>
        </w:tabs>
        <w:ind w:left="1860" w:hanging="420"/>
      </w:pPr>
      <w:rPr>
        <w:rFonts w:hint="eastAsia"/>
      </w:rPr>
    </w:lvl>
    <w:lvl w:ilvl="4" w:tentative="0">
      <w:start w:val="1"/>
      <w:numFmt w:val="lowerLetter"/>
      <w:lvlText w:val="%5)"/>
      <w:lvlJc w:val="left"/>
      <w:pPr>
        <w:tabs>
          <w:tab w:val="left" w:pos="2280"/>
        </w:tabs>
        <w:ind w:left="2280" w:hanging="420"/>
      </w:pPr>
      <w:rPr>
        <w:rFonts w:hint="eastAsia"/>
      </w:rPr>
    </w:lvl>
    <w:lvl w:ilvl="5" w:tentative="0">
      <w:start w:val="1"/>
      <w:numFmt w:val="lowerRoman"/>
      <w:lvlText w:val="%6."/>
      <w:lvlJc w:val="right"/>
      <w:pPr>
        <w:tabs>
          <w:tab w:val="left" w:pos="2700"/>
        </w:tabs>
        <w:ind w:left="2700" w:hanging="420"/>
      </w:pPr>
      <w:rPr>
        <w:rFonts w:hint="eastAsia"/>
      </w:rPr>
    </w:lvl>
    <w:lvl w:ilvl="6" w:tentative="0">
      <w:start w:val="1"/>
      <w:numFmt w:val="decimal"/>
      <w:lvlText w:val="%7."/>
      <w:lvlJc w:val="left"/>
      <w:pPr>
        <w:tabs>
          <w:tab w:val="left" w:pos="3120"/>
        </w:tabs>
        <w:ind w:left="3120" w:hanging="420"/>
      </w:pPr>
      <w:rPr>
        <w:rFonts w:hint="eastAsia"/>
      </w:rPr>
    </w:lvl>
    <w:lvl w:ilvl="7" w:tentative="0">
      <w:start w:val="1"/>
      <w:numFmt w:val="lowerLetter"/>
      <w:lvlText w:val="%8)"/>
      <w:lvlJc w:val="left"/>
      <w:pPr>
        <w:tabs>
          <w:tab w:val="left" w:pos="3540"/>
        </w:tabs>
        <w:ind w:left="3540" w:hanging="420"/>
      </w:pPr>
      <w:rPr>
        <w:rFonts w:hint="eastAsia"/>
      </w:rPr>
    </w:lvl>
    <w:lvl w:ilvl="8" w:tentative="0">
      <w:start w:val="1"/>
      <w:numFmt w:val="lowerRoman"/>
      <w:lvlText w:val="%9."/>
      <w:lvlJc w:val="right"/>
      <w:pPr>
        <w:tabs>
          <w:tab w:val="left" w:pos="3960"/>
        </w:tabs>
        <w:ind w:left="3960" w:hanging="420"/>
      </w:pPr>
      <w:rPr>
        <w:rFonts w:hint="eastAsia"/>
      </w:rPr>
    </w:lvl>
  </w:abstractNum>
  <w:abstractNum w:abstractNumId="1">
    <w:nsid w:val="AA978B95"/>
    <w:multiLevelType w:val="singleLevel"/>
    <w:tmpl w:val="AA978B95"/>
    <w:lvl w:ilvl="0" w:tentative="0">
      <w:start w:val="1"/>
      <w:numFmt w:val="decimal"/>
      <w:suff w:val="nothing"/>
      <w:lvlText w:val="%1、"/>
      <w:lvlJc w:val="left"/>
    </w:lvl>
  </w:abstractNum>
  <w:abstractNum w:abstractNumId="2">
    <w:nsid w:val="AFA6CE7F"/>
    <w:multiLevelType w:val="singleLevel"/>
    <w:tmpl w:val="AFA6CE7F"/>
    <w:lvl w:ilvl="0" w:tentative="0">
      <w:start w:val="1"/>
      <w:numFmt w:val="decimal"/>
      <w:suff w:val="nothing"/>
      <w:lvlText w:val="%1．"/>
      <w:lvlJc w:val="left"/>
      <w:pPr>
        <w:ind w:left="0" w:firstLine="400"/>
      </w:pPr>
      <w:rPr>
        <w:rFonts w:hint="default"/>
      </w:rPr>
    </w:lvl>
  </w:abstractNum>
  <w:abstractNum w:abstractNumId="3">
    <w:nsid w:val="C6C0DB08"/>
    <w:multiLevelType w:val="singleLevel"/>
    <w:tmpl w:val="C6C0DB08"/>
    <w:lvl w:ilvl="0" w:tentative="0">
      <w:start w:val="1"/>
      <w:numFmt w:val="decimal"/>
      <w:suff w:val="nothing"/>
      <w:lvlText w:val="%1．"/>
      <w:lvlJc w:val="left"/>
      <w:pPr>
        <w:ind w:left="0" w:firstLine="400"/>
      </w:pPr>
      <w:rPr>
        <w:rFonts w:hint="default"/>
      </w:rPr>
    </w:lvl>
  </w:abstractNum>
  <w:abstractNum w:abstractNumId="4">
    <w:nsid w:val="C804AFA8"/>
    <w:multiLevelType w:val="singleLevel"/>
    <w:tmpl w:val="C804AFA8"/>
    <w:lvl w:ilvl="0" w:tentative="0">
      <w:start w:val="1"/>
      <w:numFmt w:val="decimal"/>
      <w:suff w:val="nothing"/>
      <w:lvlText w:val="%1．"/>
      <w:lvlJc w:val="left"/>
      <w:pPr>
        <w:ind w:left="0" w:firstLine="400"/>
      </w:pPr>
      <w:rPr>
        <w:rFonts w:hint="default"/>
      </w:rPr>
    </w:lvl>
  </w:abstractNum>
  <w:abstractNum w:abstractNumId="5">
    <w:nsid w:val="DE7DA408"/>
    <w:multiLevelType w:val="multilevel"/>
    <w:tmpl w:val="DE7DA408"/>
    <w:lvl w:ilvl="0" w:tentative="0">
      <w:start w:val="1"/>
      <w:numFmt w:val="decimal"/>
      <w:suff w:val="nothing"/>
      <w:lvlText w:val="%1"/>
      <w:lvlJc w:val="left"/>
      <w:pPr>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DF5FF309"/>
    <w:multiLevelType w:val="singleLevel"/>
    <w:tmpl w:val="DF5FF309"/>
    <w:lvl w:ilvl="0" w:tentative="0">
      <w:start w:val="1"/>
      <w:numFmt w:val="decimal"/>
      <w:suff w:val="nothing"/>
      <w:lvlText w:val="%1、"/>
      <w:lvlJc w:val="left"/>
    </w:lvl>
  </w:abstractNum>
  <w:abstractNum w:abstractNumId="7">
    <w:nsid w:val="00000003"/>
    <w:multiLevelType w:val="singleLevel"/>
    <w:tmpl w:val="00000003"/>
    <w:lvl w:ilvl="0" w:tentative="0">
      <w:start w:val="1"/>
      <w:numFmt w:val="decimal"/>
      <w:suff w:val="nothing"/>
      <w:lvlText w:val="%1．"/>
      <w:lvlJc w:val="left"/>
      <w:rPr>
        <w:rFonts w:ascii="宋体" w:hAnsi="宋体" w:eastAsia="宋体"/>
      </w:rPr>
    </w:lvl>
  </w:abstractNum>
  <w:abstractNum w:abstractNumId="8">
    <w:nsid w:val="0000000B"/>
    <w:multiLevelType w:val="singleLevel"/>
    <w:tmpl w:val="0000000B"/>
    <w:lvl w:ilvl="0" w:tentative="0">
      <w:start w:val="1"/>
      <w:numFmt w:val="decimal"/>
      <w:suff w:val="nothing"/>
      <w:lvlText w:val="%1"/>
      <w:lvlJc w:val="left"/>
      <w:pPr>
        <w:ind w:left="425" w:hanging="425"/>
      </w:pPr>
      <w:rPr>
        <w:rFonts w:hint="default"/>
      </w:rPr>
    </w:lvl>
  </w:abstractNum>
  <w:abstractNum w:abstractNumId="9">
    <w:nsid w:val="00000020"/>
    <w:multiLevelType w:val="multilevel"/>
    <w:tmpl w:val="00000020"/>
    <w:lvl w:ilvl="0" w:tentative="0">
      <w:start w:val="1"/>
      <w:numFmt w:val="decimal"/>
      <w:pStyle w:val="246"/>
      <w:lvlText w:val="%1）"/>
      <w:lvlJc w:val="left"/>
      <w:pPr>
        <w:tabs>
          <w:tab w:val="left" w:pos="0"/>
        </w:tabs>
        <w:ind w:left="0" w:firstLine="420"/>
      </w:pPr>
      <w:rPr>
        <w:rFonts w:hint="default" w:ascii="Times New Roman" w:hAnsi="Times New Roman" w:eastAsia="仿宋_GB2312"/>
        <w:b w:val="0"/>
        <w:i w:val="0"/>
        <w:color w:val="auto"/>
        <w:sz w:val="28"/>
        <w:szCs w:val="28"/>
      </w:rPr>
    </w:lvl>
    <w:lvl w:ilvl="1" w:tentative="0">
      <w:start w:val="1"/>
      <w:numFmt w:val="decimal"/>
      <w:lvlText w:val="（%2）"/>
      <w:lvlJc w:val="left"/>
      <w:pPr>
        <w:tabs>
          <w:tab w:val="left" w:pos="1980"/>
        </w:tabs>
        <w:ind w:left="198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0000021"/>
    <w:multiLevelType w:val="multilevel"/>
    <w:tmpl w:val="00000021"/>
    <w:lvl w:ilvl="0" w:tentative="0">
      <w:start w:val="1"/>
      <w:numFmt w:val="decimal"/>
      <w:suff w:val="nothing"/>
      <w:lvlText w:val="%1"/>
      <w:lvlJc w:val="left"/>
      <w:pPr>
        <w:ind w:left="846" w:hanging="420"/>
      </w:pPr>
      <w:rPr>
        <w:rFonts w:hint="eastAsia"/>
      </w:rPr>
    </w:lvl>
    <w:lvl w:ilvl="1" w:tentative="0">
      <w:start w:val="1"/>
      <w:numFmt w:val="lowerLetter"/>
      <w:lvlText w:val="%2)"/>
      <w:lvlJc w:val="left"/>
      <w:pPr>
        <w:tabs>
          <w:tab w:val="left" w:pos="937"/>
        </w:tabs>
        <w:ind w:left="937" w:hanging="420"/>
      </w:pPr>
      <w:rPr>
        <w:rFonts w:hint="eastAsia"/>
      </w:rPr>
    </w:lvl>
    <w:lvl w:ilvl="2" w:tentative="0">
      <w:start w:val="1"/>
      <w:numFmt w:val="lowerRoman"/>
      <w:lvlText w:val="%3."/>
      <w:lvlJc w:val="right"/>
      <w:pPr>
        <w:tabs>
          <w:tab w:val="left" w:pos="1357"/>
        </w:tabs>
        <w:ind w:left="1357" w:hanging="420"/>
      </w:pPr>
      <w:rPr>
        <w:rFonts w:hint="eastAsia"/>
      </w:rPr>
    </w:lvl>
    <w:lvl w:ilvl="3" w:tentative="0">
      <w:start w:val="1"/>
      <w:numFmt w:val="decimal"/>
      <w:lvlText w:val="%4."/>
      <w:lvlJc w:val="left"/>
      <w:pPr>
        <w:tabs>
          <w:tab w:val="left" w:pos="1777"/>
        </w:tabs>
        <w:ind w:left="1777" w:hanging="420"/>
      </w:pPr>
      <w:rPr>
        <w:rFonts w:hint="eastAsia"/>
      </w:rPr>
    </w:lvl>
    <w:lvl w:ilvl="4" w:tentative="0">
      <w:start w:val="1"/>
      <w:numFmt w:val="lowerLetter"/>
      <w:lvlText w:val="%5)"/>
      <w:lvlJc w:val="left"/>
      <w:pPr>
        <w:tabs>
          <w:tab w:val="left" w:pos="2197"/>
        </w:tabs>
        <w:ind w:left="2197" w:hanging="420"/>
      </w:pPr>
      <w:rPr>
        <w:rFonts w:hint="eastAsia"/>
      </w:rPr>
    </w:lvl>
    <w:lvl w:ilvl="5" w:tentative="0">
      <w:start w:val="1"/>
      <w:numFmt w:val="lowerRoman"/>
      <w:lvlText w:val="%6."/>
      <w:lvlJc w:val="right"/>
      <w:pPr>
        <w:tabs>
          <w:tab w:val="left" w:pos="2617"/>
        </w:tabs>
        <w:ind w:left="2617" w:hanging="420"/>
      </w:pPr>
      <w:rPr>
        <w:rFonts w:hint="eastAsia"/>
      </w:rPr>
    </w:lvl>
    <w:lvl w:ilvl="6" w:tentative="0">
      <w:start w:val="1"/>
      <w:numFmt w:val="decimal"/>
      <w:lvlText w:val="%7."/>
      <w:lvlJc w:val="left"/>
      <w:pPr>
        <w:tabs>
          <w:tab w:val="left" w:pos="3037"/>
        </w:tabs>
        <w:ind w:left="3037" w:hanging="420"/>
      </w:pPr>
      <w:rPr>
        <w:rFonts w:hint="eastAsia"/>
      </w:rPr>
    </w:lvl>
    <w:lvl w:ilvl="7" w:tentative="0">
      <w:start w:val="1"/>
      <w:numFmt w:val="lowerLetter"/>
      <w:lvlText w:val="%8)"/>
      <w:lvlJc w:val="left"/>
      <w:pPr>
        <w:tabs>
          <w:tab w:val="left" w:pos="3457"/>
        </w:tabs>
        <w:ind w:left="3457" w:hanging="420"/>
      </w:pPr>
      <w:rPr>
        <w:rFonts w:hint="eastAsia"/>
      </w:rPr>
    </w:lvl>
    <w:lvl w:ilvl="8" w:tentative="0">
      <w:start w:val="1"/>
      <w:numFmt w:val="lowerRoman"/>
      <w:lvlText w:val="%9."/>
      <w:lvlJc w:val="right"/>
      <w:pPr>
        <w:tabs>
          <w:tab w:val="left" w:pos="3877"/>
        </w:tabs>
        <w:ind w:left="3877" w:hanging="420"/>
      </w:pPr>
      <w:rPr>
        <w:rFonts w:hint="eastAsia"/>
      </w:rPr>
    </w:lvl>
  </w:abstractNum>
  <w:abstractNum w:abstractNumId="11">
    <w:nsid w:val="0CA2892E"/>
    <w:multiLevelType w:val="singleLevel"/>
    <w:tmpl w:val="0CA2892E"/>
    <w:lvl w:ilvl="0" w:tentative="0">
      <w:start w:val="1"/>
      <w:numFmt w:val="decimal"/>
      <w:suff w:val="nothing"/>
      <w:lvlText w:val="%1．"/>
      <w:lvlJc w:val="left"/>
      <w:pPr>
        <w:ind w:left="0" w:firstLine="400"/>
      </w:pPr>
      <w:rPr>
        <w:rFonts w:hint="default"/>
      </w:rPr>
    </w:lvl>
  </w:abstractNum>
  <w:abstractNum w:abstractNumId="12">
    <w:nsid w:val="140B64ED"/>
    <w:multiLevelType w:val="singleLevel"/>
    <w:tmpl w:val="140B64ED"/>
    <w:lvl w:ilvl="0" w:tentative="0">
      <w:start w:val="1"/>
      <w:numFmt w:val="decimal"/>
      <w:suff w:val="nothing"/>
      <w:lvlText w:val="%1．"/>
      <w:lvlJc w:val="left"/>
      <w:pPr>
        <w:ind w:left="0" w:firstLine="400"/>
      </w:pPr>
      <w:rPr>
        <w:rFonts w:hint="default"/>
      </w:rPr>
    </w:lvl>
  </w:abstractNum>
  <w:abstractNum w:abstractNumId="13">
    <w:nsid w:val="168DFD9A"/>
    <w:multiLevelType w:val="singleLevel"/>
    <w:tmpl w:val="168DFD9A"/>
    <w:lvl w:ilvl="0" w:tentative="0">
      <w:start w:val="1"/>
      <w:numFmt w:val="decimal"/>
      <w:suff w:val="nothing"/>
      <w:lvlText w:val="%1．"/>
      <w:lvlJc w:val="left"/>
      <w:pPr>
        <w:ind w:left="0" w:firstLine="400"/>
      </w:pPr>
      <w:rPr>
        <w:rFonts w:hint="default"/>
      </w:rPr>
    </w:lvl>
  </w:abstractNum>
  <w:abstractNum w:abstractNumId="14">
    <w:nsid w:val="23913B55"/>
    <w:multiLevelType w:val="multilevel"/>
    <w:tmpl w:val="23913B55"/>
    <w:lvl w:ilvl="0" w:tentative="0">
      <w:start w:val="1"/>
      <w:numFmt w:val="decimal"/>
      <w:suff w:val="nothing"/>
      <w:lvlText w:val="%1"/>
      <w:lvlJc w:val="center"/>
      <w:pPr>
        <w:ind w:left="180" w:firstLine="0"/>
      </w:pPr>
      <w:rPr>
        <w:rFonts w:hint="eastAsia"/>
      </w:rPr>
    </w:lvl>
    <w:lvl w:ilvl="1" w:tentative="0">
      <w:start w:val="1"/>
      <w:numFmt w:val="lowerLetter"/>
      <w:lvlText w:val="%2)"/>
      <w:lvlJc w:val="left"/>
      <w:pPr>
        <w:tabs>
          <w:tab w:val="left" w:pos="1020"/>
        </w:tabs>
        <w:ind w:left="1020" w:hanging="420"/>
      </w:pPr>
      <w:rPr>
        <w:rFonts w:hint="eastAsia"/>
      </w:rPr>
    </w:lvl>
    <w:lvl w:ilvl="2" w:tentative="0">
      <w:start w:val="1"/>
      <w:numFmt w:val="lowerRoman"/>
      <w:lvlText w:val="%3."/>
      <w:lvlJc w:val="right"/>
      <w:pPr>
        <w:tabs>
          <w:tab w:val="left" w:pos="1440"/>
        </w:tabs>
        <w:ind w:left="1440" w:hanging="420"/>
      </w:pPr>
      <w:rPr>
        <w:rFonts w:hint="eastAsia"/>
      </w:rPr>
    </w:lvl>
    <w:lvl w:ilvl="3" w:tentative="0">
      <w:start w:val="1"/>
      <w:numFmt w:val="decimal"/>
      <w:lvlText w:val="%4."/>
      <w:lvlJc w:val="left"/>
      <w:pPr>
        <w:tabs>
          <w:tab w:val="left" w:pos="1860"/>
        </w:tabs>
        <w:ind w:left="1860" w:hanging="420"/>
      </w:pPr>
      <w:rPr>
        <w:rFonts w:hint="eastAsia"/>
      </w:rPr>
    </w:lvl>
    <w:lvl w:ilvl="4" w:tentative="0">
      <w:start w:val="1"/>
      <w:numFmt w:val="lowerLetter"/>
      <w:lvlText w:val="%5)"/>
      <w:lvlJc w:val="left"/>
      <w:pPr>
        <w:tabs>
          <w:tab w:val="left" w:pos="2280"/>
        </w:tabs>
        <w:ind w:left="2280" w:hanging="420"/>
      </w:pPr>
      <w:rPr>
        <w:rFonts w:hint="eastAsia"/>
      </w:rPr>
    </w:lvl>
    <w:lvl w:ilvl="5" w:tentative="0">
      <w:start w:val="1"/>
      <w:numFmt w:val="lowerRoman"/>
      <w:lvlText w:val="%6."/>
      <w:lvlJc w:val="right"/>
      <w:pPr>
        <w:tabs>
          <w:tab w:val="left" w:pos="2700"/>
        </w:tabs>
        <w:ind w:left="2700" w:hanging="420"/>
      </w:pPr>
      <w:rPr>
        <w:rFonts w:hint="eastAsia"/>
      </w:rPr>
    </w:lvl>
    <w:lvl w:ilvl="6" w:tentative="0">
      <w:start w:val="1"/>
      <w:numFmt w:val="decimal"/>
      <w:lvlText w:val="%7."/>
      <w:lvlJc w:val="left"/>
      <w:pPr>
        <w:tabs>
          <w:tab w:val="left" w:pos="3120"/>
        </w:tabs>
        <w:ind w:left="3120" w:hanging="420"/>
      </w:pPr>
      <w:rPr>
        <w:rFonts w:hint="eastAsia"/>
      </w:rPr>
    </w:lvl>
    <w:lvl w:ilvl="7" w:tentative="0">
      <w:start w:val="1"/>
      <w:numFmt w:val="lowerLetter"/>
      <w:lvlText w:val="%8)"/>
      <w:lvlJc w:val="left"/>
      <w:pPr>
        <w:tabs>
          <w:tab w:val="left" w:pos="3540"/>
        </w:tabs>
        <w:ind w:left="3540" w:hanging="420"/>
      </w:pPr>
      <w:rPr>
        <w:rFonts w:hint="eastAsia"/>
      </w:rPr>
    </w:lvl>
    <w:lvl w:ilvl="8" w:tentative="0">
      <w:start w:val="1"/>
      <w:numFmt w:val="lowerRoman"/>
      <w:lvlText w:val="%9."/>
      <w:lvlJc w:val="right"/>
      <w:pPr>
        <w:tabs>
          <w:tab w:val="left" w:pos="3960"/>
        </w:tabs>
        <w:ind w:left="3960" w:hanging="420"/>
      </w:pPr>
      <w:rPr>
        <w:rFonts w:hint="eastAsia"/>
      </w:rPr>
    </w:lvl>
  </w:abstractNum>
  <w:abstractNum w:abstractNumId="15">
    <w:nsid w:val="3DB984ED"/>
    <w:multiLevelType w:val="singleLevel"/>
    <w:tmpl w:val="3DB984ED"/>
    <w:lvl w:ilvl="0" w:tentative="0">
      <w:start w:val="1"/>
      <w:numFmt w:val="decimal"/>
      <w:suff w:val="nothing"/>
      <w:lvlText w:val="%1．"/>
      <w:lvlJc w:val="left"/>
      <w:pPr>
        <w:ind w:left="88" w:firstLine="400"/>
      </w:pPr>
      <w:rPr>
        <w:rFonts w:hint="default"/>
      </w:rPr>
    </w:lvl>
  </w:abstractNum>
  <w:abstractNum w:abstractNumId="16">
    <w:nsid w:val="5DD447EA"/>
    <w:multiLevelType w:val="multilevel"/>
    <w:tmpl w:val="5DD447EA"/>
    <w:lvl w:ilvl="0" w:tentative="0">
      <w:start w:val="1"/>
      <w:numFmt w:val="decimal"/>
      <w:lvlText w:val="%1."/>
      <w:lvlJc w:val="left"/>
      <w:pPr>
        <w:tabs>
          <w:tab w:val="left" w:pos="420"/>
        </w:tabs>
        <w:ind w:left="420" w:hanging="420"/>
      </w:pPr>
      <w:rPr>
        <w:rFonts w:hint="default" w:ascii="Times New Roman" w:hAnsi="Times New Roman" w:cs="Times New Roman"/>
        <w:sz w:val="28"/>
        <w:szCs w:val="28"/>
      </w:rPr>
    </w:lvl>
    <w:lvl w:ilvl="1" w:tentative="0">
      <w:start w:val="1"/>
      <w:numFmt w:val="decimal"/>
      <w:lvlText w:val="%2．"/>
      <w:lvlJc w:val="left"/>
      <w:pPr>
        <w:tabs>
          <w:tab w:val="left" w:pos="780"/>
        </w:tabs>
        <w:ind w:left="780" w:hanging="360"/>
      </w:pPr>
      <w:rPr>
        <w:rFonts w:hint="default"/>
      </w:rPr>
    </w:lvl>
    <w:lvl w:ilvl="2" w:tentative="0">
      <w:start w:val="1"/>
      <w:numFmt w:val="decimal"/>
      <w:lvlText w:val="%3、"/>
      <w:lvlJc w:val="left"/>
      <w:pPr>
        <w:tabs>
          <w:tab w:val="left" w:pos="1560"/>
        </w:tabs>
        <w:ind w:left="1560" w:hanging="720"/>
      </w:pPr>
      <w:rPr>
        <w:rFonts w:hint="default"/>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7">
    <w:nsid w:val="64293BCC"/>
    <w:multiLevelType w:val="multilevel"/>
    <w:tmpl w:val="64293BCC"/>
    <w:lvl w:ilvl="0" w:tentative="0">
      <w:start w:val="1"/>
      <w:numFmt w:val="decimal"/>
      <w:suff w:val="nothing"/>
      <w:lvlText w:val="%1"/>
      <w:lvlJc w:val="left"/>
      <w:pPr>
        <w:ind w:left="0" w:firstLine="0"/>
      </w:pPr>
      <w:rPr>
        <w:rFonts w:hint="eastAsia"/>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8">
    <w:nsid w:val="6BE6238A"/>
    <w:multiLevelType w:val="multilevel"/>
    <w:tmpl w:val="6BE6238A"/>
    <w:lvl w:ilvl="0" w:tentative="0">
      <w:start w:val="1"/>
      <w:numFmt w:val="decimal"/>
      <w:suff w:val="nothing"/>
      <w:lvlText w:val="%1"/>
      <w:lvlJc w:val="left"/>
      <w:pPr>
        <w:ind w:left="0" w:firstLine="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9"/>
  </w:num>
  <w:num w:numId="2">
    <w:abstractNumId w:val="2"/>
  </w:num>
  <w:num w:numId="3">
    <w:abstractNumId w:val="15"/>
  </w:num>
  <w:num w:numId="4">
    <w:abstractNumId w:val="13"/>
  </w:num>
  <w:num w:numId="5">
    <w:abstractNumId w:val="12"/>
  </w:num>
  <w:num w:numId="6">
    <w:abstractNumId w:val="4"/>
  </w:num>
  <w:num w:numId="7">
    <w:abstractNumId w:val="11"/>
  </w:num>
  <w:num w:numId="8">
    <w:abstractNumId w:val="14"/>
  </w:num>
  <w:num w:numId="9">
    <w:abstractNumId w:val="0"/>
  </w:num>
  <w:num w:numId="10">
    <w:abstractNumId w:val="6"/>
  </w:num>
  <w:num w:numId="11">
    <w:abstractNumId w:val="16"/>
  </w:num>
  <w:num w:numId="12">
    <w:abstractNumId w:val="1"/>
  </w:num>
  <w:num w:numId="13">
    <w:abstractNumId w:val="10"/>
  </w:num>
  <w:num w:numId="14">
    <w:abstractNumId w:val="8"/>
  </w:num>
  <w:num w:numId="15">
    <w:abstractNumId w:val="18"/>
  </w:num>
  <w:num w:numId="16">
    <w:abstractNumId w:val="5"/>
  </w:num>
  <w:num w:numId="17">
    <w:abstractNumId w:val="7"/>
  </w:num>
  <w:num w:numId="18">
    <w:abstractNumId w:val="17"/>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240"/>
  <w:drawingGridVerticalSpacing w:val="165"/>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00172A27"/>
    <w:rsid w:val="00006998"/>
    <w:rsid w:val="00011BEB"/>
    <w:rsid w:val="00013230"/>
    <w:rsid w:val="000143CE"/>
    <w:rsid w:val="00015AA4"/>
    <w:rsid w:val="0002183E"/>
    <w:rsid w:val="000271E2"/>
    <w:rsid w:val="00033D39"/>
    <w:rsid w:val="00034598"/>
    <w:rsid w:val="00035388"/>
    <w:rsid w:val="00036EEE"/>
    <w:rsid w:val="00037F16"/>
    <w:rsid w:val="0004299A"/>
    <w:rsid w:val="00051A59"/>
    <w:rsid w:val="000571C7"/>
    <w:rsid w:val="000610B4"/>
    <w:rsid w:val="0006434A"/>
    <w:rsid w:val="00064C81"/>
    <w:rsid w:val="00067D90"/>
    <w:rsid w:val="00072B27"/>
    <w:rsid w:val="0008014A"/>
    <w:rsid w:val="0008228B"/>
    <w:rsid w:val="0009074E"/>
    <w:rsid w:val="000954E0"/>
    <w:rsid w:val="000A2387"/>
    <w:rsid w:val="000A520F"/>
    <w:rsid w:val="000A7803"/>
    <w:rsid w:val="000B23A6"/>
    <w:rsid w:val="000B7E09"/>
    <w:rsid w:val="000D23AB"/>
    <w:rsid w:val="000D5390"/>
    <w:rsid w:val="000E1AE4"/>
    <w:rsid w:val="000E345A"/>
    <w:rsid w:val="000E5020"/>
    <w:rsid w:val="000E5C5F"/>
    <w:rsid w:val="001015B6"/>
    <w:rsid w:val="0011146C"/>
    <w:rsid w:val="00145AF4"/>
    <w:rsid w:val="00160700"/>
    <w:rsid w:val="00172A27"/>
    <w:rsid w:val="001755BE"/>
    <w:rsid w:val="0018057B"/>
    <w:rsid w:val="001944A8"/>
    <w:rsid w:val="00196E91"/>
    <w:rsid w:val="00197933"/>
    <w:rsid w:val="001A2703"/>
    <w:rsid w:val="001B3083"/>
    <w:rsid w:val="001C0913"/>
    <w:rsid w:val="001C2ED8"/>
    <w:rsid w:val="001D5B4F"/>
    <w:rsid w:val="001E4069"/>
    <w:rsid w:val="001F09DF"/>
    <w:rsid w:val="001F5D69"/>
    <w:rsid w:val="001F6F48"/>
    <w:rsid w:val="00204047"/>
    <w:rsid w:val="00214E72"/>
    <w:rsid w:val="00217987"/>
    <w:rsid w:val="00246C63"/>
    <w:rsid w:val="00260F08"/>
    <w:rsid w:val="00265537"/>
    <w:rsid w:val="002661BB"/>
    <w:rsid w:val="00270D65"/>
    <w:rsid w:val="00284A57"/>
    <w:rsid w:val="00297846"/>
    <w:rsid w:val="002A7D93"/>
    <w:rsid w:val="002B64D3"/>
    <w:rsid w:val="002B7B97"/>
    <w:rsid w:val="002C09B5"/>
    <w:rsid w:val="002D2180"/>
    <w:rsid w:val="002D51A5"/>
    <w:rsid w:val="002E7238"/>
    <w:rsid w:val="002F09D4"/>
    <w:rsid w:val="002F401D"/>
    <w:rsid w:val="003044F6"/>
    <w:rsid w:val="00305CE7"/>
    <w:rsid w:val="0032329B"/>
    <w:rsid w:val="00323885"/>
    <w:rsid w:val="00325284"/>
    <w:rsid w:val="00327FEC"/>
    <w:rsid w:val="003371AB"/>
    <w:rsid w:val="00342953"/>
    <w:rsid w:val="00350136"/>
    <w:rsid w:val="00353D5B"/>
    <w:rsid w:val="003640A7"/>
    <w:rsid w:val="003706BC"/>
    <w:rsid w:val="00373F18"/>
    <w:rsid w:val="00397087"/>
    <w:rsid w:val="003A1F96"/>
    <w:rsid w:val="003D0C2A"/>
    <w:rsid w:val="003E17E6"/>
    <w:rsid w:val="003F4328"/>
    <w:rsid w:val="003F7E18"/>
    <w:rsid w:val="004051C2"/>
    <w:rsid w:val="00407006"/>
    <w:rsid w:val="00412B02"/>
    <w:rsid w:val="00434F01"/>
    <w:rsid w:val="00436850"/>
    <w:rsid w:val="004378CB"/>
    <w:rsid w:val="004404CC"/>
    <w:rsid w:val="00443CC1"/>
    <w:rsid w:val="00443E56"/>
    <w:rsid w:val="0044573C"/>
    <w:rsid w:val="0045018E"/>
    <w:rsid w:val="00451609"/>
    <w:rsid w:val="004545C5"/>
    <w:rsid w:val="00456F03"/>
    <w:rsid w:val="00460F0D"/>
    <w:rsid w:val="00471044"/>
    <w:rsid w:val="004757D3"/>
    <w:rsid w:val="00477680"/>
    <w:rsid w:val="0048051F"/>
    <w:rsid w:val="00482685"/>
    <w:rsid w:val="00483D92"/>
    <w:rsid w:val="0048477C"/>
    <w:rsid w:val="004904B4"/>
    <w:rsid w:val="004968C7"/>
    <w:rsid w:val="004A2A83"/>
    <w:rsid w:val="004B1119"/>
    <w:rsid w:val="004B2B21"/>
    <w:rsid w:val="004C32B0"/>
    <w:rsid w:val="004D0AD8"/>
    <w:rsid w:val="004D583E"/>
    <w:rsid w:val="004E21E3"/>
    <w:rsid w:val="004F4166"/>
    <w:rsid w:val="004F5A97"/>
    <w:rsid w:val="0050230D"/>
    <w:rsid w:val="005065AA"/>
    <w:rsid w:val="00515485"/>
    <w:rsid w:val="0051778E"/>
    <w:rsid w:val="005238D7"/>
    <w:rsid w:val="00526491"/>
    <w:rsid w:val="005411F7"/>
    <w:rsid w:val="00553419"/>
    <w:rsid w:val="0056508E"/>
    <w:rsid w:val="00570C7A"/>
    <w:rsid w:val="0057294C"/>
    <w:rsid w:val="005763F8"/>
    <w:rsid w:val="00581B39"/>
    <w:rsid w:val="00591CB0"/>
    <w:rsid w:val="005A0120"/>
    <w:rsid w:val="005A3222"/>
    <w:rsid w:val="005A5ED0"/>
    <w:rsid w:val="005D7B6B"/>
    <w:rsid w:val="005E1F9C"/>
    <w:rsid w:val="005F01F2"/>
    <w:rsid w:val="005F03D0"/>
    <w:rsid w:val="005F3A4B"/>
    <w:rsid w:val="005F6771"/>
    <w:rsid w:val="0060058A"/>
    <w:rsid w:val="006025E5"/>
    <w:rsid w:val="00605436"/>
    <w:rsid w:val="00607C2B"/>
    <w:rsid w:val="00614EB6"/>
    <w:rsid w:val="00617F47"/>
    <w:rsid w:val="0062600C"/>
    <w:rsid w:val="00637724"/>
    <w:rsid w:val="00642A43"/>
    <w:rsid w:val="006474E3"/>
    <w:rsid w:val="00650B22"/>
    <w:rsid w:val="00655FD9"/>
    <w:rsid w:val="00662EA8"/>
    <w:rsid w:val="00666A5B"/>
    <w:rsid w:val="0067327A"/>
    <w:rsid w:val="00674498"/>
    <w:rsid w:val="006772E7"/>
    <w:rsid w:val="00683C0A"/>
    <w:rsid w:val="00691B1D"/>
    <w:rsid w:val="006932DB"/>
    <w:rsid w:val="006A2346"/>
    <w:rsid w:val="006A49D1"/>
    <w:rsid w:val="006A728F"/>
    <w:rsid w:val="006E3D40"/>
    <w:rsid w:val="006E5045"/>
    <w:rsid w:val="006F6192"/>
    <w:rsid w:val="00702BEA"/>
    <w:rsid w:val="00703D35"/>
    <w:rsid w:val="007110CE"/>
    <w:rsid w:val="00713E40"/>
    <w:rsid w:val="00730FE3"/>
    <w:rsid w:val="007321D3"/>
    <w:rsid w:val="007327FA"/>
    <w:rsid w:val="00745521"/>
    <w:rsid w:val="00746EC0"/>
    <w:rsid w:val="007479A6"/>
    <w:rsid w:val="00753252"/>
    <w:rsid w:val="00755EF4"/>
    <w:rsid w:val="00756378"/>
    <w:rsid w:val="00761457"/>
    <w:rsid w:val="0076215F"/>
    <w:rsid w:val="00766723"/>
    <w:rsid w:val="0078195B"/>
    <w:rsid w:val="00782F11"/>
    <w:rsid w:val="00783C7B"/>
    <w:rsid w:val="007862F5"/>
    <w:rsid w:val="00787931"/>
    <w:rsid w:val="0079072F"/>
    <w:rsid w:val="007A44B3"/>
    <w:rsid w:val="007B7D90"/>
    <w:rsid w:val="007B7F98"/>
    <w:rsid w:val="007C34A9"/>
    <w:rsid w:val="007D1143"/>
    <w:rsid w:val="007E7F6F"/>
    <w:rsid w:val="007F2206"/>
    <w:rsid w:val="007F2C90"/>
    <w:rsid w:val="00800E57"/>
    <w:rsid w:val="00805446"/>
    <w:rsid w:val="00810BA7"/>
    <w:rsid w:val="00812882"/>
    <w:rsid w:val="00842672"/>
    <w:rsid w:val="00842840"/>
    <w:rsid w:val="00853783"/>
    <w:rsid w:val="00853F61"/>
    <w:rsid w:val="008548B1"/>
    <w:rsid w:val="00855449"/>
    <w:rsid w:val="00856F20"/>
    <w:rsid w:val="0087242D"/>
    <w:rsid w:val="0088517F"/>
    <w:rsid w:val="00895439"/>
    <w:rsid w:val="008A75C1"/>
    <w:rsid w:val="008B6AA8"/>
    <w:rsid w:val="008B6D0D"/>
    <w:rsid w:val="008B6D57"/>
    <w:rsid w:val="008C3E45"/>
    <w:rsid w:val="008D2021"/>
    <w:rsid w:val="008D468B"/>
    <w:rsid w:val="008F050D"/>
    <w:rsid w:val="009222AF"/>
    <w:rsid w:val="0092399B"/>
    <w:rsid w:val="00940599"/>
    <w:rsid w:val="00942F19"/>
    <w:rsid w:val="00951FD5"/>
    <w:rsid w:val="00955B61"/>
    <w:rsid w:val="00956514"/>
    <w:rsid w:val="00961FC7"/>
    <w:rsid w:val="009650E6"/>
    <w:rsid w:val="00965890"/>
    <w:rsid w:val="00970A06"/>
    <w:rsid w:val="00972065"/>
    <w:rsid w:val="00976C49"/>
    <w:rsid w:val="00977D0B"/>
    <w:rsid w:val="00980477"/>
    <w:rsid w:val="0098155F"/>
    <w:rsid w:val="009831A8"/>
    <w:rsid w:val="009834EF"/>
    <w:rsid w:val="00987505"/>
    <w:rsid w:val="009B24BA"/>
    <w:rsid w:val="009B64CB"/>
    <w:rsid w:val="009D1CE6"/>
    <w:rsid w:val="009D20D4"/>
    <w:rsid w:val="009D7320"/>
    <w:rsid w:val="009D7483"/>
    <w:rsid w:val="009E4433"/>
    <w:rsid w:val="009E6509"/>
    <w:rsid w:val="009F4461"/>
    <w:rsid w:val="00A02BF1"/>
    <w:rsid w:val="00A031C2"/>
    <w:rsid w:val="00A0425E"/>
    <w:rsid w:val="00A0742B"/>
    <w:rsid w:val="00A13FEF"/>
    <w:rsid w:val="00A1626A"/>
    <w:rsid w:val="00A20146"/>
    <w:rsid w:val="00A23BB5"/>
    <w:rsid w:val="00A25E0B"/>
    <w:rsid w:val="00A35E77"/>
    <w:rsid w:val="00A36296"/>
    <w:rsid w:val="00A376CD"/>
    <w:rsid w:val="00A37C12"/>
    <w:rsid w:val="00A43301"/>
    <w:rsid w:val="00A43CB9"/>
    <w:rsid w:val="00A465FF"/>
    <w:rsid w:val="00A529A5"/>
    <w:rsid w:val="00A530DF"/>
    <w:rsid w:val="00A544FE"/>
    <w:rsid w:val="00A577CA"/>
    <w:rsid w:val="00A57A90"/>
    <w:rsid w:val="00A62827"/>
    <w:rsid w:val="00A65EA8"/>
    <w:rsid w:val="00A66388"/>
    <w:rsid w:val="00A66CBF"/>
    <w:rsid w:val="00A673D9"/>
    <w:rsid w:val="00A941FA"/>
    <w:rsid w:val="00A9636D"/>
    <w:rsid w:val="00A97D66"/>
    <w:rsid w:val="00AA0E7A"/>
    <w:rsid w:val="00AB0905"/>
    <w:rsid w:val="00AB40CF"/>
    <w:rsid w:val="00AC0E0D"/>
    <w:rsid w:val="00AC3843"/>
    <w:rsid w:val="00AD09AD"/>
    <w:rsid w:val="00AD16FB"/>
    <w:rsid w:val="00AD31D3"/>
    <w:rsid w:val="00AD3809"/>
    <w:rsid w:val="00AD4A2D"/>
    <w:rsid w:val="00AE0893"/>
    <w:rsid w:val="00AE0B3A"/>
    <w:rsid w:val="00AE44C0"/>
    <w:rsid w:val="00AE57E4"/>
    <w:rsid w:val="00AF4C1A"/>
    <w:rsid w:val="00B141ED"/>
    <w:rsid w:val="00B14B11"/>
    <w:rsid w:val="00B14B66"/>
    <w:rsid w:val="00B21671"/>
    <w:rsid w:val="00B24E07"/>
    <w:rsid w:val="00B25EB4"/>
    <w:rsid w:val="00B3251C"/>
    <w:rsid w:val="00B32A57"/>
    <w:rsid w:val="00B35E9D"/>
    <w:rsid w:val="00B42914"/>
    <w:rsid w:val="00B50860"/>
    <w:rsid w:val="00B508CA"/>
    <w:rsid w:val="00B60C1C"/>
    <w:rsid w:val="00B6332F"/>
    <w:rsid w:val="00B646D6"/>
    <w:rsid w:val="00B74116"/>
    <w:rsid w:val="00B7472D"/>
    <w:rsid w:val="00B76CB2"/>
    <w:rsid w:val="00B8198E"/>
    <w:rsid w:val="00B922D8"/>
    <w:rsid w:val="00B9523B"/>
    <w:rsid w:val="00B96869"/>
    <w:rsid w:val="00B968F1"/>
    <w:rsid w:val="00BA09EA"/>
    <w:rsid w:val="00BA21EA"/>
    <w:rsid w:val="00BA45E8"/>
    <w:rsid w:val="00BA6489"/>
    <w:rsid w:val="00BB2ED8"/>
    <w:rsid w:val="00BB5868"/>
    <w:rsid w:val="00BC1DA7"/>
    <w:rsid w:val="00BE1BB5"/>
    <w:rsid w:val="00C0077A"/>
    <w:rsid w:val="00C00999"/>
    <w:rsid w:val="00C1110A"/>
    <w:rsid w:val="00C16E32"/>
    <w:rsid w:val="00C17651"/>
    <w:rsid w:val="00C24145"/>
    <w:rsid w:val="00C277D1"/>
    <w:rsid w:val="00C27FDE"/>
    <w:rsid w:val="00C33C6A"/>
    <w:rsid w:val="00C54DF0"/>
    <w:rsid w:val="00C617ED"/>
    <w:rsid w:val="00C623D7"/>
    <w:rsid w:val="00C62B76"/>
    <w:rsid w:val="00C701FC"/>
    <w:rsid w:val="00C805FE"/>
    <w:rsid w:val="00C82F33"/>
    <w:rsid w:val="00C84F39"/>
    <w:rsid w:val="00C85CFB"/>
    <w:rsid w:val="00CB2669"/>
    <w:rsid w:val="00CB2BFB"/>
    <w:rsid w:val="00CB3A3A"/>
    <w:rsid w:val="00CD5491"/>
    <w:rsid w:val="00CD6AE7"/>
    <w:rsid w:val="00CD781F"/>
    <w:rsid w:val="00CE463D"/>
    <w:rsid w:val="00CE615B"/>
    <w:rsid w:val="00D0399F"/>
    <w:rsid w:val="00D07600"/>
    <w:rsid w:val="00D20610"/>
    <w:rsid w:val="00D22434"/>
    <w:rsid w:val="00D36569"/>
    <w:rsid w:val="00D4269E"/>
    <w:rsid w:val="00D54656"/>
    <w:rsid w:val="00D551EA"/>
    <w:rsid w:val="00D77120"/>
    <w:rsid w:val="00D7762F"/>
    <w:rsid w:val="00D87881"/>
    <w:rsid w:val="00D91D05"/>
    <w:rsid w:val="00D95CCA"/>
    <w:rsid w:val="00DA5875"/>
    <w:rsid w:val="00DB1868"/>
    <w:rsid w:val="00DC572B"/>
    <w:rsid w:val="00DC69A9"/>
    <w:rsid w:val="00DC7109"/>
    <w:rsid w:val="00DD7C38"/>
    <w:rsid w:val="00DD7FEB"/>
    <w:rsid w:val="00DF0390"/>
    <w:rsid w:val="00DF57F2"/>
    <w:rsid w:val="00E01A7E"/>
    <w:rsid w:val="00E057F4"/>
    <w:rsid w:val="00E05B51"/>
    <w:rsid w:val="00E06887"/>
    <w:rsid w:val="00E11DB5"/>
    <w:rsid w:val="00E1404C"/>
    <w:rsid w:val="00E20978"/>
    <w:rsid w:val="00E55A55"/>
    <w:rsid w:val="00E860B8"/>
    <w:rsid w:val="00EA0BD2"/>
    <w:rsid w:val="00EA2DC4"/>
    <w:rsid w:val="00EA514F"/>
    <w:rsid w:val="00EA6C70"/>
    <w:rsid w:val="00EB5C4E"/>
    <w:rsid w:val="00EB7535"/>
    <w:rsid w:val="00EE3F8A"/>
    <w:rsid w:val="00EE5DF9"/>
    <w:rsid w:val="00F005B8"/>
    <w:rsid w:val="00F062A9"/>
    <w:rsid w:val="00F11034"/>
    <w:rsid w:val="00F260C8"/>
    <w:rsid w:val="00F3393C"/>
    <w:rsid w:val="00F34369"/>
    <w:rsid w:val="00F37B20"/>
    <w:rsid w:val="00F576E6"/>
    <w:rsid w:val="00F57B5F"/>
    <w:rsid w:val="00F61EDD"/>
    <w:rsid w:val="00F65CE2"/>
    <w:rsid w:val="00F67AA2"/>
    <w:rsid w:val="00F70E24"/>
    <w:rsid w:val="00F714BA"/>
    <w:rsid w:val="00F91962"/>
    <w:rsid w:val="00F94CA3"/>
    <w:rsid w:val="00F97B1F"/>
    <w:rsid w:val="00FC2249"/>
    <w:rsid w:val="00FC446B"/>
    <w:rsid w:val="00FC53AF"/>
    <w:rsid w:val="00FD245D"/>
    <w:rsid w:val="00FD46A2"/>
    <w:rsid w:val="00FD5E43"/>
    <w:rsid w:val="00FE385A"/>
    <w:rsid w:val="00FE4B7D"/>
    <w:rsid w:val="01041A68"/>
    <w:rsid w:val="01100787"/>
    <w:rsid w:val="011C36BF"/>
    <w:rsid w:val="0127533C"/>
    <w:rsid w:val="014D13B1"/>
    <w:rsid w:val="015A56E8"/>
    <w:rsid w:val="015C0E9D"/>
    <w:rsid w:val="01686513"/>
    <w:rsid w:val="017E1140"/>
    <w:rsid w:val="01830099"/>
    <w:rsid w:val="01885910"/>
    <w:rsid w:val="01896662"/>
    <w:rsid w:val="018D75B8"/>
    <w:rsid w:val="018F0C57"/>
    <w:rsid w:val="019C4253"/>
    <w:rsid w:val="01A55EC7"/>
    <w:rsid w:val="01A957BF"/>
    <w:rsid w:val="01AB7E6D"/>
    <w:rsid w:val="01DC5DF9"/>
    <w:rsid w:val="01EF3980"/>
    <w:rsid w:val="01F07E3D"/>
    <w:rsid w:val="01FA686D"/>
    <w:rsid w:val="02021E22"/>
    <w:rsid w:val="02215D8A"/>
    <w:rsid w:val="02321934"/>
    <w:rsid w:val="0244793D"/>
    <w:rsid w:val="025857DA"/>
    <w:rsid w:val="027613FB"/>
    <w:rsid w:val="02802564"/>
    <w:rsid w:val="02804562"/>
    <w:rsid w:val="0282713E"/>
    <w:rsid w:val="028C4DC0"/>
    <w:rsid w:val="02906A49"/>
    <w:rsid w:val="02AB7693"/>
    <w:rsid w:val="02B24606"/>
    <w:rsid w:val="02B52903"/>
    <w:rsid w:val="02C06253"/>
    <w:rsid w:val="02C65EE3"/>
    <w:rsid w:val="0329473F"/>
    <w:rsid w:val="032E25F6"/>
    <w:rsid w:val="032F6FE9"/>
    <w:rsid w:val="034C7CAB"/>
    <w:rsid w:val="0351020E"/>
    <w:rsid w:val="03652EFA"/>
    <w:rsid w:val="03830AE2"/>
    <w:rsid w:val="03885E0E"/>
    <w:rsid w:val="03A75C2B"/>
    <w:rsid w:val="03AE2AAF"/>
    <w:rsid w:val="03B17B02"/>
    <w:rsid w:val="03B21148"/>
    <w:rsid w:val="03B253BC"/>
    <w:rsid w:val="03C06FDE"/>
    <w:rsid w:val="03C16E53"/>
    <w:rsid w:val="03C317DD"/>
    <w:rsid w:val="03D12E12"/>
    <w:rsid w:val="03D417FF"/>
    <w:rsid w:val="03DA6992"/>
    <w:rsid w:val="03DB4B0F"/>
    <w:rsid w:val="03F26A7A"/>
    <w:rsid w:val="040A64E2"/>
    <w:rsid w:val="04155891"/>
    <w:rsid w:val="04165713"/>
    <w:rsid w:val="042F3B61"/>
    <w:rsid w:val="0447116D"/>
    <w:rsid w:val="04480A30"/>
    <w:rsid w:val="044B757D"/>
    <w:rsid w:val="0466617C"/>
    <w:rsid w:val="04810847"/>
    <w:rsid w:val="048232F5"/>
    <w:rsid w:val="04833026"/>
    <w:rsid w:val="0489209E"/>
    <w:rsid w:val="048D037C"/>
    <w:rsid w:val="048F0B6B"/>
    <w:rsid w:val="04955AAA"/>
    <w:rsid w:val="049D46DD"/>
    <w:rsid w:val="04AA214F"/>
    <w:rsid w:val="04AE46C9"/>
    <w:rsid w:val="04B30C95"/>
    <w:rsid w:val="04BD2FC6"/>
    <w:rsid w:val="04BF17A7"/>
    <w:rsid w:val="04C960AD"/>
    <w:rsid w:val="04CC794F"/>
    <w:rsid w:val="04D02DDE"/>
    <w:rsid w:val="04D07A99"/>
    <w:rsid w:val="04EC69E9"/>
    <w:rsid w:val="04F35B9A"/>
    <w:rsid w:val="05013149"/>
    <w:rsid w:val="050E47A2"/>
    <w:rsid w:val="05182F14"/>
    <w:rsid w:val="051B5A9C"/>
    <w:rsid w:val="053D3D9A"/>
    <w:rsid w:val="05922F3D"/>
    <w:rsid w:val="059670A5"/>
    <w:rsid w:val="05AE2600"/>
    <w:rsid w:val="05D01805"/>
    <w:rsid w:val="05D97C3E"/>
    <w:rsid w:val="05DA4531"/>
    <w:rsid w:val="05DD7851"/>
    <w:rsid w:val="05F63529"/>
    <w:rsid w:val="05FB0B46"/>
    <w:rsid w:val="060C7532"/>
    <w:rsid w:val="06191969"/>
    <w:rsid w:val="0625765B"/>
    <w:rsid w:val="06464D53"/>
    <w:rsid w:val="065B15E4"/>
    <w:rsid w:val="0668359C"/>
    <w:rsid w:val="067542EB"/>
    <w:rsid w:val="067A3519"/>
    <w:rsid w:val="068E11E5"/>
    <w:rsid w:val="06936FD0"/>
    <w:rsid w:val="069A2C83"/>
    <w:rsid w:val="06BE295F"/>
    <w:rsid w:val="06C62B81"/>
    <w:rsid w:val="06C824AF"/>
    <w:rsid w:val="06E73EB9"/>
    <w:rsid w:val="06F4797F"/>
    <w:rsid w:val="06F506AF"/>
    <w:rsid w:val="06FC1BD6"/>
    <w:rsid w:val="070954E4"/>
    <w:rsid w:val="070B34B2"/>
    <w:rsid w:val="070E7A21"/>
    <w:rsid w:val="071E5D66"/>
    <w:rsid w:val="071E7015"/>
    <w:rsid w:val="075276EC"/>
    <w:rsid w:val="075D08C1"/>
    <w:rsid w:val="0767791B"/>
    <w:rsid w:val="077030DF"/>
    <w:rsid w:val="0778601E"/>
    <w:rsid w:val="07903D90"/>
    <w:rsid w:val="07906FC5"/>
    <w:rsid w:val="079B0290"/>
    <w:rsid w:val="07A1335C"/>
    <w:rsid w:val="07B34AE8"/>
    <w:rsid w:val="07B62903"/>
    <w:rsid w:val="07CD2295"/>
    <w:rsid w:val="07D52EB7"/>
    <w:rsid w:val="07D77390"/>
    <w:rsid w:val="07E972C4"/>
    <w:rsid w:val="08180BAF"/>
    <w:rsid w:val="082B1E7E"/>
    <w:rsid w:val="083263AF"/>
    <w:rsid w:val="08337DCE"/>
    <w:rsid w:val="08361D57"/>
    <w:rsid w:val="0847795F"/>
    <w:rsid w:val="08530016"/>
    <w:rsid w:val="08674270"/>
    <w:rsid w:val="08733284"/>
    <w:rsid w:val="0874169B"/>
    <w:rsid w:val="087C0779"/>
    <w:rsid w:val="08935065"/>
    <w:rsid w:val="08956CE5"/>
    <w:rsid w:val="08A31D37"/>
    <w:rsid w:val="08B35707"/>
    <w:rsid w:val="08C13EFA"/>
    <w:rsid w:val="08CB2BE1"/>
    <w:rsid w:val="08D97AD7"/>
    <w:rsid w:val="08DF5426"/>
    <w:rsid w:val="08ED7E01"/>
    <w:rsid w:val="08EE00FB"/>
    <w:rsid w:val="08F94C8B"/>
    <w:rsid w:val="09093D4F"/>
    <w:rsid w:val="091142A9"/>
    <w:rsid w:val="091E15AE"/>
    <w:rsid w:val="09307100"/>
    <w:rsid w:val="09336C5F"/>
    <w:rsid w:val="09360A67"/>
    <w:rsid w:val="094E64AB"/>
    <w:rsid w:val="09554A11"/>
    <w:rsid w:val="095E599C"/>
    <w:rsid w:val="09672D58"/>
    <w:rsid w:val="098D423D"/>
    <w:rsid w:val="09920739"/>
    <w:rsid w:val="09A45050"/>
    <w:rsid w:val="09A47E25"/>
    <w:rsid w:val="09A54EB9"/>
    <w:rsid w:val="09A70C86"/>
    <w:rsid w:val="09AA4255"/>
    <w:rsid w:val="09AC7F46"/>
    <w:rsid w:val="09B06439"/>
    <w:rsid w:val="09B32C89"/>
    <w:rsid w:val="09BE593A"/>
    <w:rsid w:val="09C856D0"/>
    <w:rsid w:val="09D44961"/>
    <w:rsid w:val="09EF5D47"/>
    <w:rsid w:val="09FF0D49"/>
    <w:rsid w:val="0A043A3E"/>
    <w:rsid w:val="0A39196E"/>
    <w:rsid w:val="0A592D89"/>
    <w:rsid w:val="0A5D606F"/>
    <w:rsid w:val="0A6D371E"/>
    <w:rsid w:val="0A6E1B6F"/>
    <w:rsid w:val="0A7D1A76"/>
    <w:rsid w:val="0A832D96"/>
    <w:rsid w:val="0A9676C0"/>
    <w:rsid w:val="0A9A32E0"/>
    <w:rsid w:val="0A9D6014"/>
    <w:rsid w:val="0AA402D4"/>
    <w:rsid w:val="0ABE32B8"/>
    <w:rsid w:val="0AC44A4A"/>
    <w:rsid w:val="0ACE6829"/>
    <w:rsid w:val="0AE603C2"/>
    <w:rsid w:val="0AEA04A1"/>
    <w:rsid w:val="0AF30D0D"/>
    <w:rsid w:val="0AFB1189"/>
    <w:rsid w:val="0AFF6F61"/>
    <w:rsid w:val="0B0D235D"/>
    <w:rsid w:val="0B0D7E01"/>
    <w:rsid w:val="0B2A136B"/>
    <w:rsid w:val="0B2D7303"/>
    <w:rsid w:val="0B304DD2"/>
    <w:rsid w:val="0B3E2BB6"/>
    <w:rsid w:val="0B505F47"/>
    <w:rsid w:val="0B686454"/>
    <w:rsid w:val="0B7050C6"/>
    <w:rsid w:val="0B823419"/>
    <w:rsid w:val="0B867CC0"/>
    <w:rsid w:val="0BA20AD4"/>
    <w:rsid w:val="0BB365DB"/>
    <w:rsid w:val="0BC01E71"/>
    <w:rsid w:val="0BDE26C0"/>
    <w:rsid w:val="0BE06161"/>
    <w:rsid w:val="0BE27F74"/>
    <w:rsid w:val="0BF746B9"/>
    <w:rsid w:val="0BFE0645"/>
    <w:rsid w:val="0C0872B2"/>
    <w:rsid w:val="0C145A30"/>
    <w:rsid w:val="0C267C04"/>
    <w:rsid w:val="0C301A9B"/>
    <w:rsid w:val="0C310F3E"/>
    <w:rsid w:val="0C6145FF"/>
    <w:rsid w:val="0C61547A"/>
    <w:rsid w:val="0C78475F"/>
    <w:rsid w:val="0C8A6ACC"/>
    <w:rsid w:val="0C9364E7"/>
    <w:rsid w:val="0CA92EAB"/>
    <w:rsid w:val="0CAF3A93"/>
    <w:rsid w:val="0CB932A9"/>
    <w:rsid w:val="0CC1389A"/>
    <w:rsid w:val="0CC72065"/>
    <w:rsid w:val="0CEA78E1"/>
    <w:rsid w:val="0CFF0F1B"/>
    <w:rsid w:val="0D015CB4"/>
    <w:rsid w:val="0D080DB6"/>
    <w:rsid w:val="0D0C188A"/>
    <w:rsid w:val="0D157F61"/>
    <w:rsid w:val="0D2D7395"/>
    <w:rsid w:val="0D3F1B58"/>
    <w:rsid w:val="0D3F3B82"/>
    <w:rsid w:val="0D454F61"/>
    <w:rsid w:val="0D484685"/>
    <w:rsid w:val="0D596071"/>
    <w:rsid w:val="0D6813B0"/>
    <w:rsid w:val="0D695757"/>
    <w:rsid w:val="0D730691"/>
    <w:rsid w:val="0D735CCB"/>
    <w:rsid w:val="0D837D9E"/>
    <w:rsid w:val="0D863EA9"/>
    <w:rsid w:val="0D877299"/>
    <w:rsid w:val="0D892919"/>
    <w:rsid w:val="0DA1558F"/>
    <w:rsid w:val="0DA466A2"/>
    <w:rsid w:val="0DB040A8"/>
    <w:rsid w:val="0DB431F0"/>
    <w:rsid w:val="0DB77A48"/>
    <w:rsid w:val="0DDB0CD3"/>
    <w:rsid w:val="0DE03350"/>
    <w:rsid w:val="0DE70DEB"/>
    <w:rsid w:val="0DF418E9"/>
    <w:rsid w:val="0DF465A6"/>
    <w:rsid w:val="0E0228E0"/>
    <w:rsid w:val="0E067E80"/>
    <w:rsid w:val="0E0D1A36"/>
    <w:rsid w:val="0E12718F"/>
    <w:rsid w:val="0E35158B"/>
    <w:rsid w:val="0E3F1FBF"/>
    <w:rsid w:val="0E4017C4"/>
    <w:rsid w:val="0E527220"/>
    <w:rsid w:val="0E560419"/>
    <w:rsid w:val="0E611762"/>
    <w:rsid w:val="0E682E12"/>
    <w:rsid w:val="0E6A4F53"/>
    <w:rsid w:val="0E6C2D30"/>
    <w:rsid w:val="0E6D2116"/>
    <w:rsid w:val="0E72386F"/>
    <w:rsid w:val="0E741495"/>
    <w:rsid w:val="0E8004E8"/>
    <w:rsid w:val="0E960849"/>
    <w:rsid w:val="0E9733D5"/>
    <w:rsid w:val="0EB866F3"/>
    <w:rsid w:val="0EC55945"/>
    <w:rsid w:val="0ED2525D"/>
    <w:rsid w:val="0ED47586"/>
    <w:rsid w:val="0EE554BE"/>
    <w:rsid w:val="0EE814A1"/>
    <w:rsid w:val="0EF347E6"/>
    <w:rsid w:val="0EF55889"/>
    <w:rsid w:val="0F0859E8"/>
    <w:rsid w:val="0F1017DE"/>
    <w:rsid w:val="0F1D4EE8"/>
    <w:rsid w:val="0F334EAC"/>
    <w:rsid w:val="0F343970"/>
    <w:rsid w:val="0F3D1C63"/>
    <w:rsid w:val="0F455F66"/>
    <w:rsid w:val="0F57773D"/>
    <w:rsid w:val="0F62376E"/>
    <w:rsid w:val="0F6D23BD"/>
    <w:rsid w:val="0F7932EA"/>
    <w:rsid w:val="0F7D36DD"/>
    <w:rsid w:val="0F8170C3"/>
    <w:rsid w:val="0F863EB5"/>
    <w:rsid w:val="0F9E009D"/>
    <w:rsid w:val="0FA5649A"/>
    <w:rsid w:val="0FAA2FD3"/>
    <w:rsid w:val="0FBA0DE9"/>
    <w:rsid w:val="0FBE5741"/>
    <w:rsid w:val="0FC2663E"/>
    <w:rsid w:val="0FC921E2"/>
    <w:rsid w:val="0FDB4006"/>
    <w:rsid w:val="0FDF3A23"/>
    <w:rsid w:val="0FED099E"/>
    <w:rsid w:val="10022C46"/>
    <w:rsid w:val="10044A9B"/>
    <w:rsid w:val="10136DA5"/>
    <w:rsid w:val="1015087A"/>
    <w:rsid w:val="10231906"/>
    <w:rsid w:val="102A32DC"/>
    <w:rsid w:val="10384DFD"/>
    <w:rsid w:val="10400162"/>
    <w:rsid w:val="105837BE"/>
    <w:rsid w:val="10595CA8"/>
    <w:rsid w:val="105B0C88"/>
    <w:rsid w:val="10616BA3"/>
    <w:rsid w:val="106328A6"/>
    <w:rsid w:val="106B01AD"/>
    <w:rsid w:val="10853A22"/>
    <w:rsid w:val="10876A93"/>
    <w:rsid w:val="108B4417"/>
    <w:rsid w:val="10A90F7C"/>
    <w:rsid w:val="10C25EDE"/>
    <w:rsid w:val="10D74091"/>
    <w:rsid w:val="10DC1AB7"/>
    <w:rsid w:val="10E020F3"/>
    <w:rsid w:val="10F1473B"/>
    <w:rsid w:val="1119211E"/>
    <w:rsid w:val="111C219A"/>
    <w:rsid w:val="111C5747"/>
    <w:rsid w:val="112B17C4"/>
    <w:rsid w:val="11326ECE"/>
    <w:rsid w:val="113C4C01"/>
    <w:rsid w:val="113F4CA3"/>
    <w:rsid w:val="11417822"/>
    <w:rsid w:val="114523E5"/>
    <w:rsid w:val="11484717"/>
    <w:rsid w:val="11500422"/>
    <w:rsid w:val="116B7F9F"/>
    <w:rsid w:val="117439BB"/>
    <w:rsid w:val="11A01F89"/>
    <w:rsid w:val="11AF1E55"/>
    <w:rsid w:val="11BA61AF"/>
    <w:rsid w:val="11D933EC"/>
    <w:rsid w:val="11F27097"/>
    <w:rsid w:val="11FB3903"/>
    <w:rsid w:val="12016620"/>
    <w:rsid w:val="12036659"/>
    <w:rsid w:val="12070870"/>
    <w:rsid w:val="1208092E"/>
    <w:rsid w:val="12130C68"/>
    <w:rsid w:val="12227E62"/>
    <w:rsid w:val="122C3E57"/>
    <w:rsid w:val="12371D14"/>
    <w:rsid w:val="123A2C68"/>
    <w:rsid w:val="123C04C0"/>
    <w:rsid w:val="126128B3"/>
    <w:rsid w:val="127959BF"/>
    <w:rsid w:val="127A2827"/>
    <w:rsid w:val="128D58B4"/>
    <w:rsid w:val="12A04F4F"/>
    <w:rsid w:val="12A34203"/>
    <w:rsid w:val="12B74046"/>
    <w:rsid w:val="12D51A90"/>
    <w:rsid w:val="12DB32A6"/>
    <w:rsid w:val="12E5186E"/>
    <w:rsid w:val="12E758CA"/>
    <w:rsid w:val="12EC3FFB"/>
    <w:rsid w:val="12F1519B"/>
    <w:rsid w:val="130800FC"/>
    <w:rsid w:val="1314127C"/>
    <w:rsid w:val="13157A64"/>
    <w:rsid w:val="133726DD"/>
    <w:rsid w:val="134A310C"/>
    <w:rsid w:val="135523DE"/>
    <w:rsid w:val="135C16A3"/>
    <w:rsid w:val="135C3F5D"/>
    <w:rsid w:val="135F4757"/>
    <w:rsid w:val="13636AB7"/>
    <w:rsid w:val="136B7DE8"/>
    <w:rsid w:val="137026CB"/>
    <w:rsid w:val="13757F47"/>
    <w:rsid w:val="13761EC1"/>
    <w:rsid w:val="13776154"/>
    <w:rsid w:val="137B1545"/>
    <w:rsid w:val="138136B6"/>
    <w:rsid w:val="138B2817"/>
    <w:rsid w:val="13932807"/>
    <w:rsid w:val="13966E84"/>
    <w:rsid w:val="139C3CAC"/>
    <w:rsid w:val="13A27EB9"/>
    <w:rsid w:val="13C3075C"/>
    <w:rsid w:val="13CB7BC1"/>
    <w:rsid w:val="13F54E08"/>
    <w:rsid w:val="14092680"/>
    <w:rsid w:val="140B2C6D"/>
    <w:rsid w:val="14196B0B"/>
    <w:rsid w:val="141F5F4D"/>
    <w:rsid w:val="14487711"/>
    <w:rsid w:val="145442B4"/>
    <w:rsid w:val="145558C5"/>
    <w:rsid w:val="14576A89"/>
    <w:rsid w:val="145B47E8"/>
    <w:rsid w:val="146F2311"/>
    <w:rsid w:val="14752314"/>
    <w:rsid w:val="147632FB"/>
    <w:rsid w:val="147D7FEC"/>
    <w:rsid w:val="14854B32"/>
    <w:rsid w:val="148A32A8"/>
    <w:rsid w:val="14965E90"/>
    <w:rsid w:val="14A55CDE"/>
    <w:rsid w:val="14AA6703"/>
    <w:rsid w:val="14C16118"/>
    <w:rsid w:val="14CC47C2"/>
    <w:rsid w:val="15180F75"/>
    <w:rsid w:val="152B7979"/>
    <w:rsid w:val="153A13C2"/>
    <w:rsid w:val="153E5059"/>
    <w:rsid w:val="15406073"/>
    <w:rsid w:val="15692F96"/>
    <w:rsid w:val="157317D8"/>
    <w:rsid w:val="158538FE"/>
    <w:rsid w:val="15AA3EEC"/>
    <w:rsid w:val="15AA4AC9"/>
    <w:rsid w:val="15CC0FDB"/>
    <w:rsid w:val="15EE7FF3"/>
    <w:rsid w:val="15FC41F7"/>
    <w:rsid w:val="16187284"/>
    <w:rsid w:val="161B527E"/>
    <w:rsid w:val="16236608"/>
    <w:rsid w:val="162A02B0"/>
    <w:rsid w:val="162E5041"/>
    <w:rsid w:val="163A7C24"/>
    <w:rsid w:val="165D523E"/>
    <w:rsid w:val="166168BB"/>
    <w:rsid w:val="1665255F"/>
    <w:rsid w:val="167409DD"/>
    <w:rsid w:val="168802B9"/>
    <w:rsid w:val="168836B2"/>
    <w:rsid w:val="168B31EB"/>
    <w:rsid w:val="16912506"/>
    <w:rsid w:val="16A261B5"/>
    <w:rsid w:val="16A40A8A"/>
    <w:rsid w:val="16C110EB"/>
    <w:rsid w:val="16C938AA"/>
    <w:rsid w:val="16D52525"/>
    <w:rsid w:val="16E41FC1"/>
    <w:rsid w:val="16EB6525"/>
    <w:rsid w:val="16EF3F6B"/>
    <w:rsid w:val="16FE75C5"/>
    <w:rsid w:val="170F1ACE"/>
    <w:rsid w:val="17140366"/>
    <w:rsid w:val="171620C1"/>
    <w:rsid w:val="171A0296"/>
    <w:rsid w:val="17222F77"/>
    <w:rsid w:val="17234A7C"/>
    <w:rsid w:val="17365DB5"/>
    <w:rsid w:val="173D5762"/>
    <w:rsid w:val="174923F9"/>
    <w:rsid w:val="174C1201"/>
    <w:rsid w:val="17502964"/>
    <w:rsid w:val="175756C4"/>
    <w:rsid w:val="17705269"/>
    <w:rsid w:val="1772145A"/>
    <w:rsid w:val="17770683"/>
    <w:rsid w:val="177A2852"/>
    <w:rsid w:val="17841ABB"/>
    <w:rsid w:val="17B14051"/>
    <w:rsid w:val="17C537E6"/>
    <w:rsid w:val="17C72E4B"/>
    <w:rsid w:val="17D41571"/>
    <w:rsid w:val="17DD62FD"/>
    <w:rsid w:val="17EB6C6C"/>
    <w:rsid w:val="17F361EF"/>
    <w:rsid w:val="17FC1068"/>
    <w:rsid w:val="1808607A"/>
    <w:rsid w:val="182F4479"/>
    <w:rsid w:val="183D62C2"/>
    <w:rsid w:val="18492359"/>
    <w:rsid w:val="184D73A6"/>
    <w:rsid w:val="184E0B03"/>
    <w:rsid w:val="185D2F4B"/>
    <w:rsid w:val="18644328"/>
    <w:rsid w:val="18673E19"/>
    <w:rsid w:val="186A3398"/>
    <w:rsid w:val="18774B9A"/>
    <w:rsid w:val="187C78C4"/>
    <w:rsid w:val="188F53F8"/>
    <w:rsid w:val="189B47E4"/>
    <w:rsid w:val="189E1F0E"/>
    <w:rsid w:val="18B34914"/>
    <w:rsid w:val="18C54E6D"/>
    <w:rsid w:val="18CA0CDF"/>
    <w:rsid w:val="18D5553D"/>
    <w:rsid w:val="18F148A5"/>
    <w:rsid w:val="190D1D60"/>
    <w:rsid w:val="193E4785"/>
    <w:rsid w:val="195F3FE5"/>
    <w:rsid w:val="19604F1F"/>
    <w:rsid w:val="19723451"/>
    <w:rsid w:val="19850AD0"/>
    <w:rsid w:val="19883955"/>
    <w:rsid w:val="19A91329"/>
    <w:rsid w:val="19AB1AFB"/>
    <w:rsid w:val="19AE03C1"/>
    <w:rsid w:val="19B45339"/>
    <w:rsid w:val="19B47967"/>
    <w:rsid w:val="19BE6BF8"/>
    <w:rsid w:val="19CA34CE"/>
    <w:rsid w:val="19CD039D"/>
    <w:rsid w:val="19D91EF5"/>
    <w:rsid w:val="19E125A9"/>
    <w:rsid w:val="19E1768A"/>
    <w:rsid w:val="19EF2318"/>
    <w:rsid w:val="19FE7778"/>
    <w:rsid w:val="1A0D1849"/>
    <w:rsid w:val="1A200662"/>
    <w:rsid w:val="1A304E0A"/>
    <w:rsid w:val="1A341559"/>
    <w:rsid w:val="1A391BE4"/>
    <w:rsid w:val="1A496483"/>
    <w:rsid w:val="1A5C56BC"/>
    <w:rsid w:val="1A654C5F"/>
    <w:rsid w:val="1A6A28EC"/>
    <w:rsid w:val="1A843DCE"/>
    <w:rsid w:val="1AAC2B20"/>
    <w:rsid w:val="1AAE6A00"/>
    <w:rsid w:val="1AC97AC8"/>
    <w:rsid w:val="1ACC0EDD"/>
    <w:rsid w:val="1AD71B8B"/>
    <w:rsid w:val="1AE91F42"/>
    <w:rsid w:val="1AF73531"/>
    <w:rsid w:val="1B0C332A"/>
    <w:rsid w:val="1B162E8B"/>
    <w:rsid w:val="1B205B7B"/>
    <w:rsid w:val="1B57078C"/>
    <w:rsid w:val="1B5A1A13"/>
    <w:rsid w:val="1B640570"/>
    <w:rsid w:val="1B680130"/>
    <w:rsid w:val="1B856EE4"/>
    <w:rsid w:val="1B8F15AC"/>
    <w:rsid w:val="1B9B4505"/>
    <w:rsid w:val="1BB30658"/>
    <w:rsid w:val="1BB401CE"/>
    <w:rsid w:val="1BB87C59"/>
    <w:rsid w:val="1BBF664B"/>
    <w:rsid w:val="1BE678F6"/>
    <w:rsid w:val="1C061158"/>
    <w:rsid w:val="1C114DF5"/>
    <w:rsid w:val="1C182814"/>
    <w:rsid w:val="1C1E4A8A"/>
    <w:rsid w:val="1C4F154D"/>
    <w:rsid w:val="1C607DB2"/>
    <w:rsid w:val="1C735B0F"/>
    <w:rsid w:val="1C7875BB"/>
    <w:rsid w:val="1C7E211D"/>
    <w:rsid w:val="1C8030E0"/>
    <w:rsid w:val="1C8300C0"/>
    <w:rsid w:val="1C996A16"/>
    <w:rsid w:val="1CA80D4F"/>
    <w:rsid w:val="1CA92652"/>
    <w:rsid w:val="1CAA5352"/>
    <w:rsid w:val="1CBE7EBE"/>
    <w:rsid w:val="1CD549AD"/>
    <w:rsid w:val="1CD8633F"/>
    <w:rsid w:val="1CE25E5B"/>
    <w:rsid w:val="1CED1AC3"/>
    <w:rsid w:val="1CF30FF7"/>
    <w:rsid w:val="1CF4490D"/>
    <w:rsid w:val="1CF70595"/>
    <w:rsid w:val="1CFF1ED8"/>
    <w:rsid w:val="1CFF3061"/>
    <w:rsid w:val="1D13456F"/>
    <w:rsid w:val="1D181B85"/>
    <w:rsid w:val="1D284742"/>
    <w:rsid w:val="1D2D4A96"/>
    <w:rsid w:val="1D443D4D"/>
    <w:rsid w:val="1D4C03BA"/>
    <w:rsid w:val="1D5447CD"/>
    <w:rsid w:val="1D664B1F"/>
    <w:rsid w:val="1D84721B"/>
    <w:rsid w:val="1D9F203F"/>
    <w:rsid w:val="1DA31A08"/>
    <w:rsid w:val="1DAB70EE"/>
    <w:rsid w:val="1DBC0763"/>
    <w:rsid w:val="1DBE2C2A"/>
    <w:rsid w:val="1DDA1333"/>
    <w:rsid w:val="1DE60DC1"/>
    <w:rsid w:val="1DEB5E7F"/>
    <w:rsid w:val="1E2124A5"/>
    <w:rsid w:val="1E236E15"/>
    <w:rsid w:val="1E3A221B"/>
    <w:rsid w:val="1E3C498C"/>
    <w:rsid w:val="1E440365"/>
    <w:rsid w:val="1E473ECB"/>
    <w:rsid w:val="1E544E3F"/>
    <w:rsid w:val="1E614412"/>
    <w:rsid w:val="1E6E67D8"/>
    <w:rsid w:val="1E6F24AE"/>
    <w:rsid w:val="1E780B2E"/>
    <w:rsid w:val="1E8D2BA6"/>
    <w:rsid w:val="1EA07DF4"/>
    <w:rsid w:val="1EA15C48"/>
    <w:rsid w:val="1EA7740E"/>
    <w:rsid w:val="1EB42AC3"/>
    <w:rsid w:val="1EC975DB"/>
    <w:rsid w:val="1ED42437"/>
    <w:rsid w:val="1ED44095"/>
    <w:rsid w:val="1EE12B77"/>
    <w:rsid w:val="1EE241F9"/>
    <w:rsid w:val="1EFA240F"/>
    <w:rsid w:val="1EFC47D5"/>
    <w:rsid w:val="1F0625DD"/>
    <w:rsid w:val="1F17459F"/>
    <w:rsid w:val="1F1B731B"/>
    <w:rsid w:val="1F201FD9"/>
    <w:rsid w:val="1F271974"/>
    <w:rsid w:val="1F38023E"/>
    <w:rsid w:val="1F4C49E8"/>
    <w:rsid w:val="1F7928A0"/>
    <w:rsid w:val="1F824F9B"/>
    <w:rsid w:val="1FB27398"/>
    <w:rsid w:val="1FB369B2"/>
    <w:rsid w:val="1FB556DC"/>
    <w:rsid w:val="1FDC2058"/>
    <w:rsid w:val="1FE217EC"/>
    <w:rsid w:val="20232E47"/>
    <w:rsid w:val="202A07E3"/>
    <w:rsid w:val="203027B7"/>
    <w:rsid w:val="20344F28"/>
    <w:rsid w:val="203B0274"/>
    <w:rsid w:val="2056209C"/>
    <w:rsid w:val="205F7888"/>
    <w:rsid w:val="20606CE3"/>
    <w:rsid w:val="209B34FE"/>
    <w:rsid w:val="20A4013D"/>
    <w:rsid w:val="20A82E21"/>
    <w:rsid w:val="20B53428"/>
    <w:rsid w:val="20BA44AC"/>
    <w:rsid w:val="20EC5802"/>
    <w:rsid w:val="21183B39"/>
    <w:rsid w:val="211966AF"/>
    <w:rsid w:val="2129343F"/>
    <w:rsid w:val="214365BE"/>
    <w:rsid w:val="216002CA"/>
    <w:rsid w:val="216E7970"/>
    <w:rsid w:val="217A307F"/>
    <w:rsid w:val="217A686A"/>
    <w:rsid w:val="217B67FD"/>
    <w:rsid w:val="219700F9"/>
    <w:rsid w:val="21AA44D0"/>
    <w:rsid w:val="21B11C37"/>
    <w:rsid w:val="21B31F32"/>
    <w:rsid w:val="21CB3390"/>
    <w:rsid w:val="21DA364A"/>
    <w:rsid w:val="21EC7E43"/>
    <w:rsid w:val="21F77CA1"/>
    <w:rsid w:val="220953A0"/>
    <w:rsid w:val="221809AB"/>
    <w:rsid w:val="221951D7"/>
    <w:rsid w:val="221C34CB"/>
    <w:rsid w:val="222A2A63"/>
    <w:rsid w:val="22383517"/>
    <w:rsid w:val="223A40EF"/>
    <w:rsid w:val="223C337E"/>
    <w:rsid w:val="224A74CC"/>
    <w:rsid w:val="22505469"/>
    <w:rsid w:val="225F4CC7"/>
    <w:rsid w:val="2269591C"/>
    <w:rsid w:val="22813D29"/>
    <w:rsid w:val="228C7754"/>
    <w:rsid w:val="22996CAC"/>
    <w:rsid w:val="22B16C1D"/>
    <w:rsid w:val="22B40633"/>
    <w:rsid w:val="22C36F8E"/>
    <w:rsid w:val="22C62C1E"/>
    <w:rsid w:val="22CA7849"/>
    <w:rsid w:val="22D7057C"/>
    <w:rsid w:val="22D911C5"/>
    <w:rsid w:val="22E77A55"/>
    <w:rsid w:val="22E9703E"/>
    <w:rsid w:val="22F66CD9"/>
    <w:rsid w:val="22F93624"/>
    <w:rsid w:val="231753EB"/>
    <w:rsid w:val="23241C21"/>
    <w:rsid w:val="232A01DB"/>
    <w:rsid w:val="233F7420"/>
    <w:rsid w:val="235F34BF"/>
    <w:rsid w:val="23787408"/>
    <w:rsid w:val="238033BC"/>
    <w:rsid w:val="23842F7B"/>
    <w:rsid w:val="23926885"/>
    <w:rsid w:val="23930F8A"/>
    <w:rsid w:val="2393373D"/>
    <w:rsid w:val="23A16E72"/>
    <w:rsid w:val="23AB06F3"/>
    <w:rsid w:val="23D63FF3"/>
    <w:rsid w:val="23DA5DE6"/>
    <w:rsid w:val="23DA6AE5"/>
    <w:rsid w:val="23DD3AD5"/>
    <w:rsid w:val="23E34FEC"/>
    <w:rsid w:val="23E51D45"/>
    <w:rsid w:val="23F03365"/>
    <w:rsid w:val="241243F0"/>
    <w:rsid w:val="241870B4"/>
    <w:rsid w:val="242B28A1"/>
    <w:rsid w:val="24317F37"/>
    <w:rsid w:val="244E05BB"/>
    <w:rsid w:val="245411E7"/>
    <w:rsid w:val="245562DC"/>
    <w:rsid w:val="246178B1"/>
    <w:rsid w:val="248668D4"/>
    <w:rsid w:val="24896F28"/>
    <w:rsid w:val="248F3E4A"/>
    <w:rsid w:val="249079D4"/>
    <w:rsid w:val="24A3256E"/>
    <w:rsid w:val="24B16EEA"/>
    <w:rsid w:val="24BA4FF7"/>
    <w:rsid w:val="24C93978"/>
    <w:rsid w:val="24D86764"/>
    <w:rsid w:val="24E9367C"/>
    <w:rsid w:val="24F124D1"/>
    <w:rsid w:val="24FA598E"/>
    <w:rsid w:val="24FC3A6C"/>
    <w:rsid w:val="2510610D"/>
    <w:rsid w:val="25292DCA"/>
    <w:rsid w:val="25302162"/>
    <w:rsid w:val="253E4680"/>
    <w:rsid w:val="25400295"/>
    <w:rsid w:val="254E5479"/>
    <w:rsid w:val="257E230E"/>
    <w:rsid w:val="258E2C60"/>
    <w:rsid w:val="2593624D"/>
    <w:rsid w:val="25977C6F"/>
    <w:rsid w:val="25A00842"/>
    <w:rsid w:val="25B6018D"/>
    <w:rsid w:val="25B82157"/>
    <w:rsid w:val="25B9230D"/>
    <w:rsid w:val="25BC1060"/>
    <w:rsid w:val="25BC6ED0"/>
    <w:rsid w:val="25DE0EA9"/>
    <w:rsid w:val="25FE1013"/>
    <w:rsid w:val="260C6A77"/>
    <w:rsid w:val="260F65B3"/>
    <w:rsid w:val="2624097D"/>
    <w:rsid w:val="26446C8E"/>
    <w:rsid w:val="264919C2"/>
    <w:rsid w:val="2662721E"/>
    <w:rsid w:val="26631793"/>
    <w:rsid w:val="26636B4C"/>
    <w:rsid w:val="267C13D7"/>
    <w:rsid w:val="2687307F"/>
    <w:rsid w:val="26916261"/>
    <w:rsid w:val="26935D08"/>
    <w:rsid w:val="26956AD0"/>
    <w:rsid w:val="26982189"/>
    <w:rsid w:val="269F64C8"/>
    <w:rsid w:val="26B5321B"/>
    <w:rsid w:val="26BA36B6"/>
    <w:rsid w:val="26BC503F"/>
    <w:rsid w:val="26C012BC"/>
    <w:rsid w:val="26C143CC"/>
    <w:rsid w:val="26CB1565"/>
    <w:rsid w:val="26D0312E"/>
    <w:rsid w:val="26D21C8A"/>
    <w:rsid w:val="26D66CAB"/>
    <w:rsid w:val="26DD38D2"/>
    <w:rsid w:val="26DD53C1"/>
    <w:rsid w:val="26E21545"/>
    <w:rsid w:val="26F314BB"/>
    <w:rsid w:val="27020053"/>
    <w:rsid w:val="27074267"/>
    <w:rsid w:val="271A4F5F"/>
    <w:rsid w:val="27247178"/>
    <w:rsid w:val="27356E9C"/>
    <w:rsid w:val="275E3968"/>
    <w:rsid w:val="277D6B0D"/>
    <w:rsid w:val="277F2035"/>
    <w:rsid w:val="2781274D"/>
    <w:rsid w:val="27947C1C"/>
    <w:rsid w:val="27A15C5A"/>
    <w:rsid w:val="27A3048F"/>
    <w:rsid w:val="27A71F79"/>
    <w:rsid w:val="27A9718A"/>
    <w:rsid w:val="27BB15DA"/>
    <w:rsid w:val="27CB4B98"/>
    <w:rsid w:val="27D1065E"/>
    <w:rsid w:val="27D47AFC"/>
    <w:rsid w:val="27DD0E7D"/>
    <w:rsid w:val="27DF2071"/>
    <w:rsid w:val="27E44C2E"/>
    <w:rsid w:val="27E65C32"/>
    <w:rsid w:val="27EB05C2"/>
    <w:rsid w:val="28107B4C"/>
    <w:rsid w:val="28135D30"/>
    <w:rsid w:val="2814683C"/>
    <w:rsid w:val="28294209"/>
    <w:rsid w:val="2833710D"/>
    <w:rsid w:val="28403C4D"/>
    <w:rsid w:val="28411BC7"/>
    <w:rsid w:val="28430989"/>
    <w:rsid w:val="284C48DE"/>
    <w:rsid w:val="28613ADE"/>
    <w:rsid w:val="28640A22"/>
    <w:rsid w:val="2888726E"/>
    <w:rsid w:val="289C7722"/>
    <w:rsid w:val="28AD376B"/>
    <w:rsid w:val="28AF0E02"/>
    <w:rsid w:val="28B51AC5"/>
    <w:rsid w:val="28B90EAB"/>
    <w:rsid w:val="28C90E8B"/>
    <w:rsid w:val="28CD09A0"/>
    <w:rsid w:val="29104CB1"/>
    <w:rsid w:val="291A689B"/>
    <w:rsid w:val="29324CE1"/>
    <w:rsid w:val="29366B6F"/>
    <w:rsid w:val="29381B9B"/>
    <w:rsid w:val="29405AC6"/>
    <w:rsid w:val="294C0A96"/>
    <w:rsid w:val="29546EC8"/>
    <w:rsid w:val="29724367"/>
    <w:rsid w:val="297405E4"/>
    <w:rsid w:val="29851D80"/>
    <w:rsid w:val="29891DA7"/>
    <w:rsid w:val="299A284E"/>
    <w:rsid w:val="29B12947"/>
    <w:rsid w:val="29B41EAC"/>
    <w:rsid w:val="29B54574"/>
    <w:rsid w:val="29BD4E25"/>
    <w:rsid w:val="29BE4A5E"/>
    <w:rsid w:val="29C56A26"/>
    <w:rsid w:val="29CF4845"/>
    <w:rsid w:val="29D967E6"/>
    <w:rsid w:val="29FD7885"/>
    <w:rsid w:val="2A0259D5"/>
    <w:rsid w:val="2A0848EE"/>
    <w:rsid w:val="2A164181"/>
    <w:rsid w:val="2A1E7C9C"/>
    <w:rsid w:val="2A3138D8"/>
    <w:rsid w:val="2A3D47EE"/>
    <w:rsid w:val="2A4B5348"/>
    <w:rsid w:val="2A5567D1"/>
    <w:rsid w:val="2A58362A"/>
    <w:rsid w:val="2A676756"/>
    <w:rsid w:val="2A720B27"/>
    <w:rsid w:val="2A750617"/>
    <w:rsid w:val="2A844BF3"/>
    <w:rsid w:val="2A867B7F"/>
    <w:rsid w:val="2A882831"/>
    <w:rsid w:val="2A88675A"/>
    <w:rsid w:val="2AA131BA"/>
    <w:rsid w:val="2AA13343"/>
    <w:rsid w:val="2AAB2709"/>
    <w:rsid w:val="2AAC770B"/>
    <w:rsid w:val="2AB5269D"/>
    <w:rsid w:val="2ABC7334"/>
    <w:rsid w:val="2ABE3F5E"/>
    <w:rsid w:val="2ABF496E"/>
    <w:rsid w:val="2AC43995"/>
    <w:rsid w:val="2AC75113"/>
    <w:rsid w:val="2AC92342"/>
    <w:rsid w:val="2ACF1B94"/>
    <w:rsid w:val="2AE85F6D"/>
    <w:rsid w:val="2AE93E56"/>
    <w:rsid w:val="2AEC34B6"/>
    <w:rsid w:val="2AEE28AB"/>
    <w:rsid w:val="2AF31787"/>
    <w:rsid w:val="2AF4778E"/>
    <w:rsid w:val="2B067E60"/>
    <w:rsid w:val="2B07215F"/>
    <w:rsid w:val="2B0D7176"/>
    <w:rsid w:val="2B19080B"/>
    <w:rsid w:val="2B373B1E"/>
    <w:rsid w:val="2B561E69"/>
    <w:rsid w:val="2B5B0286"/>
    <w:rsid w:val="2B613650"/>
    <w:rsid w:val="2B63237E"/>
    <w:rsid w:val="2B69017C"/>
    <w:rsid w:val="2B6F6423"/>
    <w:rsid w:val="2B715D85"/>
    <w:rsid w:val="2B78198A"/>
    <w:rsid w:val="2BA02E5A"/>
    <w:rsid w:val="2BA67A9D"/>
    <w:rsid w:val="2BA67C10"/>
    <w:rsid w:val="2BAD312E"/>
    <w:rsid w:val="2BCE7B74"/>
    <w:rsid w:val="2BD8582F"/>
    <w:rsid w:val="2BEA6A79"/>
    <w:rsid w:val="2BF73E95"/>
    <w:rsid w:val="2C0120AF"/>
    <w:rsid w:val="2C02455B"/>
    <w:rsid w:val="2C097516"/>
    <w:rsid w:val="2C116933"/>
    <w:rsid w:val="2C2E58AC"/>
    <w:rsid w:val="2C5B7B14"/>
    <w:rsid w:val="2C680FED"/>
    <w:rsid w:val="2C6D003B"/>
    <w:rsid w:val="2C9302B4"/>
    <w:rsid w:val="2CA67B87"/>
    <w:rsid w:val="2CB23105"/>
    <w:rsid w:val="2CB74118"/>
    <w:rsid w:val="2CB96370"/>
    <w:rsid w:val="2CBF0ACE"/>
    <w:rsid w:val="2CDD7DE4"/>
    <w:rsid w:val="2CE20CEC"/>
    <w:rsid w:val="2CE6589A"/>
    <w:rsid w:val="2CF37C9A"/>
    <w:rsid w:val="2CFE2AFB"/>
    <w:rsid w:val="2D1D3656"/>
    <w:rsid w:val="2D311922"/>
    <w:rsid w:val="2D705841"/>
    <w:rsid w:val="2D7203FA"/>
    <w:rsid w:val="2D772CCC"/>
    <w:rsid w:val="2D874EDD"/>
    <w:rsid w:val="2D9679EC"/>
    <w:rsid w:val="2D983674"/>
    <w:rsid w:val="2DBB3994"/>
    <w:rsid w:val="2DC26CE1"/>
    <w:rsid w:val="2DE35A2B"/>
    <w:rsid w:val="2DE43620"/>
    <w:rsid w:val="2DE454E3"/>
    <w:rsid w:val="2DEC0BF0"/>
    <w:rsid w:val="2E002B8F"/>
    <w:rsid w:val="2E094D02"/>
    <w:rsid w:val="2E1805A9"/>
    <w:rsid w:val="2E197069"/>
    <w:rsid w:val="2E1A5BF7"/>
    <w:rsid w:val="2E1C0F9C"/>
    <w:rsid w:val="2E463A1E"/>
    <w:rsid w:val="2E5761EC"/>
    <w:rsid w:val="2E6609A2"/>
    <w:rsid w:val="2E786928"/>
    <w:rsid w:val="2E821A9D"/>
    <w:rsid w:val="2E860791"/>
    <w:rsid w:val="2E9B38AE"/>
    <w:rsid w:val="2EA43D43"/>
    <w:rsid w:val="2EAD63DE"/>
    <w:rsid w:val="2EB15F26"/>
    <w:rsid w:val="2EC456C9"/>
    <w:rsid w:val="2ED22917"/>
    <w:rsid w:val="2EDD4CC4"/>
    <w:rsid w:val="2EE928C2"/>
    <w:rsid w:val="2EE95B22"/>
    <w:rsid w:val="2EFB6836"/>
    <w:rsid w:val="2F0403D6"/>
    <w:rsid w:val="2F0B4905"/>
    <w:rsid w:val="2F0B5733"/>
    <w:rsid w:val="2F0C7B4A"/>
    <w:rsid w:val="2F106B60"/>
    <w:rsid w:val="2F17454E"/>
    <w:rsid w:val="2F185BE6"/>
    <w:rsid w:val="2F1E74CF"/>
    <w:rsid w:val="2F25154B"/>
    <w:rsid w:val="2F283EAA"/>
    <w:rsid w:val="2F407445"/>
    <w:rsid w:val="2F535B1A"/>
    <w:rsid w:val="2F610443"/>
    <w:rsid w:val="2F6E2EC0"/>
    <w:rsid w:val="2F73308C"/>
    <w:rsid w:val="2F7847BC"/>
    <w:rsid w:val="2F7D4AA4"/>
    <w:rsid w:val="2F8D2156"/>
    <w:rsid w:val="2FA70E13"/>
    <w:rsid w:val="2FAA4280"/>
    <w:rsid w:val="2FB56933"/>
    <w:rsid w:val="2FCF575E"/>
    <w:rsid w:val="2FD95536"/>
    <w:rsid w:val="2FE34E04"/>
    <w:rsid w:val="2FE93118"/>
    <w:rsid w:val="2FF72A7E"/>
    <w:rsid w:val="2FFA53AB"/>
    <w:rsid w:val="30097396"/>
    <w:rsid w:val="3015269A"/>
    <w:rsid w:val="303332CD"/>
    <w:rsid w:val="304E5B92"/>
    <w:rsid w:val="3051740D"/>
    <w:rsid w:val="305F6EE3"/>
    <w:rsid w:val="306B6744"/>
    <w:rsid w:val="306D180B"/>
    <w:rsid w:val="307257D6"/>
    <w:rsid w:val="30965955"/>
    <w:rsid w:val="3096694C"/>
    <w:rsid w:val="30B8125D"/>
    <w:rsid w:val="30C13EE0"/>
    <w:rsid w:val="30C61231"/>
    <w:rsid w:val="30DC13F0"/>
    <w:rsid w:val="30E83C20"/>
    <w:rsid w:val="30ED265D"/>
    <w:rsid w:val="30F30D62"/>
    <w:rsid w:val="30FA3EE4"/>
    <w:rsid w:val="31075C91"/>
    <w:rsid w:val="31081BAD"/>
    <w:rsid w:val="310C44A0"/>
    <w:rsid w:val="311F2B74"/>
    <w:rsid w:val="31205C64"/>
    <w:rsid w:val="312566B9"/>
    <w:rsid w:val="312F13C1"/>
    <w:rsid w:val="313F54DB"/>
    <w:rsid w:val="3148438F"/>
    <w:rsid w:val="314927B6"/>
    <w:rsid w:val="314C6AD4"/>
    <w:rsid w:val="317E2572"/>
    <w:rsid w:val="31992619"/>
    <w:rsid w:val="319B4DA4"/>
    <w:rsid w:val="31B31269"/>
    <w:rsid w:val="31C111EA"/>
    <w:rsid w:val="31C11945"/>
    <w:rsid w:val="31D10829"/>
    <w:rsid w:val="31EE3B71"/>
    <w:rsid w:val="31F1357D"/>
    <w:rsid w:val="31F51D37"/>
    <w:rsid w:val="31F648CB"/>
    <w:rsid w:val="320D5477"/>
    <w:rsid w:val="321E1ABC"/>
    <w:rsid w:val="32204AB2"/>
    <w:rsid w:val="323C2C9A"/>
    <w:rsid w:val="324C4E43"/>
    <w:rsid w:val="32553979"/>
    <w:rsid w:val="32634D0C"/>
    <w:rsid w:val="326B69E1"/>
    <w:rsid w:val="32786EF6"/>
    <w:rsid w:val="327A56E6"/>
    <w:rsid w:val="32852D86"/>
    <w:rsid w:val="3292430E"/>
    <w:rsid w:val="32984BBE"/>
    <w:rsid w:val="32A23F73"/>
    <w:rsid w:val="32A305A5"/>
    <w:rsid w:val="32CA5A05"/>
    <w:rsid w:val="32D1034A"/>
    <w:rsid w:val="32D248E7"/>
    <w:rsid w:val="32D81743"/>
    <w:rsid w:val="32E14A9C"/>
    <w:rsid w:val="32F40684"/>
    <w:rsid w:val="330074F8"/>
    <w:rsid w:val="332D348F"/>
    <w:rsid w:val="334657EF"/>
    <w:rsid w:val="334C066E"/>
    <w:rsid w:val="33523A42"/>
    <w:rsid w:val="3356418E"/>
    <w:rsid w:val="33762F9D"/>
    <w:rsid w:val="337A388A"/>
    <w:rsid w:val="338418CB"/>
    <w:rsid w:val="33855CE3"/>
    <w:rsid w:val="338A6C1B"/>
    <w:rsid w:val="338C6DE1"/>
    <w:rsid w:val="33A05736"/>
    <w:rsid w:val="33A835B7"/>
    <w:rsid w:val="33B55BB8"/>
    <w:rsid w:val="33CB54BD"/>
    <w:rsid w:val="33D23051"/>
    <w:rsid w:val="33ED5662"/>
    <w:rsid w:val="33EF626B"/>
    <w:rsid w:val="340F7C58"/>
    <w:rsid w:val="341E12AB"/>
    <w:rsid w:val="34433678"/>
    <w:rsid w:val="34442B09"/>
    <w:rsid w:val="344B7B58"/>
    <w:rsid w:val="346577CD"/>
    <w:rsid w:val="3483309A"/>
    <w:rsid w:val="348D4612"/>
    <w:rsid w:val="34A764F4"/>
    <w:rsid w:val="34C204B3"/>
    <w:rsid w:val="34C44AB9"/>
    <w:rsid w:val="34D81C33"/>
    <w:rsid w:val="34F54E73"/>
    <w:rsid w:val="351572A2"/>
    <w:rsid w:val="351917EA"/>
    <w:rsid w:val="351D3D85"/>
    <w:rsid w:val="35275692"/>
    <w:rsid w:val="353C4EF3"/>
    <w:rsid w:val="35500B16"/>
    <w:rsid w:val="3557183E"/>
    <w:rsid w:val="35732525"/>
    <w:rsid w:val="357A4836"/>
    <w:rsid w:val="358822F8"/>
    <w:rsid w:val="35941610"/>
    <w:rsid w:val="35B879B7"/>
    <w:rsid w:val="35C068B4"/>
    <w:rsid w:val="35DE6806"/>
    <w:rsid w:val="3614390D"/>
    <w:rsid w:val="36251147"/>
    <w:rsid w:val="36334AB4"/>
    <w:rsid w:val="36446795"/>
    <w:rsid w:val="36632AEA"/>
    <w:rsid w:val="36AF3103"/>
    <w:rsid w:val="36B9188B"/>
    <w:rsid w:val="36CC0A69"/>
    <w:rsid w:val="36CF74EF"/>
    <w:rsid w:val="36D72F4A"/>
    <w:rsid w:val="37027F67"/>
    <w:rsid w:val="370319D2"/>
    <w:rsid w:val="37091F1C"/>
    <w:rsid w:val="37531470"/>
    <w:rsid w:val="376848E9"/>
    <w:rsid w:val="37696E1C"/>
    <w:rsid w:val="379F2E22"/>
    <w:rsid w:val="37A100E0"/>
    <w:rsid w:val="37A440DE"/>
    <w:rsid w:val="37A473CE"/>
    <w:rsid w:val="37A6440E"/>
    <w:rsid w:val="37B42580"/>
    <w:rsid w:val="37CD2449"/>
    <w:rsid w:val="37CE5A55"/>
    <w:rsid w:val="37D1201D"/>
    <w:rsid w:val="37DA6E19"/>
    <w:rsid w:val="37DC45BF"/>
    <w:rsid w:val="37F43DF4"/>
    <w:rsid w:val="37F838B4"/>
    <w:rsid w:val="38356C0B"/>
    <w:rsid w:val="383E5030"/>
    <w:rsid w:val="384E5182"/>
    <w:rsid w:val="38540894"/>
    <w:rsid w:val="387E4926"/>
    <w:rsid w:val="38842289"/>
    <w:rsid w:val="388A3F6C"/>
    <w:rsid w:val="389534A7"/>
    <w:rsid w:val="389C6DD6"/>
    <w:rsid w:val="38A54184"/>
    <w:rsid w:val="38B5233E"/>
    <w:rsid w:val="38B54C5C"/>
    <w:rsid w:val="38B92017"/>
    <w:rsid w:val="38BD3AE8"/>
    <w:rsid w:val="38C041C8"/>
    <w:rsid w:val="38C32489"/>
    <w:rsid w:val="38D611E9"/>
    <w:rsid w:val="38D70E62"/>
    <w:rsid w:val="38DC4235"/>
    <w:rsid w:val="38E3175F"/>
    <w:rsid w:val="38E9171C"/>
    <w:rsid w:val="38EF467F"/>
    <w:rsid w:val="38FC20FB"/>
    <w:rsid w:val="392B5B1F"/>
    <w:rsid w:val="393671C3"/>
    <w:rsid w:val="39393547"/>
    <w:rsid w:val="39395588"/>
    <w:rsid w:val="3939799A"/>
    <w:rsid w:val="393F5D95"/>
    <w:rsid w:val="3946010D"/>
    <w:rsid w:val="394A17A1"/>
    <w:rsid w:val="395D59D1"/>
    <w:rsid w:val="39673D68"/>
    <w:rsid w:val="39677447"/>
    <w:rsid w:val="39702536"/>
    <w:rsid w:val="398341B0"/>
    <w:rsid w:val="39841B90"/>
    <w:rsid w:val="39956A2B"/>
    <w:rsid w:val="39BF34CA"/>
    <w:rsid w:val="39BF668E"/>
    <w:rsid w:val="39D4535A"/>
    <w:rsid w:val="39D92970"/>
    <w:rsid w:val="39DC1276"/>
    <w:rsid w:val="39E870D4"/>
    <w:rsid w:val="39EB421B"/>
    <w:rsid w:val="39EE3703"/>
    <w:rsid w:val="39F7221A"/>
    <w:rsid w:val="39F81784"/>
    <w:rsid w:val="3A015486"/>
    <w:rsid w:val="3A0D4245"/>
    <w:rsid w:val="3A290B0A"/>
    <w:rsid w:val="3A453AEC"/>
    <w:rsid w:val="3A475008"/>
    <w:rsid w:val="3A49252A"/>
    <w:rsid w:val="3A4A16BA"/>
    <w:rsid w:val="3A6B40FE"/>
    <w:rsid w:val="3A9E2B3F"/>
    <w:rsid w:val="3AB96E4F"/>
    <w:rsid w:val="3ABC0C2A"/>
    <w:rsid w:val="3AC15CEB"/>
    <w:rsid w:val="3AD204F1"/>
    <w:rsid w:val="3ADE5B44"/>
    <w:rsid w:val="3ADF4E82"/>
    <w:rsid w:val="3AEF2E86"/>
    <w:rsid w:val="3AF12B8B"/>
    <w:rsid w:val="3AF7223B"/>
    <w:rsid w:val="3AF82650"/>
    <w:rsid w:val="3AFF51C2"/>
    <w:rsid w:val="3B0D0A0F"/>
    <w:rsid w:val="3B132755"/>
    <w:rsid w:val="3B2E7D22"/>
    <w:rsid w:val="3B356E3A"/>
    <w:rsid w:val="3B4074BC"/>
    <w:rsid w:val="3B525DED"/>
    <w:rsid w:val="3B620FC3"/>
    <w:rsid w:val="3B66327D"/>
    <w:rsid w:val="3B6B58F1"/>
    <w:rsid w:val="3B822B94"/>
    <w:rsid w:val="3B8C6CCC"/>
    <w:rsid w:val="3B8F7754"/>
    <w:rsid w:val="3B9A7E9A"/>
    <w:rsid w:val="3B9C4E79"/>
    <w:rsid w:val="3B9E44E5"/>
    <w:rsid w:val="3BA814B5"/>
    <w:rsid w:val="3BBA6332"/>
    <w:rsid w:val="3BBC549B"/>
    <w:rsid w:val="3BD52D04"/>
    <w:rsid w:val="3BDF4658"/>
    <w:rsid w:val="3BE829D7"/>
    <w:rsid w:val="3BEB0D56"/>
    <w:rsid w:val="3C0942E3"/>
    <w:rsid w:val="3C207409"/>
    <w:rsid w:val="3C686101"/>
    <w:rsid w:val="3C7C006A"/>
    <w:rsid w:val="3C7C24A3"/>
    <w:rsid w:val="3C8971AA"/>
    <w:rsid w:val="3C9D53B1"/>
    <w:rsid w:val="3CA571E3"/>
    <w:rsid w:val="3CBB3018"/>
    <w:rsid w:val="3CC82439"/>
    <w:rsid w:val="3CCF1E09"/>
    <w:rsid w:val="3D10476F"/>
    <w:rsid w:val="3D271865"/>
    <w:rsid w:val="3D610AE0"/>
    <w:rsid w:val="3D6910FF"/>
    <w:rsid w:val="3D731FE7"/>
    <w:rsid w:val="3D783FFF"/>
    <w:rsid w:val="3D8224AF"/>
    <w:rsid w:val="3DA94FF8"/>
    <w:rsid w:val="3DB47994"/>
    <w:rsid w:val="3DBE4DD3"/>
    <w:rsid w:val="3DCD6892"/>
    <w:rsid w:val="3DD376D7"/>
    <w:rsid w:val="3DFF2AF0"/>
    <w:rsid w:val="3E055EC9"/>
    <w:rsid w:val="3E063608"/>
    <w:rsid w:val="3E0C2BE9"/>
    <w:rsid w:val="3E0E02DB"/>
    <w:rsid w:val="3E220595"/>
    <w:rsid w:val="3E29283E"/>
    <w:rsid w:val="3E295A7A"/>
    <w:rsid w:val="3E4615FA"/>
    <w:rsid w:val="3E4C57ED"/>
    <w:rsid w:val="3E563AC1"/>
    <w:rsid w:val="3E571B49"/>
    <w:rsid w:val="3E7C7932"/>
    <w:rsid w:val="3E8E2048"/>
    <w:rsid w:val="3EC214C4"/>
    <w:rsid w:val="3EE82A79"/>
    <w:rsid w:val="3EF7501E"/>
    <w:rsid w:val="3F193689"/>
    <w:rsid w:val="3F32648D"/>
    <w:rsid w:val="3F5D61DC"/>
    <w:rsid w:val="3F685049"/>
    <w:rsid w:val="3F705E6A"/>
    <w:rsid w:val="3F7A4E28"/>
    <w:rsid w:val="3F900E58"/>
    <w:rsid w:val="3FA81F0F"/>
    <w:rsid w:val="3FB614E6"/>
    <w:rsid w:val="3FC60A60"/>
    <w:rsid w:val="3FDF0FA7"/>
    <w:rsid w:val="3FF2282A"/>
    <w:rsid w:val="40027F51"/>
    <w:rsid w:val="400852D8"/>
    <w:rsid w:val="4019384B"/>
    <w:rsid w:val="40231D69"/>
    <w:rsid w:val="40276226"/>
    <w:rsid w:val="403F318A"/>
    <w:rsid w:val="403F6F41"/>
    <w:rsid w:val="404176CF"/>
    <w:rsid w:val="404603D7"/>
    <w:rsid w:val="40504A28"/>
    <w:rsid w:val="4058714C"/>
    <w:rsid w:val="4065216D"/>
    <w:rsid w:val="406612C8"/>
    <w:rsid w:val="406960D0"/>
    <w:rsid w:val="407A453F"/>
    <w:rsid w:val="407B3B09"/>
    <w:rsid w:val="407F76D4"/>
    <w:rsid w:val="4086259B"/>
    <w:rsid w:val="408F1FDB"/>
    <w:rsid w:val="409C32CE"/>
    <w:rsid w:val="40B13168"/>
    <w:rsid w:val="40C31C84"/>
    <w:rsid w:val="40CE1158"/>
    <w:rsid w:val="40DF1663"/>
    <w:rsid w:val="40EC15B7"/>
    <w:rsid w:val="40F527E3"/>
    <w:rsid w:val="40FC1C7E"/>
    <w:rsid w:val="41012622"/>
    <w:rsid w:val="412E1653"/>
    <w:rsid w:val="413A2613"/>
    <w:rsid w:val="41412BA9"/>
    <w:rsid w:val="415F1273"/>
    <w:rsid w:val="41635BFC"/>
    <w:rsid w:val="41656898"/>
    <w:rsid w:val="41741A72"/>
    <w:rsid w:val="41773922"/>
    <w:rsid w:val="41797487"/>
    <w:rsid w:val="41846FC7"/>
    <w:rsid w:val="41943515"/>
    <w:rsid w:val="419C467D"/>
    <w:rsid w:val="419E04CD"/>
    <w:rsid w:val="41A27E38"/>
    <w:rsid w:val="41A97FB8"/>
    <w:rsid w:val="41AB0F18"/>
    <w:rsid w:val="41AB3E95"/>
    <w:rsid w:val="41B27676"/>
    <w:rsid w:val="41E536E5"/>
    <w:rsid w:val="420F17A1"/>
    <w:rsid w:val="422C159B"/>
    <w:rsid w:val="424264A7"/>
    <w:rsid w:val="42470F07"/>
    <w:rsid w:val="424716E6"/>
    <w:rsid w:val="425016EB"/>
    <w:rsid w:val="42711B56"/>
    <w:rsid w:val="427C14D8"/>
    <w:rsid w:val="42957ABC"/>
    <w:rsid w:val="42A533F6"/>
    <w:rsid w:val="42AE12CD"/>
    <w:rsid w:val="42B06CEF"/>
    <w:rsid w:val="42DC702D"/>
    <w:rsid w:val="42FB3B1F"/>
    <w:rsid w:val="430403AA"/>
    <w:rsid w:val="430A305D"/>
    <w:rsid w:val="43177DC0"/>
    <w:rsid w:val="4340387D"/>
    <w:rsid w:val="4348452F"/>
    <w:rsid w:val="434D0DFA"/>
    <w:rsid w:val="4358340C"/>
    <w:rsid w:val="437060AF"/>
    <w:rsid w:val="438C20BD"/>
    <w:rsid w:val="439D43A5"/>
    <w:rsid w:val="43B67EE8"/>
    <w:rsid w:val="43B82462"/>
    <w:rsid w:val="43BC29BB"/>
    <w:rsid w:val="43BF1273"/>
    <w:rsid w:val="43C44C41"/>
    <w:rsid w:val="43C65260"/>
    <w:rsid w:val="43D57EE8"/>
    <w:rsid w:val="43DF5F4B"/>
    <w:rsid w:val="43E061B7"/>
    <w:rsid w:val="43E74CEE"/>
    <w:rsid w:val="43EA5595"/>
    <w:rsid w:val="43F505F3"/>
    <w:rsid w:val="43FE582B"/>
    <w:rsid w:val="440927FB"/>
    <w:rsid w:val="4424200D"/>
    <w:rsid w:val="44333F20"/>
    <w:rsid w:val="44354762"/>
    <w:rsid w:val="445C5E07"/>
    <w:rsid w:val="44667A73"/>
    <w:rsid w:val="44761C58"/>
    <w:rsid w:val="44776EF3"/>
    <w:rsid w:val="44865EB8"/>
    <w:rsid w:val="44877FF5"/>
    <w:rsid w:val="44980FF1"/>
    <w:rsid w:val="449F498C"/>
    <w:rsid w:val="44A30321"/>
    <w:rsid w:val="44AB1C00"/>
    <w:rsid w:val="44AE73B1"/>
    <w:rsid w:val="44BD7696"/>
    <w:rsid w:val="44C04DE4"/>
    <w:rsid w:val="44C11824"/>
    <w:rsid w:val="44C45F74"/>
    <w:rsid w:val="44C61C88"/>
    <w:rsid w:val="44DA2639"/>
    <w:rsid w:val="45085944"/>
    <w:rsid w:val="450B4AA3"/>
    <w:rsid w:val="450E3EF9"/>
    <w:rsid w:val="453C2005"/>
    <w:rsid w:val="45475970"/>
    <w:rsid w:val="45506477"/>
    <w:rsid w:val="45655FEA"/>
    <w:rsid w:val="45660CBD"/>
    <w:rsid w:val="45696D57"/>
    <w:rsid w:val="45760CE7"/>
    <w:rsid w:val="458E3B2C"/>
    <w:rsid w:val="459160C0"/>
    <w:rsid w:val="45970E8D"/>
    <w:rsid w:val="45A81449"/>
    <w:rsid w:val="45B63BA2"/>
    <w:rsid w:val="45CC67D9"/>
    <w:rsid w:val="45D7526A"/>
    <w:rsid w:val="45E776C4"/>
    <w:rsid w:val="45EA37DE"/>
    <w:rsid w:val="45F40F43"/>
    <w:rsid w:val="45FB3388"/>
    <w:rsid w:val="460633D8"/>
    <w:rsid w:val="460C17D1"/>
    <w:rsid w:val="46235D5C"/>
    <w:rsid w:val="46286611"/>
    <w:rsid w:val="462C765D"/>
    <w:rsid w:val="46330D50"/>
    <w:rsid w:val="463A06F9"/>
    <w:rsid w:val="46463ABA"/>
    <w:rsid w:val="464949DA"/>
    <w:rsid w:val="465B7E84"/>
    <w:rsid w:val="465C4836"/>
    <w:rsid w:val="46771B2A"/>
    <w:rsid w:val="46880B2B"/>
    <w:rsid w:val="46902785"/>
    <w:rsid w:val="46A86B26"/>
    <w:rsid w:val="46B61944"/>
    <w:rsid w:val="46CE4EDF"/>
    <w:rsid w:val="46EB2B21"/>
    <w:rsid w:val="46F8475F"/>
    <w:rsid w:val="470004EF"/>
    <w:rsid w:val="470970DB"/>
    <w:rsid w:val="47150D60"/>
    <w:rsid w:val="471548BC"/>
    <w:rsid w:val="473E46ED"/>
    <w:rsid w:val="47404994"/>
    <w:rsid w:val="47473BF4"/>
    <w:rsid w:val="478273B4"/>
    <w:rsid w:val="47956FB7"/>
    <w:rsid w:val="47A41F17"/>
    <w:rsid w:val="47A91D66"/>
    <w:rsid w:val="47BC123E"/>
    <w:rsid w:val="47BF4240"/>
    <w:rsid w:val="47CD5D7F"/>
    <w:rsid w:val="47D55D04"/>
    <w:rsid w:val="47D57B87"/>
    <w:rsid w:val="47E17015"/>
    <w:rsid w:val="47F0201E"/>
    <w:rsid w:val="48012D90"/>
    <w:rsid w:val="48014C0F"/>
    <w:rsid w:val="4820176A"/>
    <w:rsid w:val="483439F5"/>
    <w:rsid w:val="483E2716"/>
    <w:rsid w:val="48435459"/>
    <w:rsid w:val="4850549A"/>
    <w:rsid w:val="48751F9C"/>
    <w:rsid w:val="4880009A"/>
    <w:rsid w:val="488074D2"/>
    <w:rsid w:val="48855A71"/>
    <w:rsid w:val="48910795"/>
    <w:rsid w:val="489E457F"/>
    <w:rsid w:val="48A51C70"/>
    <w:rsid w:val="48AB019F"/>
    <w:rsid w:val="48AF3164"/>
    <w:rsid w:val="48BF2D31"/>
    <w:rsid w:val="48DC0082"/>
    <w:rsid w:val="48E338CE"/>
    <w:rsid w:val="48E5217E"/>
    <w:rsid w:val="48EF3267"/>
    <w:rsid w:val="48EF450F"/>
    <w:rsid w:val="48F359FF"/>
    <w:rsid w:val="49104677"/>
    <w:rsid w:val="4916491B"/>
    <w:rsid w:val="491914E8"/>
    <w:rsid w:val="4921759B"/>
    <w:rsid w:val="492E4707"/>
    <w:rsid w:val="49341F33"/>
    <w:rsid w:val="49571C39"/>
    <w:rsid w:val="49935F3C"/>
    <w:rsid w:val="49997262"/>
    <w:rsid w:val="499E328F"/>
    <w:rsid w:val="49B77726"/>
    <w:rsid w:val="49D80B80"/>
    <w:rsid w:val="49DE79DC"/>
    <w:rsid w:val="49DF26FD"/>
    <w:rsid w:val="49E91E4E"/>
    <w:rsid w:val="4A4E4D34"/>
    <w:rsid w:val="4A582961"/>
    <w:rsid w:val="4A605569"/>
    <w:rsid w:val="4A6B7F20"/>
    <w:rsid w:val="4A7B7FC6"/>
    <w:rsid w:val="4A80320D"/>
    <w:rsid w:val="4A8C30E7"/>
    <w:rsid w:val="4A9E5A1D"/>
    <w:rsid w:val="4AA70CB4"/>
    <w:rsid w:val="4AB65DA3"/>
    <w:rsid w:val="4AC34C6D"/>
    <w:rsid w:val="4AD05CCA"/>
    <w:rsid w:val="4ADD02FC"/>
    <w:rsid w:val="4AF16237"/>
    <w:rsid w:val="4B0A45D6"/>
    <w:rsid w:val="4B232D3E"/>
    <w:rsid w:val="4B247D33"/>
    <w:rsid w:val="4B2B3242"/>
    <w:rsid w:val="4B434576"/>
    <w:rsid w:val="4B483EA1"/>
    <w:rsid w:val="4B516170"/>
    <w:rsid w:val="4B5674EB"/>
    <w:rsid w:val="4B603EF9"/>
    <w:rsid w:val="4B6B0956"/>
    <w:rsid w:val="4B732E6F"/>
    <w:rsid w:val="4B796882"/>
    <w:rsid w:val="4B847B1A"/>
    <w:rsid w:val="4B96740A"/>
    <w:rsid w:val="4B9A28D7"/>
    <w:rsid w:val="4BA221F7"/>
    <w:rsid w:val="4BAE27DB"/>
    <w:rsid w:val="4BCA7C79"/>
    <w:rsid w:val="4BCE00D6"/>
    <w:rsid w:val="4BD4709B"/>
    <w:rsid w:val="4BD9235C"/>
    <w:rsid w:val="4BF53406"/>
    <w:rsid w:val="4C0C7990"/>
    <w:rsid w:val="4C197B3B"/>
    <w:rsid w:val="4C257CE5"/>
    <w:rsid w:val="4C2A067F"/>
    <w:rsid w:val="4C6742A8"/>
    <w:rsid w:val="4C6C1622"/>
    <w:rsid w:val="4C7520DF"/>
    <w:rsid w:val="4C775171"/>
    <w:rsid w:val="4C9760F2"/>
    <w:rsid w:val="4CA45150"/>
    <w:rsid w:val="4CA87143"/>
    <w:rsid w:val="4CB01E34"/>
    <w:rsid w:val="4CC268A3"/>
    <w:rsid w:val="4CCD7FCE"/>
    <w:rsid w:val="4CE45D70"/>
    <w:rsid w:val="4CEB501C"/>
    <w:rsid w:val="4CF328B3"/>
    <w:rsid w:val="4D181E2D"/>
    <w:rsid w:val="4D1A0334"/>
    <w:rsid w:val="4D20103B"/>
    <w:rsid w:val="4D27359B"/>
    <w:rsid w:val="4D2C1E13"/>
    <w:rsid w:val="4D445721"/>
    <w:rsid w:val="4D4F27D7"/>
    <w:rsid w:val="4D73344B"/>
    <w:rsid w:val="4D907F8D"/>
    <w:rsid w:val="4D990DB5"/>
    <w:rsid w:val="4D9E6B46"/>
    <w:rsid w:val="4DA1744F"/>
    <w:rsid w:val="4DB22512"/>
    <w:rsid w:val="4DB77506"/>
    <w:rsid w:val="4DC82688"/>
    <w:rsid w:val="4DD1616A"/>
    <w:rsid w:val="4DD27A9D"/>
    <w:rsid w:val="4DE87D1C"/>
    <w:rsid w:val="4DFC36D4"/>
    <w:rsid w:val="4E025B37"/>
    <w:rsid w:val="4E04172E"/>
    <w:rsid w:val="4E075C87"/>
    <w:rsid w:val="4E4107C9"/>
    <w:rsid w:val="4E466E0C"/>
    <w:rsid w:val="4E4769A2"/>
    <w:rsid w:val="4E4E6628"/>
    <w:rsid w:val="4E564138"/>
    <w:rsid w:val="4E6A772D"/>
    <w:rsid w:val="4E8A2208"/>
    <w:rsid w:val="4E964534"/>
    <w:rsid w:val="4EAD0737"/>
    <w:rsid w:val="4EB64895"/>
    <w:rsid w:val="4EBA2D91"/>
    <w:rsid w:val="4ECF11B4"/>
    <w:rsid w:val="4EEA0E81"/>
    <w:rsid w:val="4F0E7C91"/>
    <w:rsid w:val="4F1236FE"/>
    <w:rsid w:val="4F2136AB"/>
    <w:rsid w:val="4F2732DA"/>
    <w:rsid w:val="4F2E29BF"/>
    <w:rsid w:val="4F302BDB"/>
    <w:rsid w:val="4F3B6610"/>
    <w:rsid w:val="4F420C6F"/>
    <w:rsid w:val="4F493C9D"/>
    <w:rsid w:val="4F581781"/>
    <w:rsid w:val="4F73753D"/>
    <w:rsid w:val="4FAD33D1"/>
    <w:rsid w:val="4FC444D4"/>
    <w:rsid w:val="4FD3748D"/>
    <w:rsid w:val="4FE66397"/>
    <w:rsid w:val="4FEA5FA1"/>
    <w:rsid w:val="4FEE5DDD"/>
    <w:rsid w:val="4FF70CEF"/>
    <w:rsid w:val="4FF879F7"/>
    <w:rsid w:val="500A0BF8"/>
    <w:rsid w:val="501A7A4E"/>
    <w:rsid w:val="501D12FE"/>
    <w:rsid w:val="5031742F"/>
    <w:rsid w:val="50320005"/>
    <w:rsid w:val="50383091"/>
    <w:rsid w:val="5044383E"/>
    <w:rsid w:val="505A0442"/>
    <w:rsid w:val="505C6EC4"/>
    <w:rsid w:val="505E4A71"/>
    <w:rsid w:val="50617584"/>
    <w:rsid w:val="50635F97"/>
    <w:rsid w:val="50644BC0"/>
    <w:rsid w:val="50697A27"/>
    <w:rsid w:val="50954678"/>
    <w:rsid w:val="50AC462B"/>
    <w:rsid w:val="50AD5F05"/>
    <w:rsid w:val="50CA3508"/>
    <w:rsid w:val="50E229CB"/>
    <w:rsid w:val="50FD7FF5"/>
    <w:rsid w:val="51043F4F"/>
    <w:rsid w:val="5113145E"/>
    <w:rsid w:val="512978E2"/>
    <w:rsid w:val="512B6F08"/>
    <w:rsid w:val="512C27A6"/>
    <w:rsid w:val="514502C8"/>
    <w:rsid w:val="51456B83"/>
    <w:rsid w:val="5159026B"/>
    <w:rsid w:val="51605137"/>
    <w:rsid w:val="517B33C3"/>
    <w:rsid w:val="517C722D"/>
    <w:rsid w:val="518D34A9"/>
    <w:rsid w:val="51906E0B"/>
    <w:rsid w:val="51A65E3B"/>
    <w:rsid w:val="51B76FC0"/>
    <w:rsid w:val="52145B48"/>
    <w:rsid w:val="52150E7E"/>
    <w:rsid w:val="522F3087"/>
    <w:rsid w:val="52346436"/>
    <w:rsid w:val="52476F83"/>
    <w:rsid w:val="52477EA4"/>
    <w:rsid w:val="5249247B"/>
    <w:rsid w:val="525070F0"/>
    <w:rsid w:val="52846224"/>
    <w:rsid w:val="52851733"/>
    <w:rsid w:val="52875E48"/>
    <w:rsid w:val="52984315"/>
    <w:rsid w:val="52C62690"/>
    <w:rsid w:val="52D77F56"/>
    <w:rsid w:val="52D942AB"/>
    <w:rsid w:val="52DF1317"/>
    <w:rsid w:val="52E8562E"/>
    <w:rsid w:val="52F43D16"/>
    <w:rsid w:val="52F55CB5"/>
    <w:rsid w:val="53066853"/>
    <w:rsid w:val="53080D44"/>
    <w:rsid w:val="531B0367"/>
    <w:rsid w:val="532F4F9E"/>
    <w:rsid w:val="53371D4D"/>
    <w:rsid w:val="533F2119"/>
    <w:rsid w:val="53493DE9"/>
    <w:rsid w:val="53567CDD"/>
    <w:rsid w:val="53580585"/>
    <w:rsid w:val="536C3BE4"/>
    <w:rsid w:val="537F00C3"/>
    <w:rsid w:val="53830D61"/>
    <w:rsid w:val="538F08B6"/>
    <w:rsid w:val="53A36E35"/>
    <w:rsid w:val="53A70F92"/>
    <w:rsid w:val="53AD7B18"/>
    <w:rsid w:val="53CA44F3"/>
    <w:rsid w:val="53D30783"/>
    <w:rsid w:val="53D401DF"/>
    <w:rsid w:val="53D42046"/>
    <w:rsid w:val="53F1032D"/>
    <w:rsid w:val="53F377CB"/>
    <w:rsid w:val="541E1FD5"/>
    <w:rsid w:val="54200E8D"/>
    <w:rsid w:val="54394D65"/>
    <w:rsid w:val="54453F5E"/>
    <w:rsid w:val="544A178C"/>
    <w:rsid w:val="546569BE"/>
    <w:rsid w:val="546C36A7"/>
    <w:rsid w:val="54710059"/>
    <w:rsid w:val="54974EC8"/>
    <w:rsid w:val="54B62802"/>
    <w:rsid w:val="54BB4C5D"/>
    <w:rsid w:val="54C623B4"/>
    <w:rsid w:val="55101C59"/>
    <w:rsid w:val="55143CD9"/>
    <w:rsid w:val="55144AC1"/>
    <w:rsid w:val="551D7302"/>
    <w:rsid w:val="553E0DC9"/>
    <w:rsid w:val="55445770"/>
    <w:rsid w:val="55666960"/>
    <w:rsid w:val="5572737D"/>
    <w:rsid w:val="557464A0"/>
    <w:rsid w:val="557979E1"/>
    <w:rsid w:val="55804EED"/>
    <w:rsid w:val="55875CE9"/>
    <w:rsid w:val="55A6157F"/>
    <w:rsid w:val="55BE344A"/>
    <w:rsid w:val="55D70145"/>
    <w:rsid w:val="55D84FFF"/>
    <w:rsid w:val="55E42029"/>
    <w:rsid w:val="55F10BEA"/>
    <w:rsid w:val="55F260E5"/>
    <w:rsid w:val="56001EDB"/>
    <w:rsid w:val="560B1290"/>
    <w:rsid w:val="56143BB3"/>
    <w:rsid w:val="56152E93"/>
    <w:rsid w:val="561B5CFD"/>
    <w:rsid w:val="563629E4"/>
    <w:rsid w:val="56585852"/>
    <w:rsid w:val="565C215F"/>
    <w:rsid w:val="566410EE"/>
    <w:rsid w:val="5667780A"/>
    <w:rsid w:val="566F2AE8"/>
    <w:rsid w:val="567063AF"/>
    <w:rsid w:val="567F6353"/>
    <w:rsid w:val="56804056"/>
    <w:rsid w:val="5697315C"/>
    <w:rsid w:val="56AF396E"/>
    <w:rsid w:val="56B40FB4"/>
    <w:rsid w:val="56C363FF"/>
    <w:rsid w:val="56E2072E"/>
    <w:rsid w:val="56F47EE0"/>
    <w:rsid w:val="57011CAB"/>
    <w:rsid w:val="5713049E"/>
    <w:rsid w:val="5713289F"/>
    <w:rsid w:val="57144722"/>
    <w:rsid w:val="571810AD"/>
    <w:rsid w:val="572F3B6C"/>
    <w:rsid w:val="57434B96"/>
    <w:rsid w:val="5749356B"/>
    <w:rsid w:val="574F37A1"/>
    <w:rsid w:val="57520607"/>
    <w:rsid w:val="5763059E"/>
    <w:rsid w:val="5778753B"/>
    <w:rsid w:val="57AE0B41"/>
    <w:rsid w:val="57AE3EDF"/>
    <w:rsid w:val="57BB46B5"/>
    <w:rsid w:val="57DD1C75"/>
    <w:rsid w:val="57E10CEA"/>
    <w:rsid w:val="57F556B0"/>
    <w:rsid w:val="580C3DA3"/>
    <w:rsid w:val="581024FE"/>
    <w:rsid w:val="58346FF7"/>
    <w:rsid w:val="58600972"/>
    <w:rsid w:val="58680CEE"/>
    <w:rsid w:val="5869762B"/>
    <w:rsid w:val="587B7D66"/>
    <w:rsid w:val="58A321B7"/>
    <w:rsid w:val="58AF676F"/>
    <w:rsid w:val="58BC214D"/>
    <w:rsid w:val="58C769AB"/>
    <w:rsid w:val="58ED0B54"/>
    <w:rsid w:val="58F53E2D"/>
    <w:rsid w:val="591C4CFD"/>
    <w:rsid w:val="5948042B"/>
    <w:rsid w:val="594B7142"/>
    <w:rsid w:val="59522191"/>
    <w:rsid w:val="59542906"/>
    <w:rsid w:val="595C18D1"/>
    <w:rsid w:val="596001C1"/>
    <w:rsid w:val="59912ECE"/>
    <w:rsid w:val="59A26440"/>
    <w:rsid w:val="59C15A43"/>
    <w:rsid w:val="59D17028"/>
    <w:rsid w:val="5A051A9F"/>
    <w:rsid w:val="5A096502"/>
    <w:rsid w:val="5A0F3BAF"/>
    <w:rsid w:val="5A130FF6"/>
    <w:rsid w:val="5A25283C"/>
    <w:rsid w:val="5A3E2A97"/>
    <w:rsid w:val="5A5C0DF8"/>
    <w:rsid w:val="5A613D34"/>
    <w:rsid w:val="5A956E46"/>
    <w:rsid w:val="5AA9046D"/>
    <w:rsid w:val="5AAA7EB2"/>
    <w:rsid w:val="5ACC1D6C"/>
    <w:rsid w:val="5ACF5F0B"/>
    <w:rsid w:val="5AF66EF7"/>
    <w:rsid w:val="5AF839B9"/>
    <w:rsid w:val="5B0222B5"/>
    <w:rsid w:val="5B392E17"/>
    <w:rsid w:val="5B425FF4"/>
    <w:rsid w:val="5B477A61"/>
    <w:rsid w:val="5B4B2B4A"/>
    <w:rsid w:val="5B4C7B90"/>
    <w:rsid w:val="5B57504B"/>
    <w:rsid w:val="5B7805BD"/>
    <w:rsid w:val="5B95166C"/>
    <w:rsid w:val="5BAD5028"/>
    <w:rsid w:val="5BBA5C48"/>
    <w:rsid w:val="5C073521"/>
    <w:rsid w:val="5C084598"/>
    <w:rsid w:val="5C0E08F0"/>
    <w:rsid w:val="5C1E200D"/>
    <w:rsid w:val="5C2B58AA"/>
    <w:rsid w:val="5C665177"/>
    <w:rsid w:val="5C671404"/>
    <w:rsid w:val="5C8B6DD5"/>
    <w:rsid w:val="5C96409A"/>
    <w:rsid w:val="5CA152D9"/>
    <w:rsid w:val="5CA940FC"/>
    <w:rsid w:val="5CBE72A4"/>
    <w:rsid w:val="5CC901CB"/>
    <w:rsid w:val="5CED5CCF"/>
    <w:rsid w:val="5CF57B08"/>
    <w:rsid w:val="5CFA0B6A"/>
    <w:rsid w:val="5CFF0F6D"/>
    <w:rsid w:val="5D055995"/>
    <w:rsid w:val="5D2D023A"/>
    <w:rsid w:val="5D3149A5"/>
    <w:rsid w:val="5D6F1515"/>
    <w:rsid w:val="5D754AB9"/>
    <w:rsid w:val="5D821189"/>
    <w:rsid w:val="5D831293"/>
    <w:rsid w:val="5D862165"/>
    <w:rsid w:val="5D8E4CCE"/>
    <w:rsid w:val="5D96766E"/>
    <w:rsid w:val="5D9F5CA8"/>
    <w:rsid w:val="5DA71903"/>
    <w:rsid w:val="5DAB506B"/>
    <w:rsid w:val="5DAC60E6"/>
    <w:rsid w:val="5DB04B74"/>
    <w:rsid w:val="5DBC7C55"/>
    <w:rsid w:val="5DCC21E0"/>
    <w:rsid w:val="5DD255E6"/>
    <w:rsid w:val="5DD627DD"/>
    <w:rsid w:val="5DE6548E"/>
    <w:rsid w:val="5DE77A3D"/>
    <w:rsid w:val="5DEC6E57"/>
    <w:rsid w:val="5DF254FF"/>
    <w:rsid w:val="5DF97CC4"/>
    <w:rsid w:val="5E057B68"/>
    <w:rsid w:val="5E0A7399"/>
    <w:rsid w:val="5E0F4D2D"/>
    <w:rsid w:val="5E1822E9"/>
    <w:rsid w:val="5E3106F6"/>
    <w:rsid w:val="5E355DCA"/>
    <w:rsid w:val="5E37477F"/>
    <w:rsid w:val="5E481638"/>
    <w:rsid w:val="5E5F3D7F"/>
    <w:rsid w:val="5E754D78"/>
    <w:rsid w:val="5EAA5C57"/>
    <w:rsid w:val="5EB27972"/>
    <w:rsid w:val="5ECD523E"/>
    <w:rsid w:val="5ED75648"/>
    <w:rsid w:val="5EDD2F70"/>
    <w:rsid w:val="5EE015EC"/>
    <w:rsid w:val="5EE210AC"/>
    <w:rsid w:val="5F076455"/>
    <w:rsid w:val="5F094293"/>
    <w:rsid w:val="5F1C2834"/>
    <w:rsid w:val="5F2B1163"/>
    <w:rsid w:val="5F3A621F"/>
    <w:rsid w:val="5F483696"/>
    <w:rsid w:val="5F4F1E6B"/>
    <w:rsid w:val="5F574CBF"/>
    <w:rsid w:val="5F600E96"/>
    <w:rsid w:val="5F7C7033"/>
    <w:rsid w:val="5F861136"/>
    <w:rsid w:val="5F9C7813"/>
    <w:rsid w:val="5FA93A7E"/>
    <w:rsid w:val="5FC63477"/>
    <w:rsid w:val="5FCB09B4"/>
    <w:rsid w:val="5FCC55B4"/>
    <w:rsid w:val="5FE22FDD"/>
    <w:rsid w:val="5FE3080A"/>
    <w:rsid w:val="5FEF770E"/>
    <w:rsid w:val="5FF12C89"/>
    <w:rsid w:val="5FF93363"/>
    <w:rsid w:val="600C48A5"/>
    <w:rsid w:val="600E0381"/>
    <w:rsid w:val="60152FF2"/>
    <w:rsid w:val="601F7192"/>
    <w:rsid w:val="6020547D"/>
    <w:rsid w:val="603658A5"/>
    <w:rsid w:val="603B63F3"/>
    <w:rsid w:val="60424BB6"/>
    <w:rsid w:val="60470E5C"/>
    <w:rsid w:val="606B1DA7"/>
    <w:rsid w:val="606E4EAA"/>
    <w:rsid w:val="608025F0"/>
    <w:rsid w:val="60827AAC"/>
    <w:rsid w:val="608B7802"/>
    <w:rsid w:val="60A056E7"/>
    <w:rsid w:val="60A53A05"/>
    <w:rsid w:val="60B3541A"/>
    <w:rsid w:val="60B3720A"/>
    <w:rsid w:val="60C3249E"/>
    <w:rsid w:val="60C41924"/>
    <w:rsid w:val="60E636D7"/>
    <w:rsid w:val="60E9305D"/>
    <w:rsid w:val="61034A71"/>
    <w:rsid w:val="610407AC"/>
    <w:rsid w:val="610E05B6"/>
    <w:rsid w:val="611A516C"/>
    <w:rsid w:val="611F2AAF"/>
    <w:rsid w:val="614C72C9"/>
    <w:rsid w:val="61510C2C"/>
    <w:rsid w:val="615C160D"/>
    <w:rsid w:val="61692624"/>
    <w:rsid w:val="616C7ADC"/>
    <w:rsid w:val="61834970"/>
    <w:rsid w:val="618F268C"/>
    <w:rsid w:val="61915B6A"/>
    <w:rsid w:val="61A22D98"/>
    <w:rsid w:val="61A62735"/>
    <w:rsid w:val="61D3701F"/>
    <w:rsid w:val="61DB6EE5"/>
    <w:rsid w:val="61EC6B7D"/>
    <w:rsid w:val="61F15A45"/>
    <w:rsid w:val="61F2505B"/>
    <w:rsid w:val="61F41846"/>
    <w:rsid w:val="61F77B72"/>
    <w:rsid w:val="61FB03E8"/>
    <w:rsid w:val="61FB1EEE"/>
    <w:rsid w:val="62136F5B"/>
    <w:rsid w:val="621E38A9"/>
    <w:rsid w:val="62211CC2"/>
    <w:rsid w:val="62236B5C"/>
    <w:rsid w:val="62302B1A"/>
    <w:rsid w:val="62487DE4"/>
    <w:rsid w:val="624B147E"/>
    <w:rsid w:val="626243A0"/>
    <w:rsid w:val="62633148"/>
    <w:rsid w:val="626D02AB"/>
    <w:rsid w:val="629B7CC7"/>
    <w:rsid w:val="62A015D3"/>
    <w:rsid w:val="62A96AD4"/>
    <w:rsid w:val="62F029CF"/>
    <w:rsid w:val="62F2406F"/>
    <w:rsid w:val="62FB2247"/>
    <w:rsid w:val="63027A37"/>
    <w:rsid w:val="630D7CD1"/>
    <w:rsid w:val="63100901"/>
    <w:rsid w:val="631E21C4"/>
    <w:rsid w:val="632960A5"/>
    <w:rsid w:val="6330572A"/>
    <w:rsid w:val="633B746C"/>
    <w:rsid w:val="63532925"/>
    <w:rsid w:val="63650DA6"/>
    <w:rsid w:val="636D043F"/>
    <w:rsid w:val="636D204A"/>
    <w:rsid w:val="63712453"/>
    <w:rsid w:val="63715118"/>
    <w:rsid w:val="638B4CB7"/>
    <w:rsid w:val="63D339A6"/>
    <w:rsid w:val="63E45201"/>
    <w:rsid w:val="63F22BC0"/>
    <w:rsid w:val="63F25A69"/>
    <w:rsid w:val="63F465C4"/>
    <w:rsid w:val="640B5E1E"/>
    <w:rsid w:val="641457E4"/>
    <w:rsid w:val="64197BDC"/>
    <w:rsid w:val="641D69ED"/>
    <w:rsid w:val="64630F05"/>
    <w:rsid w:val="646C5EDD"/>
    <w:rsid w:val="647A30E3"/>
    <w:rsid w:val="64805B23"/>
    <w:rsid w:val="649410BE"/>
    <w:rsid w:val="649E3CEB"/>
    <w:rsid w:val="64AC0143"/>
    <w:rsid w:val="64AC3253"/>
    <w:rsid w:val="64B40872"/>
    <w:rsid w:val="64FA057E"/>
    <w:rsid w:val="64FC71EC"/>
    <w:rsid w:val="651C6115"/>
    <w:rsid w:val="65256709"/>
    <w:rsid w:val="65326A49"/>
    <w:rsid w:val="653438C6"/>
    <w:rsid w:val="6535464F"/>
    <w:rsid w:val="653F1A0F"/>
    <w:rsid w:val="654F4302"/>
    <w:rsid w:val="65565DE9"/>
    <w:rsid w:val="65577F96"/>
    <w:rsid w:val="6558033E"/>
    <w:rsid w:val="657038D9"/>
    <w:rsid w:val="657213FC"/>
    <w:rsid w:val="657F4273"/>
    <w:rsid w:val="65846BC3"/>
    <w:rsid w:val="65871ED4"/>
    <w:rsid w:val="65B0405E"/>
    <w:rsid w:val="65B30E6D"/>
    <w:rsid w:val="65BF73BF"/>
    <w:rsid w:val="65C71020"/>
    <w:rsid w:val="65CC4A57"/>
    <w:rsid w:val="65E02479"/>
    <w:rsid w:val="65FB2AC6"/>
    <w:rsid w:val="65FF226E"/>
    <w:rsid w:val="661204ED"/>
    <w:rsid w:val="66143C2D"/>
    <w:rsid w:val="6621155B"/>
    <w:rsid w:val="66432D9C"/>
    <w:rsid w:val="66537B83"/>
    <w:rsid w:val="665A0C45"/>
    <w:rsid w:val="665C4848"/>
    <w:rsid w:val="66652341"/>
    <w:rsid w:val="666A41F2"/>
    <w:rsid w:val="667142CA"/>
    <w:rsid w:val="66A30CF8"/>
    <w:rsid w:val="66A97B02"/>
    <w:rsid w:val="66B70E81"/>
    <w:rsid w:val="66BE7558"/>
    <w:rsid w:val="66C91495"/>
    <w:rsid w:val="66CB24A4"/>
    <w:rsid w:val="66D51156"/>
    <w:rsid w:val="66D91535"/>
    <w:rsid w:val="66D9725C"/>
    <w:rsid w:val="66E35129"/>
    <w:rsid w:val="66E55D21"/>
    <w:rsid w:val="66FF3B38"/>
    <w:rsid w:val="67010561"/>
    <w:rsid w:val="670753DD"/>
    <w:rsid w:val="670775EB"/>
    <w:rsid w:val="67117F3E"/>
    <w:rsid w:val="67200AA1"/>
    <w:rsid w:val="67351D49"/>
    <w:rsid w:val="673B7F17"/>
    <w:rsid w:val="674A4E59"/>
    <w:rsid w:val="67544269"/>
    <w:rsid w:val="675D0DC8"/>
    <w:rsid w:val="675E1C15"/>
    <w:rsid w:val="67686E51"/>
    <w:rsid w:val="676B5A0F"/>
    <w:rsid w:val="67717495"/>
    <w:rsid w:val="678064C4"/>
    <w:rsid w:val="67866863"/>
    <w:rsid w:val="67920381"/>
    <w:rsid w:val="67943989"/>
    <w:rsid w:val="67957627"/>
    <w:rsid w:val="679A69EC"/>
    <w:rsid w:val="67A21E2E"/>
    <w:rsid w:val="67B10283"/>
    <w:rsid w:val="67B50A89"/>
    <w:rsid w:val="67B825FA"/>
    <w:rsid w:val="67BB59EA"/>
    <w:rsid w:val="67D626CE"/>
    <w:rsid w:val="67DB2F87"/>
    <w:rsid w:val="67DF2C0F"/>
    <w:rsid w:val="67E07373"/>
    <w:rsid w:val="67ED2348"/>
    <w:rsid w:val="67F4373C"/>
    <w:rsid w:val="67FF13EC"/>
    <w:rsid w:val="68063F90"/>
    <w:rsid w:val="68183F6D"/>
    <w:rsid w:val="68246F8B"/>
    <w:rsid w:val="68283C8B"/>
    <w:rsid w:val="68380CEE"/>
    <w:rsid w:val="68431027"/>
    <w:rsid w:val="684B732F"/>
    <w:rsid w:val="685C72B9"/>
    <w:rsid w:val="687F6728"/>
    <w:rsid w:val="689D41C3"/>
    <w:rsid w:val="68B849DE"/>
    <w:rsid w:val="68B94A42"/>
    <w:rsid w:val="68CA5D6E"/>
    <w:rsid w:val="68CE2C0A"/>
    <w:rsid w:val="68CF2329"/>
    <w:rsid w:val="68D45F2D"/>
    <w:rsid w:val="68DA5E20"/>
    <w:rsid w:val="68DF4F2B"/>
    <w:rsid w:val="690723A1"/>
    <w:rsid w:val="690D464A"/>
    <w:rsid w:val="690E005B"/>
    <w:rsid w:val="690F2F18"/>
    <w:rsid w:val="69113FEB"/>
    <w:rsid w:val="69232A11"/>
    <w:rsid w:val="692416F4"/>
    <w:rsid w:val="69256292"/>
    <w:rsid w:val="69266EEC"/>
    <w:rsid w:val="69335FEA"/>
    <w:rsid w:val="694033C7"/>
    <w:rsid w:val="694C0E3E"/>
    <w:rsid w:val="69927272"/>
    <w:rsid w:val="69A26638"/>
    <w:rsid w:val="69AC4117"/>
    <w:rsid w:val="69BF2227"/>
    <w:rsid w:val="69E95574"/>
    <w:rsid w:val="69ED11B0"/>
    <w:rsid w:val="69EE4AD5"/>
    <w:rsid w:val="69F41483"/>
    <w:rsid w:val="69F96E9C"/>
    <w:rsid w:val="6A0B56DD"/>
    <w:rsid w:val="6A104573"/>
    <w:rsid w:val="6A13552B"/>
    <w:rsid w:val="6A2045A6"/>
    <w:rsid w:val="6A223D60"/>
    <w:rsid w:val="6A2837FE"/>
    <w:rsid w:val="6A2C2329"/>
    <w:rsid w:val="6A320654"/>
    <w:rsid w:val="6A386DC7"/>
    <w:rsid w:val="6A3C5EDC"/>
    <w:rsid w:val="6A482BC4"/>
    <w:rsid w:val="6A4B09C5"/>
    <w:rsid w:val="6A563533"/>
    <w:rsid w:val="6A622E38"/>
    <w:rsid w:val="6A833C18"/>
    <w:rsid w:val="6A9B1A51"/>
    <w:rsid w:val="6ADF6E0B"/>
    <w:rsid w:val="6AE00A7A"/>
    <w:rsid w:val="6AE070E8"/>
    <w:rsid w:val="6AF16B24"/>
    <w:rsid w:val="6AF46067"/>
    <w:rsid w:val="6AFE1987"/>
    <w:rsid w:val="6B053392"/>
    <w:rsid w:val="6B0C1CA8"/>
    <w:rsid w:val="6B0C7755"/>
    <w:rsid w:val="6B133834"/>
    <w:rsid w:val="6B19053E"/>
    <w:rsid w:val="6B2E3396"/>
    <w:rsid w:val="6B3A7ABC"/>
    <w:rsid w:val="6B3E7BA8"/>
    <w:rsid w:val="6B4A74E9"/>
    <w:rsid w:val="6B5B1B37"/>
    <w:rsid w:val="6B5E17F2"/>
    <w:rsid w:val="6B6167F0"/>
    <w:rsid w:val="6B774707"/>
    <w:rsid w:val="6B7C42D3"/>
    <w:rsid w:val="6BA760AD"/>
    <w:rsid w:val="6BB1586A"/>
    <w:rsid w:val="6BC12DD0"/>
    <w:rsid w:val="6BCA6F7B"/>
    <w:rsid w:val="6BD059B6"/>
    <w:rsid w:val="6BDB18FC"/>
    <w:rsid w:val="6BE127B8"/>
    <w:rsid w:val="6BE734D8"/>
    <w:rsid w:val="6C0044C7"/>
    <w:rsid w:val="6C045BF0"/>
    <w:rsid w:val="6C234B3E"/>
    <w:rsid w:val="6C37646B"/>
    <w:rsid w:val="6C3B7713"/>
    <w:rsid w:val="6C3C3605"/>
    <w:rsid w:val="6C513B3C"/>
    <w:rsid w:val="6C517A2C"/>
    <w:rsid w:val="6C57487F"/>
    <w:rsid w:val="6C7B4B9C"/>
    <w:rsid w:val="6C7F1C3B"/>
    <w:rsid w:val="6C9D02C1"/>
    <w:rsid w:val="6CB2690B"/>
    <w:rsid w:val="6CB667E6"/>
    <w:rsid w:val="6CB71DEE"/>
    <w:rsid w:val="6CBD2DD5"/>
    <w:rsid w:val="6CC0052F"/>
    <w:rsid w:val="6CC120FC"/>
    <w:rsid w:val="6CC809AF"/>
    <w:rsid w:val="6CC96DBF"/>
    <w:rsid w:val="6CD26C53"/>
    <w:rsid w:val="6CD96208"/>
    <w:rsid w:val="6CDD1BF7"/>
    <w:rsid w:val="6CDE4B67"/>
    <w:rsid w:val="6CE21F8F"/>
    <w:rsid w:val="6CE32F17"/>
    <w:rsid w:val="6CF25151"/>
    <w:rsid w:val="6D046DB6"/>
    <w:rsid w:val="6D08567C"/>
    <w:rsid w:val="6D0E08A3"/>
    <w:rsid w:val="6D0F1C2A"/>
    <w:rsid w:val="6D250004"/>
    <w:rsid w:val="6D321474"/>
    <w:rsid w:val="6D3E48A2"/>
    <w:rsid w:val="6D407845"/>
    <w:rsid w:val="6D415D74"/>
    <w:rsid w:val="6D512242"/>
    <w:rsid w:val="6D5E2181"/>
    <w:rsid w:val="6D632059"/>
    <w:rsid w:val="6D6353C0"/>
    <w:rsid w:val="6D6B2F90"/>
    <w:rsid w:val="6D7952F5"/>
    <w:rsid w:val="6D816E3C"/>
    <w:rsid w:val="6D9223A4"/>
    <w:rsid w:val="6D9771AC"/>
    <w:rsid w:val="6DA3010D"/>
    <w:rsid w:val="6DAC7B02"/>
    <w:rsid w:val="6DAD5461"/>
    <w:rsid w:val="6DB16386"/>
    <w:rsid w:val="6DB92E8C"/>
    <w:rsid w:val="6DC76535"/>
    <w:rsid w:val="6DE34316"/>
    <w:rsid w:val="6DF63D63"/>
    <w:rsid w:val="6E0A23F1"/>
    <w:rsid w:val="6E1B512B"/>
    <w:rsid w:val="6E1E6EDE"/>
    <w:rsid w:val="6E1F1170"/>
    <w:rsid w:val="6E215179"/>
    <w:rsid w:val="6E225D58"/>
    <w:rsid w:val="6E2B0E67"/>
    <w:rsid w:val="6E2D3D55"/>
    <w:rsid w:val="6E2E2B8B"/>
    <w:rsid w:val="6E477F27"/>
    <w:rsid w:val="6E4A4D51"/>
    <w:rsid w:val="6E4E0561"/>
    <w:rsid w:val="6E577D60"/>
    <w:rsid w:val="6E5E3A65"/>
    <w:rsid w:val="6E6271C2"/>
    <w:rsid w:val="6E766A60"/>
    <w:rsid w:val="6E7F7504"/>
    <w:rsid w:val="6E8035BC"/>
    <w:rsid w:val="6E8544EF"/>
    <w:rsid w:val="6E970129"/>
    <w:rsid w:val="6E980B53"/>
    <w:rsid w:val="6EAE5CDD"/>
    <w:rsid w:val="6EB84432"/>
    <w:rsid w:val="6ED337A8"/>
    <w:rsid w:val="6ED47580"/>
    <w:rsid w:val="6ED51CB5"/>
    <w:rsid w:val="6EDF3491"/>
    <w:rsid w:val="6EF26C38"/>
    <w:rsid w:val="6EF45CF4"/>
    <w:rsid w:val="6F0A2C58"/>
    <w:rsid w:val="6F413BF1"/>
    <w:rsid w:val="6F4A462F"/>
    <w:rsid w:val="6F4F5AD7"/>
    <w:rsid w:val="6F666E65"/>
    <w:rsid w:val="6F672765"/>
    <w:rsid w:val="6F690D43"/>
    <w:rsid w:val="6F711D11"/>
    <w:rsid w:val="6F726975"/>
    <w:rsid w:val="6F801AE8"/>
    <w:rsid w:val="6F814935"/>
    <w:rsid w:val="6F975327"/>
    <w:rsid w:val="6FB13DDC"/>
    <w:rsid w:val="6FB27657"/>
    <w:rsid w:val="6FB35F22"/>
    <w:rsid w:val="6FC1211F"/>
    <w:rsid w:val="6FD419CC"/>
    <w:rsid w:val="6FDA0E73"/>
    <w:rsid w:val="6FDE4875"/>
    <w:rsid w:val="6FEF71B5"/>
    <w:rsid w:val="700261B0"/>
    <w:rsid w:val="70036A9E"/>
    <w:rsid w:val="70086460"/>
    <w:rsid w:val="70197272"/>
    <w:rsid w:val="701A07AF"/>
    <w:rsid w:val="702A154D"/>
    <w:rsid w:val="70451C9F"/>
    <w:rsid w:val="706C2EEF"/>
    <w:rsid w:val="707470BA"/>
    <w:rsid w:val="70783560"/>
    <w:rsid w:val="707F68F7"/>
    <w:rsid w:val="709C435E"/>
    <w:rsid w:val="70A10ACF"/>
    <w:rsid w:val="70A751BB"/>
    <w:rsid w:val="70E11184"/>
    <w:rsid w:val="70EA1389"/>
    <w:rsid w:val="70EB475C"/>
    <w:rsid w:val="71025602"/>
    <w:rsid w:val="710F044A"/>
    <w:rsid w:val="7112161F"/>
    <w:rsid w:val="71143DDD"/>
    <w:rsid w:val="71171748"/>
    <w:rsid w:val="71340B3C"/>
    <w:rsid w:val="71341EA1"/>
    <w:rsid w:val="71366007"/>
    <w:rsid w:val="713E2ADE"/>
    <w:rsid w:val="714B429D"/>
    <w:rsid w:val="71687ABE"/>
    <w:rsid w:val="716A502B"/>
    <w:rsid w:val="717442A3"/>
    <w:rsid w:val="717E112C"/>
    <w:rsid w:val="717E2E69"/>
    <w:rsid w:val="71814B61"/>
    <w:rsid w:val="718412B5"/>
    <w:rsid w:val="718F7FCF"/>
    <w:rsid w:val="71A55641"/>
    <w:rsid w:val="71B640B9"/>
    <w:rsid w:val="71C1414E"/>
    <w:rsid w:val="71C942F4"/>
    <w:rsid w:val="71E57746"/>
    <w:rsid w:val="71F70B5B"/>
    <w:rsid w:val="71F94C57"/>
    <w:rsid w:val="71FC5FE4"/>
    <w:rsid w:val="722A340F"/>
    <w:rsid w:val="72324DBB"/>
    <w:rsid w:val="7239102C"/>
    <w:rsid w:val="7249183F"/>
    <w:rsid w:val="725D0F50"/>
    <w:rsid w:val="72700B18"/>
    <w:rsid w:val="72826F29"/>
    <w:rsid w:val="72850960"/>
    <w:rsid w:val="7286755D"/>
    <w:rsid w:val="7294004F"/>
    <w:rsid w:val="72B40F1F"/>
    <w:rsid w:val="72C7270A"/>
    <w:rsid w:val="72D4387A"/>
    <w:rsid w:val="72EA5884"/>
    <w:rsid w:val="72F06C85"/>
    <w:rsid w:val="730C074B"/>
    <w:rsid w:val="73270725"/>
    <w:rsid w:val="73290C41"/>
    <w:rsid w:val="732A3298"/>
    <w:rsid w:val="733A02D4"/>
    <w:rsid w:val="733A1096"/>
    <w:rsid w:val="733C0484"/>
    <w:rsid w:val="73545C9D"/>
    <w:rsid w:val="73863AB6"/>
    <w:rsid w:val="73884DE5"/>
    <w:rsid w:val="73915BBA"/>
    <w:rsid w:val="73997D7F"/>
    <w:rsid w:val="739F7DDD"/>
    <w:rsid w:val="73D2688D"/>
    <w:rsid w:val="73D6450C"/>
    <w:rsid w:val="73DC185A"/>
    <w:rsid w:val="73E65D75"/>
    <w:rsid w:val="73F51ECC"/>
    <w:rsid w:val="7407605B"/>
    <w:rsid w:val="740E5724"/>
    <w:rsid w:val="741561AF"/>
    <w:rsid w:val="742D5A7D"/>
    <w:rsid w:val="74302DC3"/>
    <w:rsid w:val="744215FB"/>
    <w:rsid w:val="74592E42"/>
    <w:rsid w:val="74595475"/>
    <w:rsid w:val="746F2D2A"/>
    <w:rsid w:val="749218E1"/>
    <w:rsid w:val="74C26903"/>
    <w:rsid w:val="74C31166"/>
    <w:rsid w:val="74C4400E"/>
    <w:rsid w:val="74C9289A"/>
    <w:rsid w:val="74F2076F"/>
    <w:rsid w:val="74F66238"/>
    <w:rsid w:val="74FA5D1E"/>
    <w:rsid w:val="74FB6001"/>
    <w:rsid w:val="75045DEC"/>
    <w:rsid w:val="7508401D"/>
    <w:rsid w:val="750E1573"/>
    <w:rsid w:val="751C353C"/>
    <w:rsid w:val="75622C2A"/>
    <w:rsid w:val="75664396"/>
    <w:rsid w:val="756B19C7"/>
    <w:rsid w:val="757A4300"/>
    <w:rsid w:val="758B0FDD"/>
    <w:rsid w:val="75A460BA"/>
    <w:rsid w:val="75AB5587"/>
    <w:rsid w:val="75C12655"/>
    <w:rsid w:val="75CC4A87"/>
    <w:rsid w:val="75DD4A5B"/>
    <w:rsid w:val="75F36720"/>
    <w:rsid w:val="76364737"/>
    <w:rsid w:val="76407F17"/>
    <w:rsid w:val="765F33A4"/>
    <w:rsid w:val="76634D94"/>
    <w:rsid w:val="767F0351"/>
    <w:rsid w:val="76823AD8"/>
    <w:rsid w:val="76BD0EEF"/>
    <w:rsid w:val="76D80B3E"/>
    <w:rsid w:val="76FE2720"/>
    <w:rsid w:val="77017EA5"/>
    <w:rsid w:val="770A2F6E"/>
    <w:rsid w:val="770C216A"/>
    <w:rsid w:val="770F16FC"/>
    <w:rsid w:val="771B1288"/>
    <w:rsid w:val="771D3521"/>
    <w:rsid w:val="773651D5"/>
    <w:rsid w:val="773B23B9"/>
    <w:rsid w:val="774261D2"/>
    <w:rsid w:val="77576CF6"/>
    <w:rsid w:val="7772046A"/>
    <w:rsid w:val="7787392A"/>
    <w:rsid w:val="77940A9B"/>
    <w:rsid w:val="77A21D66"/>
    <w:rsid w:val="77B30E86"/>
    <w:rsid w:val="77C730EE"/>
    <w:rsid w:val="77D428F6"/>
    <w:rsid w:val="77DF1D81"/>
    <w:rsid w:val="77EB535A"/>
    <w:rsid w:val="77EE6F2C"/>
    <w:rsid w:val="77F56071"/>
    <w:rsid w:val="77F66FC5"/>
    <w:rsid w:val="77FB4D98"/>
    <w:rsid w:val="780445AA"/>
    <w:rsid w:val="780B4D84"/>
    <w:rsid w:val="78254915"/>
    <w:rsid w:val="783C1F81"/>
    <w:rsid w:val="78420247"/>
    <w:rsid w:val="78453560"/>
    <w:rsid w:val="784851FA"/>
    <w:rsid w:val="784B6464"/>
    <w:rsid w:val="784C0EAB"/>
    <w:rsid w:val="785902C5"/>
    <w:rsid w:val="788E17B3"/>
    <w:rsid w:val="788F1964"/>
    <w:rsid w:val="788F505D"/>
    <w:rsid w:val="789C4ED1"/>
    <w:rsid w:val="78A173DF"/>
    <w:rsid w:val="78A73657"/>
    <w:rsid w:val="78A86127"/>
    <w:rsid w:val="78AC540A"/>
    <w:rsid w:val="78CA013C"/>
    <w:rsid w:val="78D37FAF"/>
    <w:rsid w:val="78D41E8B"/>
    <w:rsid w:val="78DA4873"/>
    <w:rsid w:val="78EB5FAC"/>
    <w:rsid w:val="78EE2915"/>
    <w:rsid w:val="78F20F45"/>
    <w:rsid w:val="79047904"/>
    <w:rsid w:val="791619E1"/>
    <w:rsid w:val="79314CD6"/>
    <w:rsid w:val="793E4273"/>
    <w:rsid w:val="794A6F77"/>
    <w:rsid w:val="797325B5"/>
    <w:rsid w:val="799C65B4"/>
    <w:rsid w:val="79A06DEE"/>
    <w:rsid w:val="79A07621"/>
    <w:rsid w:val="79AE4635"/>
    <w:rsid w:val="79B25E17"/>
    <w:rsid w:val="79BB460E"/>
    <w:rsid w:val="79C268A1"/>
    <w:rsid w:val="79CE28AF"/>
    <w:rsid w:val="79EB1A9F"/>
    <w:rsid w:val="79F12147"/>
    <w:rsid w:val="79FC115A"/>
    <w:rsid w:val="7A0944B0"/>
    <w:rsid w:val="7A265727"/>
    <w:rsid w:val="7A443589"/>
    <w:rsid w:val="7A594C21"/>
    <w:rsid w:val="7A727450"/>
    <w:rsid w:val="7A764C0D"/>
    <w:rsid w:val="7A7B1C5A"/>
    <w:rsid w:val="7A9D30AF"/>
    <w:rsid w:val="7AB14D88"/>
    <w:rsid w:val="7ABD7706"/>
    <w:rsid w:val="7ABE7453"/>
    <w:rsid w:val="7AD93830"/>
    <w:rsid w:val="7AE727C1"/>
    <w:rsid w:val="7AF86291"/>
    <w:rsid w:val="7B0466F1"/>
    <w:rsid w:val="7B13652F"/>
    <w:rsid w:val="7B2661C8"/>
    <w:rsid w:val="7B2B0159"/>
    <w:rsid w:val="7B5B021A"/>
    <w:rsid w:val="7B5F49F4"/>
    <w:rsid w:val="7B692890"/>
    <w:rsid w:val="7B6B0973"/>
    <w:rsid w:val="7B6C5457"/>
    <w:rsid w:val="7B75358B"/>
    <w:rsid w:val="7B770BB6"/>
    <w:rsid w:val="7B8B4640"/>
    <w:rsid w:val="7B9D1A0E"/>
    <w:rsid w:val="7B9E6C31"/>
    <w:rsid w:val="7BA75CDD"/>
    <w:rsid w:val="7BC871B6"/>
    <w:rsid w:val="7BCD20A3"/>
    <w:rsid w:val="7BCF5DE4"/>
    <w:rsid w:val="7BDF31CA"/>
    <w:rsid w:val="7BE27395"/>
    <w:rsid w:val="7BF1321C"/>
    <w:rsid w:val="7BF31B5A"/>
    <w:rsid w:val="7BF73E78"/>
    <w:rsid w:val="7BFE2FA0"/>
    <w:rsid w:val="7C010C4E"/>
    <w:rsid w:val="7C0A1EF6"/>
    <w:rsid w:val="7C1D33ED"/>
    <w:rsid w:val="7C1E2F15"/>
    <w:rsid w:val="7C1E672F"/>
    <w:rsid w:val="7C4249DC"/>
    <w:rsid w:val="7C431AA4"/>
    <w:rsid w:val="7C43544C"/>
    <w:rsid w:val="7C44274E"/>
    <w:rsid w:val="7C55521B"/>
    <w:rsid w:val="7C797A47"/>
    <w:rsid w:val="7C9A2FD5"/>
    <w:rsid w:val="7CB744A6"/>
    <w:rsid w:val="7CC548D0"/>
    <w:rsid w:val="7CD2604D"/>
    <w:rsid w:val="7CDF6EDC"/>
    <w:rsid w:val="7D235DBE"/>
    <w:rsid w:val="7D241B91"/>
    <w:rsid w:val="7D2B771E"/>
    <w:rsid w:val="7D322309"/>
    <w:rsid w:val="7D5B457C"/>
    <w:rsid w:val="7D6A4448"/>
    <w:rsid w:val="7D8618BE"/>
    <w:rsid w:val="7DA105F3"/>
    <w:rsid w:val="7DA26E36"/>
    <w:rsid w:val="7DC5007A"/>
    <w:rsid w:val="7DC52D0A"/>
    <w:rsid w:val="7DD826BB"/>
    <w:rsid w:val="7DDB5EAE"/>
    <w:rsid w:val="7DE1372E"/>
    <w:rsid w:val="7DEE789A"/>
    <w:rsid w:val="7E0B5CB3"/>
    <w:rsid w:val="7E0C4DB2"/>
    <w:rsid w:val="7E124BB5"/>
    <w:rsid w:val="7E144AFE"/>
    <w:rsid w:val="7E234373"/>
    <w:rsid w:val="7E2C20E4"/>
    <w:rsid w:val="7E2D7BF2"/>
    <w:rsid w:val="7E2F4089"/>
    <w:rsid w:val="7E341EFF"/>
    <w:rsid w:val="7E37524A"/>
    <w:rsid w:val="7E3930B8"/>
    <w:rsid w:val="7E8B30ED"/>
    <w:rsid w:val="7E8C35C2"/>
    <w:rsid w:val="7E932E62"/>
    <w:rsid w:val="7E9A62EF"/>
    <w:rsid w:val="7E9D3F70"/>
    <w:rsid w:val="7EDF677D"/>
    <w:rsid w:val="7EF946F2"/>
    <w:rsid w:val="7F080220"/>
    <w:rsid w:val="7F111831"/>
    <w:rsid w:val="7F177B9C"/>
    <w:rsid w:val="7F1E56FF"/>
    <w:rsid w:val="7F2101D7"/>
    <w:rsid w:val="7F210E45"/>
    <w:rsid w:val="7F284E36"/>
    <w:rsid w:val="7F32217F"/>
    <w:rsid w:val="7F35478A"/>
    <w:rsid w:val="7F54130E"/>
    <w:rsid w:val="7F5D4A77"/>
    <w:rsid w:val="7F605CD5"/>
    <w:rsid w:val="7F720F51"/>
    <w:rsid w:val="7F756EA4"/>
    <w:rsid w:val="7F7A2608"/>
    <w:rsid w:val="7F945C91"/>
    <w:rsid w:val="7F9F6368"/>
    <w:rsid w:val="7FBC080E"/>
    <w:rsid w:val="7FC17BAA"/>
    <w:rsid w:val="7FDB5DDB"/>
    <w:rsid w:val="7FEA4B66"/>
    <w:rsid w:val="7FF1652F"/>
    <w:rsid w:val="7FF972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363"/>
    <w:autoRedefine/>
    <w:qFormat/>
    <w:uiPriority w:val="0"/>
    <w:pPr>
      <w:widowControl w:val="0"/>
      <w:jc w:val="both"/>
    </w:pPr>
    <w:rPr>
      <w:rFonts w:ascii="宋体" w:hAnsi="Times New Roman" w:eastAsia="宋体" w:cs="Times New Roman"/>
      <w:sz w:val="24"/>
      <w:lang w:val="en-US" w:eastAsia="zh-CN" w:bidi="ar-SA"/>
    </w:rPr>
  </w:style>
  <w:style w:type="paragraph" w:styleId="3">
    <w:name w:val="heading 1"/>
    <w:basedOn w:val="1"/>
    <w:next w:val="1"/>
    <w:link w:val="289"/>
    <w:autoRedefine/>
    <w:qFormat/>
    <w:uiPriority w:val="0"/>
    <w:pPr>
      <w:keepNext/>
      <w:keepLines/>
      <w:snapToGrid w:val="0"/>
      <w:spacing w:beforeLines="50" w:afterLines="50" w:line="520" w:lineRule="exact"/>
      <w:jc w:val="center"/>
      <w:outlineLvl w:val="0"/>
    </w:pPr>
    <w:rPr>
      <w:rFonts w:ascii="黑体" w:hAnsi="黑体" w:eastAsia="黑体"/>
      <w:b/>
      <w:bCs/>
      <w:kern w:val="44"/>
      <w:sz w:val="36"/>
      <w:szCs w:val="36"/>
    </w:rPr>
  </w:style>
  <w:style w:type="paragraph" w:styleId="4">
    <w:name w:val="heading 2"/>
    <w:basedOn w:val="1"/>
    <w:next w:val="1"/>
    <w:link w:val="287"/>
    <w:autoRedefine/>
    <w:qFormat/>
    <w:uiPriority w:val="0"/>
    <w:pPr>
      <w:keepNext/>
      <w:keepLines/>
      <w:snapToGrid w:val="0"/>
      <w:spacing w:line="520" w:lineRule="exact"/>
      <w:jc w:val="left"/>
      <w:outlineLvl w:val="1"/>
    </w:pPr>
    <w:rPr>
      <w:rFonts w:ascii="楷体" w:hAnsi="楷体" w:eastAsia="楷体"/>
      <w:b/>
      <w:bCs/>
      <w:sz w:val="32"/>
      <w:szCs w:val="32"/>
    </w:rPr>
  </w:style>
  <w:style w:type="paragraph" w:styleId="5">
    <w:name w:val="heading 3"/>
    <w:basedOn w:val="1"/>
    <w:next w:val="1"/>
    <w:link w:val="84"/>
    <w:autoRedefine/>
    <w:qFormat/>
    <w:uiPriority w:val="0"/>
    <w:pPr>
      <w:keepNext/>
      <w:keepLines/>
      <w:snapToGrid w:val="0"/>
      <w:spacing w:line="520" w:lineRule="exact"/>
      <w:jc w:val="left"/>
      <w:outlineLvl w:val="2"/>
    </w:pPr>
    <w:rPr>
      <w:rFonts w:ascii="黑体" w:hAnsi="黑体" w:eastAsia="黑体"/>
      <w:b/>
      <w:bCs/>
      <w:snapToGrid w:val="0"/>
      <w:sz w:val="28"/>
      <w:szCs w:val="28"/>
    </w:rPr>
  </w:style>
  <w:style w:type="paragraph" w:styleId="6">
    <w:name w:val="heading 4"/>
    <w:basedOn w:val="1"/>
    <w:next w:val="1"/>
    <w:link w:val="319"/>
    <w:autoRedefine/>
    <w:qFormat/>
    <w:uiPriority w:val="0"/>
    <w:pPr>
      <w:snapToGrid w:val="0"/>
      <w:spacing w:line="360" w:lineRule="auto"/>
      <w:jc w:val="left"/>
      <w:outlineLvl w:val="3"/>
    </w:pPr>
    <w:rPr>
      <w:rFonts w:ascii="黑体" w:hAnsi="黑体" w:eastAsia="黑体"/>
      <w:b/>
      <w:bCs/>
      <w:kern w:val="2"/>
      <w:sz w:val="28"/>
      <w:szCs w:val="28"/>
    </w:rPr>
  </w:style>
  <w:style w:type="paragraph" w:styleId="7">
    <w:name w:val="heading 5"/>
    <w:basedOn w:val="1"/>
    <w:next w:val="1"/>
    <w:autoRedefine/>
    <w:qFormat/>
    <w:uiPriority w:val="0"/>
    <w:pPr>
      <w:keepNext/>
      <w:keepLines/>
      <w:spacing w:line="374" w:lineRule="auto"/>
      <w:outlineLvl w:val="4"/>
    </w:pPr>
    <w:rPr>
      <w:b/>
      <w:bCs/>
      <w:sz w:val="28"/>
      <w:szCs w:val="28"/>
    </w:rPr>
  </w:style>
  <w:style w:type="paragraph" w:styleId="8">
    <w:name w:val="heading 6"/>
    <w:basedOn w:val="1"/>
    <w:next w:val="9"/>
    <w:autoRedefine/>
    <w:qFormat/>
    <w:uiPriority w:val="0"/>
    <w:pPr>
      <w:keepNext/>
      <w:keepLines/>
      <w:spacing w:line="320" w:lineRule="auto"/>
      <w:outlineLvl w:val="5"/>
    </w:pPr>
    <w:rPr>
      <w:rFonts w:ascii="Arial" w:hAnsi="Arial" w:eastAsia="黑体"/>
      <w:b/>
    </w:rPr>
  </w:style>
  <w:style w:type="paragraph" w:styleId="10">
    <w:name w:val="heading 7"/>
    <w:basedOn w:val="1"/>
    <w:next w:val="9"/>
    <w:autoRedefine/>
    <w:qFormat/>
    <w:uiPriority w:val="0"/>
    <w:pPr>
      <w:keepNext/>
      <w:keepLines/>
      <w:spacing w:line="320" w:lineRule="auto"/>
      <w:outlineLvl w:val="6"/>
    </w:pPr>
    <w:rPr>
      <w:b/>
    </w:rPr>
  </w:style>
  <w:style w:type="paragraph" w:styleId="11">
    <w:name w:val="heading 8"/>
    <w:basedOn w:val="1"/>
    <w:next w:val="9"/>
    <w:autoRedefine/>
    <w:qFormat/>
    <w:uiPriority w:val="0"/>
    <w:pPr>
      <w:keepNext/>
      <w:keepLines/>
      <w:spacing w:line="320" w:lineRule="auto"/>
      <w:outlineLvl w:val="7"/>
    </w:pPr>
    <w:rPr>
      <w:rFonts w:ascii="Arial" w:hAnsi="Arial" w:eastAsia="黑体"/>
    </w:rPr>
  </w:style>
  <w:style w:type="paragraph" w:styleId="12">
    <w:name w:val="heading 9"/>
    <w:basedOn w:val="1"/>
    <w:next w:val="9"/>
    <w:autoRedefine/>
    <w:qFormat/>
    <w:uiPriority w:val="0"/>
    <w:pPr>
      <w:keepNext/>
      <w:keepLines/>
      <w:spacing w:line="320" w:lineRule="auto"/>
      <w:outlineLvl w:val="8"/>
    </w:pPr>
    <w:rPr>
      <w:rFonts w:ascii="Arial" w:hAnsi="Arial" w:eastAsia="黑体"/>
    </w:rPr>
  </w:style>
  <w:style w:type="character" w:default="1" w:styleId="54">
    <w:name w:val="Default Paragraph Font"/>
    <w:autoRedefine/>
    <w:semiHidden/>
    <w:unhideWhenUsed/>
    <w:qFormat/>
    <w:uiPriority w:val="1"/>
  </w:style>
  <w:style w:type="table" w:default="1" w:styleId="52">
    <w:name w:val="Normal Table"/>
    <w:autoRedefine/>
    <w:semiHidden/>
    <w:unhideWhenUsed/>
    <w:qFormat/>
    <w:uiPriority w:val="99"/>
    <w:tblPr>
      <w:tblCellMar>
        <w:top w:w="0" w:type="dxa"/>
        <w:left w:w="108" w:type="dxa"/>
        <w:bottom w:w="0" w:type="dxa"/>
        <w:right w:w="108" w:type="dxa"/>
      </w:tblCellMar>
    </w:tblPr>
  </w:style>
  <w:style w:type="paragraph" w:styleId="2">
    <w:name w:val="macro"/>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9">
    <w:name w:val="Normal Indent"/>
    <w:basedOn w:val="1"/>
    <w:next w:val="1"/>
    <w:link w:val="274"/>
    <w:autoRedefine/>
    <w:qFormat/>
    <w:uiPriority w:val="0"/>
    <w:pPr>
      <w:ind w:firstLine="420" w:firstLineChars="200"/>
    </w:pPr>
    <w:rPr>
      <w:kern w:val="2"/>
      <w:sz w:val="21"/>
      <w:szCs w:val="24"/>
    </w:rPr>
  </w:style>
  <w:style w:type="paragraph" w:styleId="13">
    <w:name w:val="toc 7"/>
    <w:basedOn w:val="1"/>
    <w:next w:val="1"/>
    <w:autoRedefine/>
    <w:qFormat/>
    <w:uiPriority w:val="39"/>
    <w:pPr>
      <w:ind w:left="2520" w:leftChars="1200"/>
    </w:pPr>
  </w:style>
  <w:style w:type="paragraph" w:styleId="14">
    <w:name w:val="table of authorities"/>
    <w:basedOn w:val="1"/>
    <w:next w:val="1"/>
    <w:qFormat/>
    <w:uiPriority w:val="0"/>
    <w:pPr>
      <w:ind w:left="420" w:leftChars="200"/>
    </w:pPr>
  </w:style>
  <w:style w:type="paragraph" w:styleId="15">
    <w:name w:val="index 8"/>
    <w:basedOn w:val="1"/>
    <w:next w:val="1"/>
    <w:autoRedefine/>
    <w:qFormat/>
    <w:uiPriority w:val="0"/>
    <w:pPr>
      <w:ind w:left="1680" w:hanging="210"/>
      <w:jc w:val="left"/>
    </w:pPr>
  </w:style>
  <w:style w:type="paragraph" w:styleId="16">
    <w:name w:val="caption"/>
    <w:basedOn w:val="1"/>
    <w:next w:val="1"/>
    <w:autoRedefine/>
    <w:qFormat/>
    <w:uiPriority w:val="0"/>
    <w:rPr>
      <w:rFonts w:ascii="Arial" w:hAnsi="Arial" w:eastAsia="黑体" w:cs="Arial"/>
      <w:sz w:val="15"/>
    </w:rPr>
  </w:style>
  <w:style w:type="paragraph" w:styleId="17">
    <w:name w:val="Document Map"/>
    <w:basedOn w:val="1"/>
    <w:link w:val="321"/>
    <w:autoRedefine/>
    <w:qFormat/>
    <w:uiPriority w:val="0"/>
    <w:rPr>
      <w:sz w:val="18"/>
      <w:szCs w:val="18"/>
    </w:rPr>
  </w:style>
  <w:style w:type="paragraph" w:styleId="18">
    <w:name w:val="toa heading"/>
    <w:basedOn w:val="1"/>
    <w:next w:val="1"/>
    <w:autoRedefine/>
    <w:semiHidden/>
    <w:qFormat/>
    <w:uiPriority w:val="0"/>
    <w:pPr>
      <w:spacing w:before="120"/>
    </w:pPr>
    <w:rPr>
      <w:rFonts w:ascii="Arial" w:hAnsi="Arial" w:cs="Arial"/>
      <w:kern w:val="2"/>
    </w:rPr>
  </w:style>
  <w:style w:type="paragraph" w:styleId="19">
    <w:name w:val="annotation text"/>
    <w:basedOn w:val="1"/>
    <w:autoRedefine/>
    <w:qFormat/>
    <w:uiPriority w:val="0"/>
    <w:pPr>
      <w:jc w:val="left"/>
    </w:pPr>
    <w:rPr>
      <w:kern w:val="2"/>
      <w:sz w:val="21"/>
      <w:szCs w:val="24"/>
    </w:rPr>
  </w:style>
  <w:style w:type="paragraph" w:styleId="20">
    <w:name w:val="Salutation"/>
    <w:basedOn w:val="1"/>
    <w:next w:val="1"/>
    <w:autoRedefine/>
    <w:qFormat/>
    <w:uiPriority w:val="0"/>
    <w:pPr>
      <w:adjustRightInd w:val="0"/>
      <w:snapToGrid w:val="0"/>
    </w:pPr>
    <w:rPr>
      <w:sz w:val="28"/>
    </w:rPr>
  </w:style>
  <w:style w:type="paragraph" w:styleId="21">
    <w:name w:val="Body Text 3"/>
    <w:basedOn w:val="1"/>
    <w:link w:val="295"/>
    <w:autoRedefine/>
    <w:qFormat/>
    <w:uiPriority w:val="0"/>
    <w:rPr>
      <w:kern w:val="2"/>
      <w:sz w:val="16"/>
      <w:szCs w:val="16"/>
    </w:rPr>
  </w:style>
  <w:style w:type="paragraph" w:styleId="22">
    <w:name w:val="Body Text"/>
    <w:basedOn w:val="1"/>
    <w:link w:val="286"/>
    <w:autoRedefine/>
    <w:qFormat/>
    <w:uiPriority w:val="0"/>
    <w:rPr>
      <w:kern w:val="2"/>
      <w:sz w:val="21"/>
      <w:szCs w:val="24"/>
    </w:rPr>
  </w:style>
  <w:style w:type="paragraph" w:styleId="23">
    <w:name w:val="Body Text Indent"/>
    <w:basedOn w:val="1"/>
    <w:autoRedefine/>
    <w:qFormat/>
    <w:uiPriority w:val="0"/>
    <w:pPr>
      <w:ind w:left="420" w:leftChars="200"/>
    </w:pPr>
  </w:style>
  <w:style w:type="paragraph" w:styleId="24">
    <w:name w:val="Block Text"/>
    <w:basedOn w:val="1"/>
    <w:autoRedefine/>
    <w:qFormat/>
    <w:uiPriority w:val="0"/>
    <w:pPr>
      <w:adjustRightInd w:val="0"/>
      <w:spacing w:line="312" w:lineRule="atLeast"/>
      <w:ind w:left="210" w:right="16"/>
      <w:textAlignment w:val="baseline"/>
    </w:pPr>
    <w:rPr>
      <w:sz w:val="28"/>
    </w:rPr>
  </w:style>
  <w:style w:type="paragraph" w:styleId="25">
    <w:name w:val="List Bullet 2"/>
    <w:basedOn w:val="1"/>
    <w:autoRedefine/>
    <w:qFormat/>
    <w:uiPriority w:val="0"/>
    <w:pPr>
      <w:spacing w:line="500" w:lineRule="exact"/>
      <w:ind w:firstLine="211" w:firstLineChars="100"/>
      <w:jc w:val="center"/>
    </w:pPr>
    <w:rPr>
      <w:rFonts w:hAnsi="宋体"/>
      <w:b/>
      <w:snapToGrid w:val="0"/>
      <w:color w:val="000000"/>
    </w:rPr>
  </w:style>
  <w:style w:type="paragraph" w:styleId="26">
    <w:name w:val="toc 5"/>
    <w:basedOn w:val="1"/>
    <w:next w:val="1"/>
    <w:autoRedefine/>
    <w:qFormat/>
    <w:uiPriority w:val="39"/>
    <w:pPr>
      <w:ind w:left="1680" w:leftChars="800"/>
    </w:pPr>
  </w:style>
  <w:style w:type="paragraph" w:styleId="27">
    <w:name w:val="toc 3"/>
    <w:basedOn w:val="1"/>
    <w:next w:val="1"/>
    <w:autoRedefine/>
    <w:qFormat/>
    <w:uiPriority w:val="39"/>
    <w:pPr>
      <w:ind w:left="840" w:leftChars="400"/>
    </w:pPr>
  </w:style>
  <w:style w:type="paragraph" w:styleId="28">
    <w:name w:val="Plain Text"/>
    <w:basedOn w:val="1"/>
    <w:next w:val="1"/>
    <w:link w:val="270"/>
    <w:autoRedefine/>
    <w:qFormat/>
    <w:uiPriority w:val="0"/>
    <w:pPr>
      <w:adjustRightInd w:val="0"/>
      <w:textAlignment w:val="baseline"/>
    </w:pPr>
    <w:rPr>
      <w:rFonts w:hAnsi="Courier New"/>
      <w:kern w:val="2"/>
      <w:sz w:val="28"/>
    </w:rPr>
  </w:style>
  <w:style w:type="paragraph" w:styleId="29">
    <w:name w:val="toc 8"/>
    <w:basedOn w:val="1"/>
    <w:next w:val="1"/>
    <w:autoRedefine/>
    <w:qFormat/>
    <w:uiPriority w:val="39"/>
    <w:pPr>
      <w:ind w:left="2940" w:leftChars="1400"/>
    </w:pPr>
  </w:style>
  <w:style w:type="paragraph" w:styleId="30">
    <w:name w:val="Date"/>
    <w:basedOn w:val="1"/>
    <w:next w:val="1"/>
    <w:link w:val="280"/>
    <w:autoRedefine/>
    <w:qFormat/>
    <w:uiPriority w:val="0"/>
  </w:style>
  <w:style w:type="paragraph" w:styleId="31">
    <w:name w:val="Body Text Indent 2"/>
    <w:basedOn w:val="1"/>
    <w:autoRedefine/>
    <w:qFormat/>
    <w:uiPriority w:val="0"/>
    <w:pPr>
      <w:spacing w:line="480" w:lineRule="auto"/>
      <w:ind w:left="420" w:leftChars="200"/>
    </w:pPr>
  </w:style>
  <w:style w:type="paragraph" w:styleId="32">
    <w:name w:val="Balloon Text"/>
    <w:basedOn w:val="1"/>
    <w:autoRedefine/>
    <w:qFormat/>
    <w:uiPriority w:val="0"/>
    <w:rPr>
      <w:sz w:val="18"/>
      <w:szCs w:val="18"/>
    </w:rPr>
  </w:style>
  <w:style w:type="paragraph" w:styleId="33">
    <w:name w:val="footer"/>
    <w:basedOn w:val="1"/>
    <w:link w:val="332"/>
    <w:autoRedefine/>
    <w:qFormat/>
    <w:uiPriority w:val="0"/>
    <w:pPr>
      <w:tabs>
        <w:tab w:val="center" w:pos="4153"/>
        <w:tab w:val="right" w:pos="8306"/>
      </w:tabs>
      <w:snapToGrid w:val="0"/>
      <w:jc w:val="left"/>
    </w:pPr>
    <w:rPr>
      <w:sz w:val="18"/>
      <w:szCs w:val="18"/>
    </w:rPr>
  </w:style>
  <w:style w:type="paragraph" w:styleId="34">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35">
    <w:name w:val="toc 1"/>
    <w:basedOn w:val="1"/>
    <w:next w:val="1"/>
    <w:autoRedefine/>
    <w:qFormat/>
    <w:uiPriority w:val="39"/>
  </w:style>
  <w:style w:type="paragraph" w:styleId="36">
    <w:name w:val="toc 4"/>
    <w:basedOn w:val="1"/>
    <w:next w:val="1"/>
    <w:autoRedefine/>
    <w:qFormat/>
    <w:uiPriority w:val="39"/>
    <w:pPr>
      <w:ind w:left="1260" w:leftChars="600"/>
    </w:pPr>
  </w:style>
  <w:style w:type="paragraph" w:styleId="37">
    <w:name w:val="index heading"/>
    <w:basedOn w:val="1"/>
    <w:next w:val="38"/>
    <w:autoRedefine/>
    <w:qFormat/>
    <w:uiPriority w:val="0"/>
  </w:style>
  <w:style w:type="paragraph" w:styleId="38">
    <w:name w:val="index 1"/>
    <w:basedOn w:val="1"/>
    <w:next w:val="1"/>
    <w:autoRedefine/>
    <w:qFormat/>
    <w:uiPriority w:val="0"/>
  </w:style>
  <w:style w:type="paragraph" w:styleId="39">
    <w:name w:val="Subtitle"/>
    <w:basedOn w:val="1"/>
    <w:next w:val="1"/>
    <w:autoRedefine/>
    <w:qFormat/>
    <w:uiPriority w:val="0"/>
    <w:pPr>
      <w:spacing w:line="312" w:lineRule="auto"/>
      <w:jc w:val="center"/>
      <w:outlineLvl w:val="1"/>
    </w:pPr>
    <w:rPr>
      <w:rFonts w:ascii="Cambria" w:hAnsi="Cambria"/>
      <w:b/>
      <w:bCs/>
      <w:kern w:val="28"/>
      <w:sz w:val="32"/>
      <w:szCs w:val="32"/>
    </w:rPr>
  </w:style>
  <w:style w:type="paragraph" w:styleId="40">
    <w:name w:val="toc 6"/>
    <w:basedOn w:val="1"/>
    <w:next w:val="1"/>
    <w:autoRedefine/>
    <w:qFormat/>
    <w:uiPriority w:val="39"/>
    <w:pPr>
      <w:ind w:left="2100" w:leftChars="1000"/>
    </w:pPr>
  </w:style>
  <w:style w:type="paragraph" w:styleId="41">
    <w:name w:val="Body Text Indent 3"/>
    <w:basedOn w:val="1"/>
    <w:autoRedefine/>
    <w:qFormat/>
    <w:uiPriority w:val="0"/>
    <w:pPr>
      <w:ind w:left="420" w:leftChars="200"/>
    </w:pPr>
    <w:rPr>
      <w:sz w:val="16"/>
      <w:szCs w:val="16"/>
    </w:rPr>
  </w:style>
  <w:style w:type="paragraph" w:styleId="42">
    <w:name w:val="table of figures"/>
    <w:basedOn w:val="1"/>
    <w:next w:val="1"/>
    <w:autoRedefine/>
    <w:qFormat/>
    <w:uiPriority w:val="0"/>
    <w:pPr>
      <w:ind w:left="420" w:hanging="420"/>
      <w:jc w:val="left"/>
    </w:pPr>
    <w:rPr>
      <w:smallCaps/>
    </w:rPr>
  </w:style>
  <w:style w:type="paragraph" w:styleId="43">
    <w:name w:val="toc 2"/>
    <w:basedOn w:val="1"/>
    <w:next w:val="1"/>
    <w:autoRedefine/>
    <w:qFormat/>
    <w:uiPriority w:val="39"/>
    <w:pPr>
      <w:ind w:left="420" w:leftChars="200"/>
    </w:pPr>
  </w:style>
  <w:style w:type="paragraph" w:styleId="44">
    <w:name w:val="toc 9"/>
    <w:basedOn w:val="1"/>
    <w:next w:val="1"/>
    <w:autoRedefine/>
    <w:qFormat/>
    <w:uiPriority w:val="39"/>
    <w:pPr>
      <w:ind w:left="3360" w:leftChars="1600"/>
    </w:pPr>
  </w:style>
  <w:style w:type="paragraph" w:styleId="45">
    <w:name w:val="Body Text 2"/>
    <w:basedOn w:val="1"/>
    <w:autoRedefine/>
    <w:qFormat/>
    <w:uiPriority w:val="0"/>
    <w:pPr>
      <w:jc w:val="center"/>
    </w:pPr>
  </w:style>
  <w:style w:type="paragraph" w:styleId="46">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cs="宋体"/>
    </w:rPr>
  </w:style>
  <w:style w:type="paragraph" w:styleId="47">
    <w:name w:val="Normal (Web)"/>
    <w:basedOn w:val="1"/>
    <w:autoRedefine/>
    <w:qFormat/>
    <w:uiPriority w:val="0"/>
    <w:pPr>
      <w:widowControl/>
      <w:spacing w:beforeAutospacing="1" w:afterAutospacing="1"/>
      <w:jc w:val="left"/>
    </w:pPr>
    <w:rPr>
      <w:rFonts w:ascii="Arial Unicode MS" w:hAnsi="Arial Unicode MS" w:eastAsia="Arial Unicode MS"/>
    </w:rPr>
  </w:style>
  <w:style w:type="paragraph" w:styleId="48">
    <w:name w:val="Title"/>
    <w:basedOn w:val="1"/>
    <w:next w:val="1"/>
    <w:link w:val="314"/>
    <w:autoRedefine/>
    <w:qFormat/>
    <w:uiPriority w:val="0"/>
    <w:pPr>
      <w:jc w:val="center"/>
      <w:outlineLvl w:val="0"/>
    </w:pPr>
  </w:style>
  <w:style w:type="paragraph" w:styleId="49">
    <w:name w:val="annotation subject"/>
    <w:basedOn w:val="19"/>
    <w:next w:val="19"/>
    <w:autoRedefine/>
    <w:qFormat/>
    <w:uiPriority w:val="0"/>
    <w:rPr>
      <w:b/>
      <w:bCs/>
    </w:rPr>
  </w:style>
  <w:style w:type="paragraph" w:styleId="50">
    <w:name w:val="Body Text First Indent"/>
    <w:basedOn w:val="1"/>
    <w:next w:val="1"/>
    <w:autoRedefine/>
    <w:qFormat/>
    <w:uiPriority w:val="0"/>
    <w:pPr>
      <w:ind w:firstLine="420" w:firstLineChars="100"/>
    </w:pPr>
  </w:style>
  <w:style w:type="paragraph" w:styleId="51">
    <w:name w:val="Body Text First Indent 2"/>
    <w:basedOn w:val="23"/>
    <w:qFormat/>
    <w:uiPriority w:val="0"/>
    <w:pPr>
      <w:ind w:left="0" w:leftChars="0" w:firstLine="420"/>
    </w:pPr>
    <w:rPr>
      <w:rFonts w:ascii="宋体" w:hAnsi="宋体" w:cs="宋体"/>
    </w:rPr>
  </w:style>
  <w:style w:type="table" w:styleId="53">
    <w:name w:val="Table Grid"/>
    <w:basedOn w:val="52"/>
    <w:autoRedefine/>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5">
    <w:name w:val="Strong"/>
    <w:basedOn w:val="54"/>
    <w:autoRedefine/>
    <w:qFormat/>
    <w:uiPriority w:val="22"/>
    <w:rPr>
      <w:b/>
      <w:bCs/>
    </w:rPr>
  </w:style>
  <w:style w:type="character" w:styleId="56">
    <w:name w:val="page number"/>
    <w:basedOn w:val="54"/>
    <w:autoRedefine/>
    <w:qFormat/>
    <w:uiPriority w:val="0"/>
    <w:rPr>
      <w:rFonts w:hint="default" w:ascii="Times New Roman"/>
    </w:rPr>
  </w:style>
  <w:style w:type="character" w:styleId="57">
    <w:name w:val="FollowedHyperlink"/>
    <w:basedOn w:val="54"/>
    <w:autoRedefine/>
    <w:qFormat/>
    <w:uiPriority w:val="0"/>
    <w:rPr>
      <w:color w:val="000000"/>
      <w:u w:val="none"/>
    </w:rPr>
  </w:style>
  <w:style w:type="character" w:styleId="58">
    <w:name w:val="Emphasis"/>
    <w:basedOn w:val="54"/>
    <w:autoRedefine/>
    <w:qFormat/>
    <w:uiPriority w:val="0"/>
    <w:rPr>
      <w:i/>
      <w:iCs/>
    </w:rPr>
  </w:style>
  <w:style w:type="character" w:styleId="59">
    <w:name w:val="HTML Definition"/>
    <w:basedOn w:val="54"/>
    <w:autoRedefine/>
    <w:qFormat/>
    <w:uiPriority w:val="0"/>
  </w:style>
  <w:style w:type="character" w:styleId="60">
    <w:name w:val="HTML Variable"/>
    <w:basedOn w:val="54"/>
    <w:autoRedefine/>
    <w:qFormat/>
    <w:uiPriority w:val="0"/>
  </w:style>
  <w:style w:type="character" w:styleId="61">
    <w:name w:val="Hyperlink"/>
    <w:basedOn w:val="54"/>
    <w:autoRedefine/>
    <w:qFormat/>
    <w:uiPriority w:val="99"/>
    <w:rPr>
      <w:color w:val="000000"/>
      <w:u w:val="none"/>
    </w:rPr>
  </w:style>
  <w:style w:type="character" w:styleId="62">
    <w:name w:val="HTML Code"/>
    <w:basedOn w:val="54"/>
    <w:autoRedefine/>
    <w:qFormat/>
    <w:uiPriority w:val="0"/>
    <w:rPr>
      <w:rFonts w:hint="default" w:ascii="monospace" w:hAnsi="monospace" w:eastAsia="monospace" w:cs="monospace"/>
      <w:sz w:val="21"/>
      <w:szCs w:val="21"/>
    </w:rPr>
  </w:style>
  <w:style w:type="character" w:styleId="63">
    <w:name w:val="annotation reference"/>
    <w:autoRedefine/>
    <w:qFormat/>
    <w:uiPriority w:val="0"/>
    <w:rPr>
      <w:sz w:val="21"/>
      <w:szCs w:val="21"/>
    </w:rPr>
  </w:style>
  <w:style w:type="character" w:styleId="64">
    <w:name w:val="HTML Cite"/>
    <w:basedOn w:val="54"/>
    <w:autoRedefine/>
    <w:qFormat/>
    <w:uiPriority w:val="0"/>
    <w:rPr>
      <w:sz w:val="24"/>
      <w:szCs w:val="24"/>
    </w:rPr>
  </w:style>
  <w:style w:type="character" w:styleId="65">
    <w:name w:val="HTML Keyboard"/>
    <w:basedOn w:val="54"/>
    <w:autoRedefine/>
    <w:qFormat/>
    <w:uiPriority w:val="0"/>
    <w:rPr>
      <w:rFonts w:ascii="monospace" w:hAnsi="monospace" w:eastAsia="monospace" w:cs="monospace"/>
      <w:sz w:val="21"/>
      <w:szCs w:val="21"/>
    </w:rPr>
  </w:style>
  <w:style w:type="character" w:styleId="66">
    <w:name w:val="HTML Sample"/>
    <w:basedOn w:val="54"/>
    <w:autoRedefine/>
    <w:qFormat/>
    <w:uiPriority w:val="0"/>
    <w:rPr>
      <w:rFonts w:hint="default" w:ascii="monospace" w:hAnsi="monospace" w:eastAsia="monospace" w:cs="monospace"/>
      <w:sz w:val="21"/>
      <w:szCs w:val="21"/>
    </w:rPr>
  </w:style>
  <w:style w:type="paragraph" w:customStyle="1" w:styleId="67">
    <w:name w:val="正文首行缩进 21"/>
    <w:basedOn w:val="1"/>
    <w:qFormat/>
    <w:uiPriority w:val="0"/>
    <w:pPr>
      <w:ind w:left="420" w:leftChars="200" w:firstLine="420" w:firstLineChars="200"/>
    </w:pPr>
    <w:rPr>
      <w:rFonts w:ascii="Times New Roman" w:hAnsi="Times New Roman" w:eastAsia="宋体" w:cs="Times New Roman"/>
      <w:kern w:val="0"/>
      <w:sz w:val="28"/>
      <w:szCs w:val="28"/>
    </w:rPr>
  </w:style>
  <w:style w:type="paragraph" w:customStyle="1" w:styleId="68">
    <w:name w:val="明显引用1"/>
    <w:next w:val="1"/>
    <w:autoRedefine/>
    <w:qFormat/>
    <w:uiPriority w:val="0"/>
    <w:pPr>
      <w:wordWrap w:val="0"/>
      <w:ind w:left="950" w:right="950"/>
      <w:jc w:val="center"/>
    </w:pPr>
    <w:rPr>
      <w:rFonts w:ascii="Times New Roman" w:hAnsi="Times New Roman" w:eastAsia="宋体" w:cs="Times New Roman"/>
      <w:i/>
      <w:sz w:val="21"/>
      <w:lang w:val="en-US" w:eastAsia="zh-CN" w:bidi="ar-SA"/>
    </w:rPr>
  </w:style>
  <w:style w:type="paragraph" w:customStyle="1" w:styleId="69">
    <w:name w:val="表格"/>
    <w:basedOn w:val="70"/>
    <w:autoRedefine/>
    <w:qFormat/>
    <w:uiPriority w:val="0"/>
    <w:pPr>
      <w:adjustRightInd w:val="0"/>
      <w:spacing w:line="400" w:lineRule="exact"/>
      <w:jc w:val="center"/>
      <w:textAlignment w:val="baseline"/>
    </w:pPr>
  </w:style>
  <w:style w:type="paragraph" w:customStyle="1" w:styleId="70">
    <w:name w:val="表格标题"/>
    <w:basedOn w:val="1"/>
    <w:autoRedefine/>
    <w:qFormat/>
    <w:uiPriority w:val="0"/>
    <w:pPr>
      <w:keepNext/>
      <w:widowControl/>
      <w:overflowPunct w:val="0"/>
      <w:adjustRightInd w:val="0"/>
      <w:snapToGrid w:val="0"/>
      <w:spacing w:line="480" w:lineRule="exact"/>
      <w:jc w:val="center"/>
      <w:textAlignment w:val="baseline"/>
    </w:pPr>
    <w:rPr>
      <w:rFonts w:ascii="Arial" w:hAnsi="Arial" w:eastAsia="黑体"/>
    </w:rPr>
  </w:style>
  <w:style w:type="paragraph" w:customStyle="1" w:styleId="71">
    <w:name w:val="Default"/>
    <w:basedOn w:val="72"/>
    <w:link w:val="351"/>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72">
    <w:name w:val="标题 段落4级"/>
    <w:autoRedefine/>
    <w:qFormat/>
    <w:uiPriority w:val="0"/>
    <w:pPr>
      <w:spacing w:line="500" w:lineRule="exact"/>
      <w:outlineLvl w:val="3"/>
    </w:pPr>
    <w:rPr>
      <w:rFonts w:ascii="Calibri" w:hAnsi="Calibri" w:eastAsia="仿宋_GB2312" w:cs="Calibri"/>
      <w:b/>
      <w:kern w:val="2"/>
      <w:sz w:val="28"/>
      <w:szCs w:val="24"/>
      <w:lang w:val="en-US" w:eastAsia="zh-CN" w:bidi="ar-SA"/>
    </w:rPr>
  </w:style>
  <w:style w:type="paragraph" w:customStyle="1" w:styleId="73">
    <w:name w:val="标题4"/>
    <w:basedOn w:val="6"/>
    <w:next w:val="74"/>
    <w:autoRedefine/>
    <w:qFormat/>
    <w:uiPriority w:val="0"/>
    <w:pPr>
      <w:adjustRightInd w:val="0"/>
      <w:spacing w:line="600" w:lineRule="exact"/>
    </w:pPr>
    <w:rPr>
      <w:rFonts w:ascii="Times New Roman" w:hAnsi="宋体" w:eastAsia="宋体"/>
    </w:rPr>
  </w:style>
  <w:style w:type="paragraph" w:customStyle="1" w:styleId="74">
    <w:name w:val="Char1"/>
    <w:basedOn w:val="1"/>
    <w:next w:val="75"/>
    <w:autoRedefine/>
    <w:qFormat/>
    <w:uiPriority w:val="0"/>
    <w:pPr>
      <w:widowControl/>
      <w:spacing w:after="160" w:line="240" w:lineRule="exact"/>
      <w:ind w:firstLine="3584"/>
    </w:pPr>
  </w:style>
  <w:style w:type="paragraph" w:customStyle="1" w:styleId="75">
    <w:name w:val="Char"/>
    <w:basedOn w:val="17"/>
    <w:autoRedefine/>
    <w:qFormat/>
    <w:uiPriority w:val="0"/>
    <w:pPr>
      <w:widowControl/>
      <w:adjustRightInd w:val="0"/>
      <w:spacing w:line="240" w:lineRule="exact"/>
      <w:jc w:val="left"/>
      <w:textAlignment w:val="baseline"/>
    </w:pPr>
    <w:rPr>
      <w:rFonts w:ascii="Arial" w:hAnsi="Arial" w:eastAsia="Times New Roman" w:cs="Verdana"/>
      <w:b/>
      <w:lang w:eastAsia="en-US"/>
    </w:rPr>
  </w:style>
  <w:style w:type="paragraph" w:customStyle="1" w:styleId="76">
    <w:name w:val="首行缩进加粗"/>
    <w:basedOn w:val="1"/>
    <w:next w:val="77"/>
    <w:autoRedefine/>
    <w:qFormat/>
    <w:uiPriority w:val="0"/>
    <w:pPr>
      <w:spacing w:line="360" w:lineRule="auto"/>
      <w:ind w:left="482" w:firstLine="4834"/>
    </w:pPr>
  </w:style>
  <w:style w:type="paragraph" w:customStyle="1" w:styleId="77">
    <w:name w:val="四级条标题"/>
    <w:basedOn w:val="78"/>
    <w:next w:val="5"/>
    <w:autoRedefine/>
    <w:qFormat/>
    <w:uiPriority w:val="0"/>
    <w:pPr>
      <w:tabs>
        <w:tab w:val="left" w:pos="360"/>
      </w:tabs>
      <w:ind w:left="0"/>
      <w:outlineLvl w:val="5"/>
    </w:pPr>
  </w:style>
  <w:style w:type="paragraph" w:customStyle="1" w:styleId="78">
    <w:name w:val="三级条标题"/>
    <w:basedOn w:val="79"/>
    <w:next w:val="1"/>
    <w:autoRedefine/>
    <w:qFormat/>
    <w:uiPriority w:val="0"/>
    <w:pPr>
      <w:tabs>
        <w:tab w:val="left" w:pos="360"/>
      </w:tabs>
      <w:ind w:left="1050"/>
      <w:outlineLvl w:val="4"/>
    </w:pPr>
  </w:style>
  <w:style w:type="paragraph" w:customStyle="1" w:styleId="79">
    <w:name w:val="二级条标题"/>
    <w:basedOn w:val="80"/>
    <w:next w:val="1"/>
    <w:autoRedefine/>
    <w:qFormat/>
    <w:uiPriority w:val="0"/>
    <w:pPr>
      <w:tabs>
        <w:tab w:val="left" w:pos="360"/>
      </w:tabs>
      <w:ind w:left="735"/>
      <w:outlineLvl w:val="3"/>
    </w:pPr>
  </w:style>
  <w:style w:type="paragraph" w:customStyle="1" w:styleId="80">
    <w:name w:val="一级条标题"/>
    <w:basedOn w:val="81"/>
    <w:next w:val="1"/>
    <w:autoRedefine/>
    <w:qFormat/>
    <w:uiPriority w:val="0"/>
    <w:pPr>
      <w:tabs>
        <w:tab w:val="left" w:pos="360"/>
      </w:tabs>
    </w:pPr>
  </w:style>
  <w:style w:type="paragraph" w:customStyle="1" w:styleId="81">
    <w:name w:val="章标题"/>
    <w:next w:val="1"/>
    <w:autoRedefine/>
    <w:qFormat/>
    <w:uiPriority w:val="0"/>
    <w:pPr>
      <w:tabs>
        <w:tab w:val="left" w:pos="360"/>
      </w:tabs>
      <w:spacing w:beforeLines="50" w:afterLines="50"/>
      <w:jc w:val="both"/>
      <w:outlineLvl w:val="1"/>
    </w:pPr>
    <w:rPr>
      <w:rFonts w:ascii="黑体" w:hAnsi="Times New Roman" w:eastAsia="黑体" w:cs="Times New Roman"/>
      <w:sz w:val="21"/>
      <w:lang w:val="en-US" w:eastAsia="zh-CN" w:bidi="ar-SA"/>
    </w:rPr>
  </w:style>
  <w:style w:type="paragraph" w:customStyle="1" w:styleId="82">
    <w:name w:val="Char11"/>
    <w:basedOn w:val="1"/>
    <w:next w:val="83"/>
    <w:autoRedefine/>
    <w:qFormat/>
    <w:uiPriority w:val="0"/>
    <w:pPr>
      <w:widowControl/>
      <w:spacing w:after="160" w:line="240" w:lineRule="exact"/>
      <w:ind w:firstLine="3584"/>
    </w:pPr>
  </w:style>
  <w:style w:type="paragraph" w:customStyle="1" w:styleId="83">
    <w:name w:val="Char2"/>
    <w:basedOn w:val="17"/>
    <w:next w:val="76"/>
    <w:autoRedefine/>
    <w:qFormat/>
    <w:uiPriority w:val="0"/>
    <w:rPr>
      <w:szCs w:val="21"/>
    </w:rPr>
  </w:style>
  <w:style w:type="character" w:customStyle="1" w:styleId="84">
    <w:name w:val="标题 3 Char"/>
    <w:link w:val="5"/>
    <w:autoRedefine/>
    <w:qFormat/>
    <w:uiPriority w:val="0"/>
    <w:rPr>
      <w:rFonts w:ascii="黑体" w:hAnsi="黑体" w:eastAsia="黑体"/>
      <w:b/>
      <w:bCs/>
      <w:snapToGrid w:val="0"/>
      <w:sz w:val="28"/>
      <w:szCs w:val="28"/>
    </w:rPr>
  </w:style>
  <w:style w:type="paragraph" w:customStyle="1" w:styleId="85">
    <w:name w:val="默认段落字体 Para Char Char Char Char Char Char Char Char Char1 Char Char Char Char Char Char Char"/>
    <w:basedOn w:val="1"/>
    <w:autoRedefine/>
    <w:qFormat/>
    <w:uiPriority w:val="0"/>
    <w:pPr>
      <w:shd w:val="clear" w:color="auto" w:fill="000080"/>
      <w:snapToGrid w:val="0"/>
    </w:pPr>
    <w:rPr>
      <w:rFonts w:ascii="Times New Roman"/>
      <w:kern w:val="2"/>
      <w:sz w:val="21"/>
      <w:szCs w:val="24"/>
      <w:shd w:val="clear" w:color="auto" w:fill="000080"/>
    </w:rPr>
  </w:style>
  <w:style w:type="paragraph" w:customStyle="1" w:styleId="86">
    <w:name w:val="xl74"/>
    <w:basedOn w:val="1"/>
    <w:autoRedefine/>
    <w:qFormat/>
    <w:uiPriority w:val="0"/>
    <w:pPr>
      <w:widowControl/>
      <w:pBdr>
        <w:top w:val="single" w:color="auto" w:sz="4" w:space="0"/>
        <w:left w:val="single" w:color="auto" w:sz="4" w:space="0"/>
        <w:right w:val="single" w:color="auto" w:sz="4" w:space="0"/>
      </w:pBdr>
      <w:spacing w:beforeAutospacing="1" w:afterAutospacing="1"/>
      <w:jc w:val="center"/>
      <w:textAlignment w:val="center"/>
    </w:pPr>
    <w:rPr>
      <w:rFonts w:hAnsi="宋体"/>
    </w:rPr>
  </w:style>
  <w:style w:type="paragraph" w:customStyle="1" w:styleId="87">
    <w:name w:val="正文文本缩进 21"/>
    <w:basedOn w:val="1"/>
    <w:autoRedefine/>
    <w:qFormat/>
    <w:uiPriority w:val="0"/>
    <w:pPr>
      <w:widowControl/>
      <w:adjustRightInd w:val="0"/>
      <w:spacing w:line="360" w:lineRule="auto"/>
      <w:ind w:right="-1" w:firstLine="600"/>
      <w:jc w:val="left"/>
      <w:textAlignment w:val="baseline"/>
    </w:pPr>
    <w:rPr>
      <w:spacing w:val="8"/>
    </w:rPr>
  </w:style>
  <w:style w:type="paragraph" w:customStyle="1" w:styleId="88">
    <w:name w:val="样式 样式 四号 行距: 1.5 倍行距 首行缩进:  2 字符 + 首行缩进:  2 字符"/>
    <w:basedOn w:val="89"/>
    <w:autoRedefine/>
    <w:qFormat/>
    <w:uiPriority w:val="0"/>
    <w:pPr>
      <w:ind w:firstLine="560"/>
    </w:pPr>
  </w:style>
  <w:style w:type="paragraph" w:customStyle="1" w:styleId="89">
    <w:name w:val="样式 四号 行距: 1.5 倍行距 首行缩进:  2 字符"/>
    <w:basedOn w:val="1"/>
    <w:autoRedefine/>
    <w:qFormat/>
    <w:uiPriority w:val="0"/>
    <w:pPr>
      <w:ind w:firstLine="200" w:firstLineChars="200"/>
    </w:pPr>
    <w:rPr>
      <w:rFonts w:eastAsia="仿宋_GB2312" w:cs="宋体"/>
      <w:sz w:val="28"/>
    </w:rPr>
  </w:style>
  <w:style w:type="paragraph" w:customStyle="1" w:styleId="90">
    <w:name w:val="样式 样式 首行缩进:  0.8厘米 + 右侧:  2 字符"/>
    <w:basedOn w:val="91"/>
    <w:link w:val="275"/>
    <w:autoRedefine/>
    <w:qFormat/>
    <w:uiPriority w:val="0"/>
    <w:pPr>
      <w:ind w:left="200" w:leftChars="200" w:right="0" w:rightChars="0"/>
    </w:pPr>
  </w:style>
  <w:style w:type="paragraph" w:customStyle="1" w:styleId="91">
    <w:name w:val="样式 首行缩进:  0.8厘米"/>
    <w:basedOn w:val="1"/>
    <w:link w:val="276"/>
    <w:autoRedefine/>
    <w:qFormat/>
    <w:uiPriority w:val="0"/>
    <w:pPr>
      <w:spacing w:line="360" w:lineRule="auto"/>
      <w:ind w:right="200" w:rightChars="200"/>
    </w:pPr>
    <w:rPr>
      <w:snapToGrid w:val="0"/>
    </w:rPr>
  </w:style>
  <w:style w:type="paragraph" w:customStyle="1" w:styleId="92">
    <w:name w:val="Plain Text1"/>
    <w:basedOn w:val="1"/>
    <w:autoRedefine/>
    <w:qFormat/>
    <w:uiPriority w:val="0"/>
    <w:pPr>
      <w:adjustRightInd w:val="0"/>
      <w:jc w:val="left"/>
      <w:textAlignment w:val="baseline"/>
    </w:pPr>
    <w:rPr>
      <w:rFonts w:hAnsi="Courier New"/>
    </w:rPr>
  </w:style>
  <w:style w:type="paragraph" w:customStyle="1" w:styleId="93">
    <w:name w:val="Char Char5 Char Char"/>
    <w:basedOn w:val="1"/>
    <w:autoRedefine/>
    <w:qFormat/>
    <w:uiPriority w:val="0"/>
  </w:style>
  <w:style w:type="paragraph" w:customStyle="1" w:styleId="94">
    <w:name w:val="xl51"/>
    <w:basedOn w:val="1"/>
    <w:autoRedefine/>
    <w:qFormat/>
    <w:uiPriority w:val="0"/>
    <w:pPr>
      <w:widowControl/>
      <w:pBdr>
        <w:left w:val="single" w:color="auto" w:sz="8" w:space="0"/>
        <w:bottom w:val="single" w:color="auto" w:sz="4" w:space="0"/>
        <w:right w:val="single" w:color="auto" w:sz="4" w:space="0"/>
      </w:pBdr>
      <w:spacing w:beforeAutospacing="1" w:afterAutospacing="1"/>
      <w:jc w:val="center"/>
      <w:textAlignment w:val="center"/>
    </w:pPr>
    <w:rPr>
      <w:rFonts w:hAnsi="宋体"/>
    </w:rPr>
  </w:style>
  <w:style w:type="paragraph" w:customStyle="1" w:styleId="95">
    <w:name w:val="样式6"/>
    <w:basedOn w:val="5"/>
    <w:autoRedefine/>
    <w:qFormat/>
    <w:uiPriority w:val="0"/>
    <w:pPr>
      <w:keepNext w:val="0"/>
      <w:keepLines w:val="0"/>
      <w:spacing w:beforeAutospacing="1" w:afterAutospacing="1"/>
      <w:ind w:firstLine="562" w:firstLineChars="200"/>
    </w:pPr>
  </w:style>
  <w:style w:type="paragraph" w:customStyle="1" w:styleId="96">
    <w:name w:val="二级标题"/>
    <w:basedOn w:val="1"/>
    <w:next w:val="1"/>
    <w:autoRedefine/>
    <w:qFormat/>
    <w:uiPriority w:val="0"/>
    <w:pPr>
      <w:keepNext/>
      <w:adjustRightInd w:val="0"/>
      <w:spacing w:line="312" w:lineRule="atLeast"/>
      <w:jc w:val="center"/>
      <w:textAlignment w:val="baseline"/>
    </w:pPr>
    <w:rPr>
      <w:sz w:val="28"/>
    </w:rPr>
  </w:style>
  <w:style w:type="paragraph" w:customStyle="1" w:styleId="97">
    <w:name w:val="表格标题01"/>
    <w:basedOn w:val="1"/>
    <w:autoRedefine/>
    <w:qFormat/>
    <w:uiPriority w:val="0"/>
    <w:pPr>
      <w:adjustRightInd w:val="0"/>
      <w:spacing w:line="480" w:lineRule="exact"/>
      <w:jc w:val="center"/>
      <w:textAlignment w:val="baseline"/>
    </w:pPr>
    <w:rPr>
      <w:snapToGrid w:val="0"/>
      <w:sz w:val="28"/>
      <w:szCs w:val="28"/>
    </w:rPr>
  </w:style>
  <w:style w:type="paragraph" w:customStyle="1" w:styleId="98">
    <w:name w:val="样式 四号 首行缩进:  0.05 厘米 行距: 1.5 倍行距"/>
    <w:basedOn w:val="1"/>
    <w:autoRedefine/>
    <w:qFormat/>
    <w:uiPriority w:val="0"/>
    <w:pPr>
      <w:spacing w:line="360" w:lineRule="auto"/>
      <w:ind w:firstLine="28"/>
    </w:pPr>
  </w:style>
  <w:style w:type="paragraph" w:customStyle="1" w:styleId="99">
    <w:name w:val="xl83"/>
    <w:basedOn w:val="1"/>
    <w:autoRedefine/>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center"/>
      <w:textAlignment w:val="center"/>
    </w:pPr>
    <w:rPr>
      <w:rFonts w:hAnsi="宋体"/>
    </w:rPr>
  </w:style>
  <w:style w:type="paragraph" w:customStyle="1" w:styleId="100">
    <w:name w:val="font9"/>
    <w:basedOn w:val="1"/>
    <w:autoRedefine/>
    <w:qFormat/>
    <w:uiPriority w:val="0"/>
    <w:pPr>
      <w:widowControl/>
      <w:spacing w:beforeAutospacing="1" w:afterAutospacing="1"/>
      <w:jc w:val="left"/>
    </w:pPr>
    <w:rPr>
      <w:rFonts w:eastAsia="Arial Unicode MS"/>
      <w:color w:val="0000FF"/>
    </w:rPr>
  </w:style>
  <w:style w:type="paragraph" w:customStyle="1" w:styleId="101">
    <w:name w:val="font13"/>
    <w:basedOn w:val="1"/>
    <w:autoRedefine/>
    <w:qFormat/>
    <w:uiPriority w:val="0"/>
    <w:pPr>
      <w:widowControl/>
      <w:spacing w:beforeAutospacing="1" w:afterAutospacing="1"/>
      <w:jc w:val="left"/>
    </w:pPr>
    <w:rPr>
      <w:rFonts w:eastAsia="Arial Unicode MS"/>
      <w:b/>
      <w:bCs/>
      <w:color w:val="0000FF"/>
      <w:sz w:val="48"/>
      <w:szCs w:val="48"/>
    </w:rPr>
  </w:style>
  <w:style w:type="paragraph" w:customStyle="1" w:styleId="102">
    <w:name w:val="xl62"/>
    <w:basedOn w:val="1"/>
    <w:autoRedefine/>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hAnsi="宋体"/>
    </w:rPr>
  </w:style>
  <w:style w:type="paragraph" w:customStyle="1" w:styleId="103">
    <w:name w:val="正文3"/>
    <w:basedOn w:val="1"/>
    <w:link w:val="285"/>
    <w:autoRedefine/>
    <w:qFormat/>
    <w:uiPriority w:val="0"/>
    <w:pPr>
      <w:spacing w:line="500" w:lineRule="exact"/>
      <w:ind w:firstLine="560" w:firstLineChars="200"/>
    </w:pPr>
    <w:rPr>
      <w:rFonts w:cs="宋体"/>
      <w:kern w:val="2"/>
      <w:sz w:val="28"/>
      <w:szCs w:val="28"/>
    </w:rPr>
  </w:style>
  <w:style w:type="paragraph" w:customStyle="1" w:styleId="104">
    <w:name w:val="样式 四号 行距: 1.5 倍行距1"/>
    <w:basedOn w:val="1"/>
    <w:autoRedefine/>
    <w:qFormat/>
    <w:uiPriority w:val="0"/>
    <w:pPr>
      <w:spacing w:line="360" w:lineRule="auto"/>
    </w:pPr>
  </w:style>
  <w:style w:type="paragraph" w:customStyle="1" w:styleId="105">
    <w:name w:val="样式 样式 四号 行距: 1.5 倍行距 + 首行缩进:  2 字符"/>
    <w:basedOn w:val="1"/>
    <w:autoRedefine/>
    <w:qFormat/>
    <w:uiPriority w:val="0"/>
    <w:pPr>
      <w:spacing w:line="360" w:lineRule="auto"/>
      <w:ind w:firstLine="480" w:firstLineChars="200"/>
    </w:pPr>
  </w:style>
  <w:style w:type="paragraph" w:customStyle="1" w:styleId="106">
    <w:name w:val="font8"/>
    <w:basedOn w:val="1"/>
    <w:autoRedefine/>
    <w:qFormat/>
    <w:uiPriority w:val="0"/>
    <w:pPr>
      <w:widowControl/>
      <w:spacing w:beforeAutospacing="1" w:afterAutospacing="1"/>
      <w:jc w:val="left"/>
    </w:pPr>
    <w:rPr>
      <w:rFonts w:hint="eastAsia" w:hAnsi="宋体"/>
      <w:color w:val="0000FF"/>
      <w:sz w:val="20"/>
    </w:rPr>
  </w:style>
  <w:style w:type="paragraph" w:customStyle="1" w:styleId="107">
    <w:name w:val="标准"/>
    <w:basedOn w:val="1"/>
    <w:autoRedefine/>
    <w:qFormat/>
    <w:uiPriority w:val="0"/>
    <w:pPr>
      <w:adjustRightInd w:val="0"/>
      <w:spacing w:line="480" w:lineRule="exact"/>
      <w:ind w:firstLine="570"/>
      <w:textAlignment w:val="baseline"/>
    </w:pPr>
    <w:rPr>
      <w:spacing w:val="-4"/>
      <w:sz w:val="28"/>
    </w:rPr>
  </w:style>
  <w:style w:type="paragraph" w:customStyle="1" w:styleId="108">
    <w:name w:val="样式8"/>
    <w:basedOn w:val="1"/>
    <w:autoRedefine/>
    <w:qFormat/>
    <w:uiPriority w:val="0"/>
    <w:pPr>
      <w:spacing w:line="500" w:lineRule="exact"/>
      <w:ind w:firstLine="560" w:firstLineChars="200"/>
    </w:pPr>
    <w:rPr>
      <w:rFonts w:hAnsi="宋体" w:cs="宋体"/>
      <w:color w:val="000000"/>
      <w:sz w:val="28"/>
      <w:szCs w:val="28"/>
    </w:rPr>
  </w:style>
  <w:style w:type="paragraph" w:customStyle="1" w:styleId="109">
    <w:name w:val="Char Char Char Char Char Char Char Char Char Char Char Char Char Char Char Char Char Char1 Char Char Char Char Char Char Char Char Char Char Char Char Char Char Char Char Char Char Char Char Char Char Char Char Char"/>
    <w:basedOn w:val="1"/>
    <w:autoRedefine/>
    <w:qFormat/>
    <w:uiPriority w:val="0"/>
  </w:style>
  <w:style w:type="paragraph" w:customStyle="1" w:styleId="110">
    <w:name w:val="xl81"/>
    <w:basedOn w:val="1"/>
    <w:autoRedefine/>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center"/>
      <w:textAlignment w:val="center"/>
    </w:pPr>
    <w:rPr>
      <w:rFonts w:hint="eastAsia" w:hAnsi="宋体"/>
    </w:rPr>
  </w:style>
  <w:style w:type="paragraph" w:customStyle="1" w:styleId="111">
    <w:name w:val="样式 四号 行距: 1.5 倍行距9"/>
    <w:basedOn w:val="1"/>
    <w:autoRedefine/>
    <w:qFormat/>
    <w:uiPriority w:val="0"/>
    <w:pPr>
      <w:spacing w:line="360" w:lineRule="auto"/>
      <w:ind w:left="-27" w:leftChars="-13" w:firstLine="560" w:firstLineChars="200"/>
    </w:pPr>
  </w:style>
  <w:style w:type="paragraph" w:customStyle="1" w:styleId="112">
    <w:name w:val="正文文本 31"/>
    <w:basedOn w:val="1"/>
    <w:autoRedefine/>
    <w:qFormat/>
    <w:uiPriority w:val="0"/>
    <w:pPr>
      <w:widowControl/>
      <w:adjustRightInd w:val="0"/>
      <w:ind w:right="57"/>
      <w:jc w:val="left"/>
      <w:textAlignment w:val="baseline"/>
    </w:pPr>
    <w:rPr>
      <w:spacing w:val="8"/>
    </w:rPr>
  </w:style>
  <w:style w:type="paragraph" w:customStyle="1" w:styleId="113">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eastAsia="Arial Unicode MS"/>
      <w:color w:val="0000FF"/>
      <w:sz w:val="20"/>
    </w:rPr>
  </w:style>
  <w:style w:type="paragraph" w:customStyle="1" w:styleId="114">
    <w:name w:val="说明书标题"/>
    <w:basedOn w:val="115"/>
    <w:next w:val="115"/>
    <w:autoRedefine/>
    <w:qFormat/>
    <w:uiPriority w:val="0"/>
    <w:pPr>
      <w:tabs>
        <w:tab w:val="left" w:pos="210"/>
        <w:tab w:val="left" w:pos="360"/>
      </w:tabs>
      <w:ind w:left="227" w:hanging="227" w:firstLineChars="0"/>
    </w:pPr>
    <w:rPr>
      <w:rFonts w:eastAsia="黑体"/>
    </w:rPr>
  </w:style>
  <w:style w:type="paragraph" w:customStyle="1" w:styleId="115">
    <w:name w:val="说明书正文"/>
    <w:basedOn w:val="1"/>
    <w:autoRedefine/>
    <w:qFormat/>
    <w:uiPriority w:val="0"/>
    <w:pPr>
      <w:spacing w:line="520" w:lineRule="exact"/>
      <w:ind w:firstLine="200" w:firstLineChars="200"/>
    </w:pPr>
    <w:rPr>
      <w:rFonts w:ascii="Trebuchet MS" w:hAnsi="Trebuchet MS"/>
      <w:sz w:val="28"/>
    </w:rPr>
  </w:style>
  <w:style w:type="paragraph" w:customStyle="1" w:styleId="116">
    <w:name w:val="一级标题"/>
    <w:basedOn w:val="1"/>
    <w:autoRedefine/>
    <w:qFormat/>
    <w:uiPriority w:val="0"/>
    <w:pPr>
      <w:spacing w:line="360" w:lineRule="auto"/>
      <w:ind w:right="8" w:rightChars="8"/>
      <w:outlineLvl w:val="0"/>
    </w:pPr>
    <w:rPr>
      <w:b/>
      <w:snapToGrid w:val="0"/>
      <w:sz w:val="32"/>
    </w:rPr>
  </w:style>
  <w:style w:type="paragraph" w:customStyle="1" w:styleId="117">
    <w:name w:val="xl29"/>
    <w:basedOn w:val="1"/>
    <w:autoRedefine/>
    <w:qFormat/>
    <w:uiPriority w:val="0"/>
    <w:pPr>
      <w:widowControl/>
      <w:jc w:val="center"/>
    </w:pPr>
  </w:style>
  <w:style w:type="paragraph" w:customStyle="1" w:styleId="118">
    <w:name w:val="样式 四号 黑色 行距: 1.5 倍行距3"/>
    <w:basedOn w:val="1"/>
    <w:autoRedefine/>
    <w:qFormat/>
    <w:uiPriority w:val="0"/>
    <w:pPr>
      <w:spacing w:line="360" w:lineRule="auto"/>
      <w:ind w:firstLine="479" w:firstLineChars="171"/>
    </w:pPr>
    <w:rPr>
      <w:color w:val="000000"/>
    </w:rPr>
  </w:style>
  <w:style w:type="paragraph" w:customStyle="1" w:styleId="119">
    <w:name w:val="xl35"/>
    <w:basedOn w:val="1"/>
    <w:autoRedefine/>
    <w:qFormat/>
    <w:uiPriority w:val="0"/>
    <w:pPr>
      <w:widowControl/>
      <w:pBdr>
        <w:top w:val="single" w:color="auto" w:sz="4" w:space="0"/>
        <w:left w:val="single" w:color="auto" w:sz="4" w:space="20"/>
        <w:bottom w:val="single" w:color="auto" w:sz="4" w:space="0"/>
        <w:right w:val="single" w:color="auto" w:sz="4" w:space="0"/>
      </w:pBdr>
      <w:spacing w:beforeAutospacing="1" w:afterAutospacing="1"/>
      <w:ind w:firstLine="100" w:firstLineChars="100"/>
      <w:jc w:val="left"/>
      <w:textAlignment w:val="center"/>
    </w:pPr>
    <w:rPr>
      <w:rFonts w:eastAsia="Arial Unicode MS"/>
      <w:color w:val="0000FF"/>
      <w:sz w:val="20"/>
    </w:rPr>
  </w:style>
  <w:style w:type="paragraph" w:customStyle="1" w:styleId="120">
    <w:name w:val="xl28"/>
    <w:basedOn w:val="1"/>
    <w:autoRedefine/>
    <w:qFormat/>
    <w:uiPriority w:val="0"/>
    <w:pPr>
      <w:widowControl/>
      <w:spacing w:beforeAutospacing="1" w:afterAutospacing="1"/>
      <w:ind w:firstLine="100" w:firstLineChars="100"/>
      <w:jc w:val="left"/>
      <w:textAlignment w:val="center"/>
    </w:pPr>
    <w:rPr>
      <w:rFonts w:ascii="Arial Unicode MS" w:hAnsi="Arial Unicode MS" w:eastAsia="Arial Unicode MS"/>
      <w:b/>
      <w:bCs/>
      <w:color w:val="0000FF"/>
      <w:sz w:val="20"/>
    </w:rPr>
  </w:style>
  <w:style w:type="paragraph" w:customStyle="1" w:styleId="121">
    <w:name w:val="xl59"/>
    <w:basedOn w:val="1"/>
    <w:autoRedefine/>
    <w:qFormat/>
    <w:uiPriority w:val="0"/>
    <w:pPr>
      <w:widowControl/>
      <w:pBdr>
        <w:left w:val="single" w:color="auto" w:sz="4" w:space="0"/>
        <w:bottom w:val="single" w:color="auto" w:sz="4" w:space="0"/>
        <w:right w:val="single" w:color="auto" w:sz="8" w:space="0"/>
      </w:pBdr>
      <w:spacing w:beforeAutospacing="1" w:afterAutospacing="1"/>
      <w:jc w:val="left"/>
      <w:textAlignment w:val="center"/>
    </w:pPr>
    <w:rPr>
      <w:rFonts w:hAnsi="宋体"/>
    </w:rPr>
  </w:style>
  <w:style w:type="paragraph" w:customStyle="1" w:styleId="122">
    <w:name w:val="xl77"/>
    <w:basedOn w:val="1"/>
    <w:autoRedefine/>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hint="eastAsia" w:hAnsi="宋体"/>
    </w:rPr>
  </w:style>
  <w:style w:type="paragraph" w:customStyle="1" w:styleId="123">
    <w:name w:val="font12"/>
    <w:basedOn w:val="1"/>
    <w:autoRedefine/>
    <w:qFormat/>
    <w:uiPriority w:val="0"/>
    <w:pPr>
      <w:widowControl/>
      <w:spacing w:beforeAutospacing="1" w:afterAutospacing="1"/>
      <w:jc w:val="left"/>
    </w:pPr>
    <w:rPr>
      <w:rFonts w:hint="eastAsia" w:hAnsi="宋体"/>
      <w:color w:val="0000FF"/>
      <w:sz w:val="20"/>
    </w:rPr>
  </w:style>
  <w:style w:type="paragraph" w:customStyle="1" w:styleId="124">
    <w:name w:val="xl44"/>
    <w:basedOn w:val="1"/>
    <w:autoRedefine/>
    <w:qFormat/>
    <w:uiPriority w:val="0"/>
    <w:pPr>
      <w:widowControl/>
      <w:pBdr>
        <w:top w:val="single" w:color="auto" w:sz="4" w:space="0"/>
        <w:left w:val="single" w:color="auto" w:sz="4" w:space="0"/>
        <w:bottom w:val="single" w:color="auto" w:sz="8" w:space="0"/>
        <w:right w:val="single" w:color="auto" w:sz="8" w:space="0"/>
      </w:pBdr>
      <w:spacing w:beforeAutospacing="1" w:afterAutospacing="1"/>
      <w:jc w:val="center"/>
      <w:textAlignment w:val="center"/>
    </w:pPr>
    <w:rPr>
      <w:rFonts w:hint="eastAsia" w:hAnsi="宋体"/>
    </w:rPr>
  </w:style>
  <w:style w:type="paragraph" w:customStyle="1" w:styleId="125">
    <w:name w:val="Char2 Char Char Char Char Char Char"/>
    <w:basedOn w:val="1"/>
    <w:autoRedefine/>
    <w:qFormat/>
    <w:uiPriority w:val="0"/>
    <w:pPr>
      <w:autoSpaceDE w:val="0"/>
      <w:autoSpaceDN w:val="0"/>
      <w:adjustRightInd w:val="0"/>
      <w:snapToGrid w:val="0"/>
      <w:spacing w:line="360" w:lineRule="auto"/>
      <w:ind w:firstLine="560" w:firstLineChars="200"/>
    </w:pPr>
    <w:rPr>
      <w:rFonts w:eastAsia="仿宋_GB2312"/>
      <w:color w:val="000000"/>
    </w:rPr>
  </w:style>
  <w:style w:type="paragraph" w:customStyle="1" w:styleId="126">
    <w:name w:val="xl89"/>
    <w:basedOn w:val="1"/>
    <w:autoRedefine/>
    <w:qFormat/>
    <w:uiPriority w:val="0"/>
    <w:pPr>
      <w:widowControl/>
      <w:spacing w:beforeAutospacing="1" w:afterAutospacing="1"/>
      <w:jc w:val="center"/>
      <w:textAlignment w:val="top"/>
    </w:pPr>
    <w:rPr>
      <w:rFonts w:hint="eastAsia" w:hAnsi="宋体"/>
      <w:b/>
      <w:bCs/>
      <w:sz w:val="32"/>
      <w:szCs w:val="32"/>
    </w:rPr>
  </w:style>
  <w:style w:type="paragraph" w:customStyle="1" w:styleId="127">
    <w:name w:val="xl85"/>
    <w:basedOn w:val="1"/>
    <w:autoRedefine/>
    <w:qFormat/>
    <w:uiPriority w:val="0"/>
    <w:pPr>
      <w:widowControl/>
      <w:pBdr>
        <w:left w:val="single" w:color="auto" w:sz="4" w:space="0"/>
        <w:right w:val="single" w:color="auto" w:sz="4" w:space="0"/>
      </w:pBdr>
      <w:spacing w:beforeAutospacing="1" w:afterAutospacing="1"/>
      <w:jc w:val="left"/>
      <w:textAlignment w:val="center"/>
    </w:pPr>
    <w:rPr>
      <w:rFonts w:hAnsi="宋体"/>
    </w:rPr>
  </w:style>
  <w:style w:type="paragraph" w:customStyle="1" w:styleId="128">
    <w:name w:val="默认段落字体 Para Char Char Char1 Char Char Char Char"/>
    <w:basedOn w:val="1"/>
    <w:autoRedefine/>
    <w:qFormat/>
    <w:uiPriority w:val="0"/>
  </w:style>
  <w:style w:type="paragraph" w:customStyle="1" w:styleId="129">
    <w:name w:val="xl55"/>
    <w:basedOn w:val="1"/>
    <w:autoRedefine/>
    <w:qFormat/>
    <w:uiPriority w:val="0"/>
    <w:pPr>
      <w:widowControl/>
      <w:pBdr>
        <w:left w:val="single" w:color="auto" w:sz="4" w:space="0"/>
        <w:bottom w:val="single" w:color="auto" w:sz="4" w:space="0"/>
        <w:right w:val="single" w:color="auto" w:sz="4" w:space="0"/>
      </w:pBdr>
      <w:spacing w:beforeAutospacing="1" w:afterAutospacing="1"/>
      <w:jc w:val="left"/>
      <w:textAlignment w:val="center"/>
    </w:pPr>
    <w:rPr>
      <w:rFonts w:hAnsi="宋体"/>
    </w:rPr>
  </w:style>
  <w:style w:type="paragraph" w:customStyle="1" w:styleId="130">
    <w:name w:val="Char Char Char Char Char Char Char Char Char Char"/>
    <w:basedOn w:val="1"/>
    <w:autoRedefine/>
    <w:qFormat/>
    <w:uiPriority w:val="0"/>
  </w:style>
  <w:style w:type="paragraph" w:customStyle="1" w:styleId="131">
    <w:name w:val="xl42"/>
    <w:basedOn w:val="1"/>
    <w:autoRedefine/>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left"/>
    </w:pPr>
    <w:rPr>
      <w:rFonts w:hint="eastAsia" w:hAnsi="宋体"/>
    </w:rPr>
  </w:style>
  <w:style w:type="paragraph" w:customStyle="1" w:styleId="132">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eastAsia="Arial Unicode MS"/>
      <w:color w:val="0000FF"/>
      <w:sz w:val="20"/>
    </w:rPr>
  </w:style>
  <w:style w:type="paragraph" w:customStyle="1" w:styleId="133">
    <w:name w:val="图片"/>
    <w:basedOn w:val="1"/>
    <w:autoRedefine/>
    <w:qFormat/>
    <w:uiPriority w:val="0"/>
    <w:pPr>
      <w:jc w:val="center"/>
    </w:pPr>
    <w:rPr>
      <w:sz w:val="28"/>
      <w:szCs w:val="28"/>
    </w:rPr>
  </w:style>
  <w:style w:type="paragraph" w:customStyle="1" w:styleId="134">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eastAsia="Arial Unicode MS"/>
      <w:color w:val="0000FF"/>
      <w:sz w:val="20"/>
    </w:rPr>
  </w:style>
  <w:style w:type="paragraph" w:customStyle="1" w:styleId="135">
    <w:name w:val="页眉 New New New New New"/>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customStyle="1" w:styleId="136">
    <w:name w:val="样式 四号 首行缩进:  0.95 厘米 右侧:  0.04 厘米 行距: 1.5 倍行距"/>
    <w:basedOn w:val="1"/>
    <w:autoRedefine/>
    <w:qFormat/>
    <w:uiPriority w:val="0"/>
    <w:pPr>
      <w:spacing w:line="360" w:lineRule="auto"/>
      <w:ind w:right="25" w:firstLine="538"/>
    </w:pPr>
  </w:style>
  <w:style w:type="paragraph" w:customStyle="1" w:styleId="137">
    <w:name w:val="样式 正文缩进 + 居中 首行缩进:  0 厘米"/>
    <w:basedOn w:val="9"/>
    <w:autoRedefine/>
    <w:qFormat/>
    <w:uiPriority w:val="0"/>
    <w:pPr>
      <w:spacing w:beforeLines="30"/>
      <w:ind w:firstLine="0" w:firstLineChars="0"/>
      <w:jc w:val="center"/>
    </w:pPr>
    <w:rPr>
      <w:szCs w:val="20"/>
    </w:rPr>
  </w:style>
  <w:style w:type="paragraph" w:customStyle="1" w:styleId="138">
    <w:name w:val="xl31"/>
    <w:basedOn w:val="1"/>
    <w:autoRedefine/>
    <w:qFormat/>
    <w:uiPriority w:val="0"/>
    <w:pPr>
      <w:widowControl/>
      <w:pBdr>
        <w:top w:val="single" w:color="auto" w:sz="4" w:space="0"/>
        <w:left w:val="single" w:color="auto" w:sz="4" w:space="20"/>
        <w:bottom w:val="single" w:color="auto" w:sz="4" w:space="0"/>
        <w:right w:val="single" w:color="auto" w:sz="4" w:space="0"/>
      </w:pBdr>
      <w:spacing w:beforeAutospacing="1" w:afterAutospacing="1"/>
      <w:ind w:firstLine="100" w:firstLineChars="100"/>
      <w:jc w:val="left"/>
      <w:textAlignment w:val="center"/>
    </w:pPr>
    <w:rPr>
      <w:rFonts w:ascii="Arial Unicode MS" w:hAnsi="Arial Unicode MS" w:eastAsia="Arial Unicode MS"/>
      <w:color w:val="0000FF"/>
    </w:rPr>
  </w:style>
  <w:style w:type="paragraph" w:customStyle="1" w:styleId="139">
    <w:name w:val="样式 四号 行距: 固定值 25 磅"/>
    <w:basedOn w:val="1"/>
    <w:autoRedefine/>
    <w:qFormat/>
    <w:uiPriority w:val="0"/>
    <w:pPr>
      <w:spacing w:line="500" w:lineRule="exact"/>
    </w:pPr>
  </w:style>
  <w:style w:type="paragraph" w:customStyle="1" w:styleId="140">
    <w:name w:val="节标题1"/>
    <w:basedOn w:val="1"/>
    <w:autoRedefine/>
    <w:qFormat/>
    <w:uiPriority w:val="0"/>
    <w:pPr>
      <w:spacing w:line="700" w:lineRule="exact"/>
      <w:outlineLvl w:val="2"/>
    </w:pPr>
    <w:rPr>
      <w:rFonts w:ascii="Arial" w:hAnsi="Arial" w:eastAsia="仿宋_GB2312"/>
      <w:b/>
      <w:sz w:val="28"/>
    </w:rPr>
  </w:style>
  <w:style w:type="paragraph" w:customStyle="1" w:styleId="141">
    <w:name w:val="样式 正文首行缩进正文首行缩进 Char + 段前: 0.5 行"/>
    <w:basedOn w:val="50"/>
    <w:autoRedefine/>
    <w:qFormat/>
    <w:uiPriority w:val="0"/>
    <w:pPr>
      <w:spacing w:beforeLines="50"/>
      <w:ind w:firstLine="567" w:firstLineChars="0"/>
    </w:pPr>
    <w:rPr>
      <w:rFonts w:cs="宋体"/>
      <w:sz w:val="24"/>
      <w:szCs w:val="20"/>
    </w:rPr>
  </w:style>
  <w:style w:type="paragraph" w:customStyle="1" w:styleId="142">
    <w:name w:val="BIG BOLD"/>
    <w:basedOn w:val="1"/>
    <w:autoRedefine/>
    <w:qFormat/>
    <w:uiPriority w:val="0"/>
    <w:pPr>
      <w:tabs>
        <w:tab w:val="left" w:leader="underscore" w:pos="1134"/>
      </w:tabs>
    </w:pPr>
  </w:style>
  <w:style w:type="paragraph" w:customStyle="1" w:styleId="143">
    <w:name w:val="样式 四号 黑色 行距: 1.5 倍行距"/>
    <w:basedOn w:val="1"/>
    <w:autoRedefine/>
    <w:qFormat/>
    <w:uiPriority w:val="0"/>
    <w:pPr>
      <w:spacing w:line="360" w:lineRule="auto"/>
      <w:ind w:firstLine="560" w:firstLineChars="200"/>
    </w:pPr>
    <w:rPr>
      <w:color w:val="000000"/>
    </w:rPr>
  </w:style>
  <w:style w:type="paragraph" w:customStyle="1" w:styleId="144">
    <w:name w:val="样式 四号 黑色 左 行距: 1.5 倍行距"/>
    <w:basedOn w:val="1"/>
    <w:autoRedefine/>
    <w:qFormat/>
    <w:uiPriority w:val="0"/>
    <w:pPr>
      <w:spacing w:line="360" w:lineRule="auto"/>
      <w:jc w:val="left"/>
    </w:pPr>
    <w:rPr>
      <w:color w:val="000000"/>
    </w:rPr>
  </w:style>
  <w:style w:type="paragraph" w:customStyle="1" w:styleId="145">
    <w:name w:val="xl22"/>
    <w:basedOn w:val="1"/>
    <w:autoRedefine/>
    <w:qFormat/>
    <w:uiPriority w:val="0"/>
    <w:pPr>
      <w:widowControl/>
      <w:jc w:val="center"/>
    </w:pPr>
    <w:rPr>
      <w:rFonts w:hAnsi="宋体"/>
    </w:rPr>
  </w:style>
  <w:style w:type="paragraph" w:customStyle="1" w:styleId="146">
    <w:name w:val="xl79"/>
    <w:basedOn w:val="1"/>
    <w:autoRedefine/>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left"/>
      <w:textAlignment w:val="center"/>
    </w:pPr>
    <w:rPr>
      <w:rFonts w:hint="eastAsia" w:hAnsi="宋体"/>
    </w:rPr>
  </w:style>
  <w:style w:type="paragraph" w:customStyle="1" w:styleId="147">
    <w:name w:val="Char Char Char Char Char Char"/>
    <w:basedOn w:val="1"/>
    <w:next w:val="2"/>
    <w:autoRedefine/>
    <w:qFormat/>
    <w:uiPriority w:val="0"/>
    <w:rPr>
      <w:sz w:val="28"/>
      <w:szCs w:val="28"/>
    </w:rPr>
  </w:style>
  <w:style w:type="paragraph" w:customStyle="1" w:styleId="148">
    <w:name w:val="样式 四号 黑色 首行缩进:  1.11 厘米 行距: 1.5 倍行距"/>
    <w:basedOn w:val="1"/>
    <w:autoRedefine/>
    <w:qFormat/>
    <w:uiPriority w:val="0"/>
    <w:pPr>
      <w:spacing w:line="360" w:lineRule="auto"/>
      <w:ind w:firstLine="630"/>
    </w:pPr>
    <w:rPr>
      <w:color w:val="000000"/>
    </w:rPr>
  </w:style>
  <w:style w:type="paragraph" w:customStyle="1" w:styleId="149">
    <w:name w:val="样式"/>
    <w:autoRedefine/>
    <w:qFormat/>
    <w:uiPriority w:val="0"/>
    <w:pPr>
      <w:widowControl w:val="0"/>
      <w:autoSpaceDE w:val="0"/>
      <w:autoSpaceDN w:val="0"/>
      <w:adjustRightInd w:val="0"/>
    </w:pPr>
    <w:rPr>
      <w:rFonts w:ascii="Arial" w:hAnsi="Arial" w:eastAsia="宋体" w:cs="Arial"/>
      <w:sz w:val="24"/>
      <w:szCs w:val="24"/>
      <w:lang w:val="en-US" w:eastAsia="zh-CN" w:bidi="ar-SA"/>
    </w:rPr>
  </w:style>
  <w:style w:type="paragraph" w:customStyle="1" w:styleId="150">
    <w:name w:val="xl24"/>
    <w:basedOn w:val="1"/>
    <w:autoRedefine/>
    <w:qFormat/>
    <w:uiPriority w:val="0"/>
    <w:pPr>
      <w:widowControl/>
      <w:spacing w:beforeAutospacing="1" w:afterAutospacing="1"/>
      <w:jc w:val="left"/>
      <w:textAlignment w:val="center"/>
    </w:pPr>
    <w:rPr>
      <w:rFonts w:ascii="Arial Unicode MS" w:hAnsi="Arial Unicode MS" w:eastAsia="Arial Unicode MS"/>
      <w:b/>
      <w:bCs/>
      <w:color w:val="0000FF"/>
      <w:sz w:val="48"/>
      <w:szCs w:val="48"/>
    </w:rPr>
  </w:style>
  <w:style w:type="paragraph" w:customStyle="1" w:styleId="151">
    <w:name w:val="样式 宋体 首行缩进:  1.11 厘米"/>
    <w:basedOn w:val="1"/>
    <w:autoRedefine/>
    <w:qFormat/>
    <w:uiPriority w:val="0"/>
    <w:pPr>
      <w:spacing w:line="600" w:lineRule="exact"/>
      <w:ind w:firstLine="629" w:firstLineChars="200"/>
    </w:pPr>
    <w:rPr>
      <w:rFonts w:hAnsi="宋体"/>
      <w:sz w:val="28"/>
    </w:rPr>
  </w:style>
  <w:style w:type="paragraph" w:customStyle="1" w:styleId="152">
    <w:name w:val="xl60"/>
    <w:basedOn w:val="1"/>
    <w:autoRedefine/>
    <w:qFormat/>
    <w:uiPriority w:val="0"/>
    <w:pPr>
      <w:widowControl/>
      <w:pBdr>
        <w:left w:val="single" w:color="auto" w:sz="4" w:space="0"/>
        <w:bottom w:val="single" w:color="auto" w:sz="4" w:space="0"/>
        <w:right w:val="single" w:color="auto" w:sz="4" w:space="0"/>
      </w:pBdr>
      <w:spacing w:beforeAutospacing="1" w:afterAutospacing="1"/>
      <w:jc w:val="left"/>
      <w:textAlignment w:val="center"/>
    </w:pPr>
    <w:rPr>
      <w:rFonts w:hint="eastAsia" w:hAnsi="宋体"/>
    </w:rPr>
  </w:style>
  <w:style w:type="paragraph" w:customStyle="1" w:styleId="153">
    <w:name w:val="样式 四号 首行缩进:  1 厘米 行距: 1.5 倍行距"/>
    <w:basedOn w:val="1"/>
    <w:autoRedefine/>
    <w:qFormat/>
    <w:uiPriority w:val="0"/>
    <w:pPr>
      <w:spacing w:line="360" w:lineRule="auto"/>
      <w:ind w:firstLine="567"/>
    </w:pPr>
  </w:style>
  <w:style w:type="paragraph" w:customStyle="1" w:styleId="154">
    <w:name w:val="xl27"/>
    <w:basedOn w:val="1"/>
    <w:autoRedefine/>
    <w:qFormat/>
    <w:uiPriority w:val="0"/>
    <w:pPr>
      <w:widowControl/>
      <w:spacing w:beforeAutospacing="1" w:afterAutospacing="1"/>
      <w:jc w:val="center"/>
      <w:textAlignment w:val="center"/>
    </w:pPr>
    <w:rPr>
      <w:rFonts w:ascii="Arial Unicode MS" w:hAnsi="Arial Unicode MS" w:eastAsia="Arial Unicode MS"/>
      <w:b/>
      <w:bCs/>
      <w:color w:val="0000FF"/>
      <w:sz w:val="20"/>
    </w:rPr>
  </w:style>
  <w:style w:type="paragraph" w:customStyle="1" w:styleId="155">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Arial Unicode MS" w:hAnsi="Arial Unicode MS" w:eastAsia="Arial Unicode MS"/>
      <w:color w:val="0000FF"/>
    </w:rPr>
  </w:style>
  <w:style w:type="paragraph" w:customStyle="1" w:styleId="156">
    <w:name w:val="样式 四号 黑色 行距: 1.5 倍行距2"/>
    <w:basedOn w:val="1"/>
    <w:autoRedefine/>
    <w:qFormat/>
    <w:uiPriority w:val="0"/>
    <w:pPr>
      <w:spacing w:line="360" w:lineRule="auto"/>
      <w:ind w:firstLine="420" w:firstLineChars="150"/>
    </w:pPr>
    <w:rPr>
      <w:color w:val="000000"/>
    </w:rPr>
  </w:style>
  <w:style w:type="paragraph" w:customStyle="1" w:styleId="157">
    <w:name w:val="表内序号"/>
    <w:basedOn w:val="1"/>
    <w:autoRedefine/>
    <w:qFormat/>
    <w:uiPriority w:val="0"/>
    <w:pPr>
      <w:widowControl/>
      <w:tabs>
        <w:tab w:val="left" w:pos="360"/>
      </w:tabs>
      <w:adjustRightInd w:val="0"/>
      <w:snapToGrid w:val="0"/>
      <w:spacing w:line="360" w:lineRule="auto"/>
      <w:ind w:left="113" w:hanging="113"/>
      <w:jc w:val="left"/>
    </w:pPr>
  </w:style>
  <w:style w:type="paragraph" w:customStyle="1" w:styleId="158">
    <w:name w:val="xl65"/>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Ansi="宋体"/>
    </w:rPr>
  </w:style>
  <w:style w:type="paragraph" w:customStyle="1" w:styleId="159">
    <w:name w:val="Char Char Char"/>
    <w:basedOn w:val="1"/>
    <w:next w:val="2"/>
    <w:autoRedefine/>
    <w:qFormat/>
    <w:uiPriority w:val="0"/>
    <w:rPr>
      <w:sz w:val="28"/>
      <w:szCs w:val="28"/>
    </w:rPr>
  </w:style>
  <w:style w:type="paragraph" w:customStyle="1" w:styleId="160">
    <w:name w:val="样式 四号 黑色 左 行距: 固定值 25 磅"/>
    <w:basedOn w:val="1"/>
    <w:autoRedefine/>
    <w:qFormat/>
    <w:uiPriority w:val="0"/>
    <w:pPr>
      <w:spacing w:line="500" w:lineRule="exact"/>
      <w:jc w:val="left"/>
    </w:pPr>
    <w:rPr>
      <w:color w:val="000000"/>
    </w:rPr>
  </w:style>
  <w:style w:type="paragraph" w:customStyle="1" w:styleId="161">
    <w:name w:val="标格标题"/>
    <w:basedOn w:val="162"/>
    <w:next w:val="162"/>
    <w:autoRedefine/>
    <w:qFormat/>
    <w:uiPriority w:val="0"/>
    <w:pPr>
      <w:widowControl/>
    </w:pPr>
    <w:rPr>
      <w:b/>
    </w:rPr>
  </w:style>
  <w:style w:type="paragraph" w:customStyle="1" w:styleId="162">
    <w:name w:val="表格文字"/>
    <w:basedOn w:val="1"/>
    <w:autoRedefine/>
    <w:qFormat/>
    <w:uiPriority w:val="0"/>
    <w:pPr>
      <w:jc w:val="center"/>
    </w:pPr>
    <w:rPr>
      <w:szCs w:val="21"/>
    </w:rPr>
  </w:style>
  <w:style w:type="paragraph" w:customStyle="1" w:styleId="163">
    <w:name w:val="表格1"/>
    <w:autoRedefine/>
    <w:qFormat/>
    <w:uiPriority w:val="0"/>
    <w:pPr>
      <w:adjustRightInd w:val="0"/>
      <w:spacing w:line="360" w:lineRule="auto"/>
      <w:jc w:val="center"/>
      <w:textAlignment w:val="center"/>
    </w:pPr>
    <w:rPr>
      <w:rFonts w:ascii="Times New Roman" w:hAnsi="Times New Roman" w:eastAsia="宋体" w:cs="Times New Roman"/>
      <w:sz w:val="21"/>
      <w:lang w:val="en-US" w:eastAsia="zh-CN" w:bidi="ar-SA"/>
    </w:rPr>
  </w:style>
  <w:style w:type="paragraph" w:customStyle="1" w:styleId="164">
    <w:name w:val="font14"/>
    <w:basedOn w:val="1"/>
    <w:autoRedefine/>
    <w:qFormat/>
    <w:uiPriority w:val="0"/>
    <w:pPr>
      <w:widowControl/>
      <w:spacing w:beforeAutospacing="1" w:afterAutospacing="1"/>
      <w:jc w:val="left"/>
    </w:pPr>
  </w:style>
  <w:style w:type="paragraph" w:customStyle="1" w:styleId="165">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Arial Unicode MS" w:hAnsi="Arial Unicode MS" w:eastAsia="Arial Unicode MS"/>
      <w:color w:val="0000FF"/>
      <w:sz w:val="20"/>
    </w:rPr>
  </w:style>
  <w:style w:type="paragraph" w:customStyle="1" w:styleId="166">
    <w:name w:val="xl26"/>
    <w:basedOn w:val="1"/>
    <w:autoRedefine/>
    <w:qFormat/>
    <w:uiPriority w:val="0"/>
    <w:pPr>
      <w:widowControl/>
      <w:jc w:val="center"/>
    </w:pPr>
    <w:rPr>
      <w:rFonts w:hAnsi="宋体"/>
    </w:rPr>
  </w:style>
  <w:style w:type="paragraph" w:customStyle="1" w:styleId="167">
    <w:name w:val="s4"/>
    <w:basedOn w:val="1"/>
    <w:next w:val="38"/>
    <w:autoRedefine/>
    <w:qFormat/>
    <w:uiPriority w:val="0"/>
  </w:style>
  <w:style w:type="paragraph" w:customStyle="1" w:styleId="168">
    <w:name w:val="font10"/>
    <w:basedOn w:val="1"/>
    <w:autoRedefine/>
    <w:qFormat/>
    <w:uiPriority w:val="0"/>
    <w:pPr>
      <w:widowControl/>
      <w:spacing w:beforeAutospacing="1" w:afterAutospacing="1"/>
      <w:jc w:val="left"/>
    </w:pPr>
    <w:rPr>
      <w:rFonts w:eastAsia="Arial Unicode MS"/>
      <w:color w:val="0000FF"/>
      <w:sz w:val="20"/>
    </w:rPr>
  </w:style>
  <w:style w:type="paragraph" w:customStyle="1" w:styleId="169">
    <w:name w:val="xl53"/>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int="eastAsia" w:hAnsi="宋体"/>
    </w:rPr>
  </w:style>
  <w:style w:type="paragraph" w:customStyle="1" w:styleId="170">
    <w:name w:val="xl56"/>
    <w:basedOn w:val="1"/>
    <w:autoRedefine/>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hint="eastAsia" w:hAnsi="宋体"/>
    </w:rPr>
  </w:style>
  <w:style w:type="paragraph" w:customStyle="1" w:styleId="171">
    <w:name w:val="样式 正文首行缩进 + 首行缩进:  2 字符"/>
    <w:basedOn w:val="50"/>
    <w:autoRedefine/>
    <w:qFormat/>
    <w:uiPriority w:val="0"/>
    <w:pPr>
      <w:spacing w:line="360" w:lineRule="auto"/>
      <w:ind w:firstLine="432" w:firstLineChars="200"/>
    </w:pPr>
    <w:rPr>
      <w:rFonts w:hAnsi="宋体" w:cs="宋体"/>
      <w:color w:val="000000"/>
      <w:sz w:val="28"/>
      <w:szCs w:val="20"/>
    </w:rPr>
  </w:style>
  <w:style w:type="paragraph" w:customStyle="1" w:styleId="172">
    <w:name w:val="样式 四号 行距: 1.5 倍行距6"/>
    <w:basedOn w:val="1"/>
    <w:autoRedefine/>
    <w:qFormat/>
    <w:uiPriority w:val="0"/>
    <w:pPr>
      <w:spacing w:line="360" w:lineRule="auto"/>
      <w:ind w:firstLine="560" w:firstLineChars="200"/>
    </w:pPr>
  </w:style>
  <w:style w:type="paragraph" w:customStyle="1" w:styleId="173">
    <w:name w:val="xl72"/>
    <w:basedOn w:val="1"/>
    <w:autoRedefine/>
    <w:qFormat/>
    <w:uiPriority w:val="0"/>
    <w:pPr>
      <w:widowControl/>
      <w:pBdr>
        <w:top w:val="single" w:color="auto" w:sz="4" w:space="0"/>
        <w:left w:val="single" w:color="auto" w:sz="4" w:space="0"/>
        <w:right w:val="single" w:color="auto" w:sz="4" w:space="0"/>
      </w:pBdr>
      <w:spacing w:beforeAutospacing="1" w:afterAutospacing="1"/>
      <w:jc w:val="left"/>
      <w:textAlignment w:val="center"/>
    </w:pPr>
    <w:rPr>
      <w:rFonts w:hint="eastAsia" w:hAnsi="宋体"/>
    </w:rPr>
  </w:style>
  <w:style w:type="paragraph" w:customStyle="1" w:styleId="174">
    <w:name w:val="样式 四号 首行缩进:  0.85 厘米 行距: 1.5 倍行距"/>
    <w:basedOn w:val="1"/>
    <w:autoRedefine/>
    <w:qFormat/>
    <w:uiPriority w:val="0"/>
    <w:pPr>
      <w:spacing w:line="360" w:lineRule="auto"/>
      <w:ind w:firstLine="480"/>
    </w:pPr>
  </w:style>
  <w:style w:type="paragraph" w:customStyle="1" w:styleId="175">
    <w:name w:val="样式2"/>
    <w:basedOn w:val="1"/>
    <w:next w:val="7"/>
    <w:autoRedefine/>
    <w:qFormat/>
    <w:uiPriority w:val="0"/>
    <w:pPr>
      <w:adjustRightInd w:val="0"/>
      <w:snapToGrid w:val="0"/>
      <w:spacing w:line="400" w:lineRule="exact"/>
      <w:outlineLvl w:val="3"/>
    </w:pPr>
    <w:rPr>
      <w:rFonts w:hAnsi="宋体"/>
      <w:sz w:val="28"/>
    </w:rPr>
  </w:style>
  <w:style w:type="paragraph" w:customStyle="1" w:styleId="176">
    <w:name w:val="样式 四号 首行缩进:  0.99 厘米 行距: 1.5 倍行距"/>
    <w:basedOn w:val="1"/>
    <w:autoRedefine/>
    <w:qFormat/>
    <w:uiPriority w:val="0"/>
    <w:pPr>
      <w:spacing w:line="360" w:lineRule="auto"/>
      <w:ind w:firstLine="560"/>
    </w:pPr>
  </w:style>
  <w:style w:type="paragraph" w:customStyle="1" w:styleId="177">
    <w:name w:val="xl38"/>
    <w:basedOn w:val="1"/>
    <w:autoRedefine/>
    <w:qFormat/>
    <w:uiPriority w:val="0"/>
    <w:pPr>
      <w:widowControl/>
      <w:pBdr>
        <w:top w:val="single" w:color="auto" w:sz="4" w:space="0"/>
        <w:left w:val="single" w:color="auto" w:sz="4" w:space="20"/>
        <w:bottom w:val="single" w:color="auto" w:sz="4" w:space="0"/>
        <w:right w:val="single" w:color="auto" w:sz="4" w:space="0"/>
      </w:pBdr>
      <w:spacing w:beforeAutospacing="1" w:afterAutospacing="1"/>
      <w:ind w:firstLine="100" w:firstLineChars="100"/>
      <w:jc w:val="left"/>
      <w:textAlignment w:val="center"/>
    </w:pPr>
    <w:rPr>
      <w:rFonts w:ascii="Arial Unicode MS" w:hAnsi="Arial Unicode MS" w:eastAsia="Arial Unicode MS"/>
      <w:color w:val="0000FF"/>
      <w:sz w:val="20"/>
    </w:rPr>
  </w:style>
  <w:style w:type="paragraph" w:customStyle="1" w:styleId="178">
    <w:name w:val="xl64"/>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int="eastAsia" w:hAnsi="宋体"/>
    </w:rPr>
  </w:style>
  <w:style w:type="paragraph" w:customStyle="1" w:styleId="179">
    <w:name w:val="xl68"/>
    <w:basedOn w:val="1"/>
    <w:autoRedefine/>
    <w:qFormat/>
    <w:uiPriority w:val="0"/>
    <w:pPr>
      <w:widowControl/>
      <w:pBdr>
        <w:top w:val="single" w:color="auto" w:sz="4" w:space="0"/>
        <w:left w:val="single" w:color="auto" w:sz="4" w:space="0"/>
        <w:right w:val="single" w:color="auto" w:sz="4" w:space="0"/>
      </w:pBdr>
      <w:spacing w:beforeAutospacing="1" w:afterAutospacing="1"/>
      <w:jc w:val="center"/>
      <w:textAlignment w:val="center"/>
    </w:pPr>
    <w:rPr>
      <w:rFonts w:hAnsi="宋体"/>
    </w:rPr>
  </w:style>
  <w:style w:type="paragraph" w:customStyle="1" w:styleId="180">
    <w:name w:val="xl69"/>
    <w:basedOn w:val="1"/>
    <w:autoRedefine/>
    <w:qFormat/>
    <w:uiPriority w:val="0"/>
    <w:pPr>
      <w:widowControl/>
      <w:pBdr>
        <w:top w:val="single" w:color="auto" w:sz="4" w:space="0"/>
        <w:left w:val="single" w:color="auto" w:sz="4" w:space="0"/>
        <w:right w:val="single" w:color="auto" w:sz="4" w:space="0"/>
      </w:pBdr>
      <w:spacing w:beforeAutospacing="1" w:afterAutospacing="1"/>
      <w:jc w:val="center"/>
      <w:textAlignment w:val="center"/>
    </w:pPr>
    <w:rPr>
      <w:rFonts w:hint="eastAsia" w:hAnsi="宋体"/>
    </w:rPr>
  </w:style>
  <w:style w:type="paragraph" w:customStyle="1" w:styleId="181">
    <w:name w:val="font0"/>
    <w:basedOn w:val="1"/>
    <w:autoRedefine/>
    <w:qFormat/>
    <w:uiPriority w:val="0"/>
    <w:pPr>
      <w:widowControl/>
      <w:spacing w:beforeAutospacing="1" w:afterAutospacing="1"/>
      <w:jc w:val="left"/>
    </w:pPr>
    <w:rPr>
      <w:rFonts w:hint="eastAsia" w:hAnsi="宋体"/>
    </w:rPr>
  </w:style>
  <w:style w:type="paragraph" w:customStyle="1" w:styleId="182">
    <w:name w:val="表格内容"/>
    <w:basedOn w:val="1"/>
    <w:autoRedefine/>
    <w:qFormat/>
    <w:uiPriority w:val="0"/>
    <w:pPr>
      <w:overflowPunct w:val="0"/>
      <w:adjustRightInd w:val="0"/>
      <w:spacing w:line="200" w:lineRule="atLeast"/>
      <w:textAlignment w:val="baseline"/>
    </w:pPr>
    <w:rPr>
      <w:rFonts w:ascii="Arial" w:hAnsi="Arial" w:eastAsia="仿宋_GB2312"/>
    </w:rPr>
  </w:style>
  <w:style w:type="paragraph" w:customStyle="1" w:styleId="183">
    <w:name w:val="1.1.1"/>
    <w:basedOn w:val="1"/>
    <w:autoRedefine/>
    <w:qFormat/>
    <w:uiPriority w:val="0"/>
    <w:pPr>
      <w:adjustRightInd w:val="0"/>
      <w:jc w:val="left"/>
      <w:textAlignment w:val="baseline"/>
    </w:pPr>
    <w:rPr>
      <w:spacing w:val="10"/>
    </w:rPr>
  </w:style>
  <w:style w:type="paragraph" w:customStyle="1" w:styleId="184">
    <w:name w:val="正文1"/>
    <w:autoRedefine/>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paragraph" w:customStyle="1" w:styleId="185">
    <w:name w:val="xl71"/>
    <w:basedOn w:val="1"/>
    <w:autoRedefine/>
    <w:qFormat/>
    <w:uiPriority w:val="0"/>
    <w:pPr>
      <w:widowControl/>
      <w:pBdr>
        <w:top w:val="single" w:color="auto" w:sz="4" w:space="0"/>
        <w:left w:val="single" w:color="auto" w:sz="8" w:space="0"/>
        <w:right w:val="single" w:color="auto" w:sz="4" w:space="0"/>
      </w:pBdr>
      <w:spacing w:beforeAutospacing="1" w:afterAutospacing="1"/>
      <w:jc w:val="center"/>
      <w:textAlignment w:val="center"/>
    </w:pPr>
    <w:rPr>
      <w:rFonts w:hAnsi="宋体"/>
    </w:rPr>
  </w:style>
  <w:style w:type="paragraph" w:customStyle="1" w:styleId="186">
    <w:name w:val="正文 + 首行缩进"/>
    <w:basedOn w:val="1"/>
    <w:autoRedefine/>
    <w:qFormat/>
    <w:uiPriority w:val="0"/>
    <w:pPr>
      <w:spacing w:line="500" w:lineRule="exact"/>
      <w:ind w:firstLine="560" w:firstLineChars="200"/>
    </w:pPr>
    <w:rPr>
      <w:rFonts w:cs="宋体"/>
      <w:sz w:val="28"/>
    </w:rPr>
  </w:style>
  <w:style w:type="paragraph" w:customStyle="1" w:styleId="187">
    <w:name w:val="xl76"/>
    <w:basedOn w:val="1"/>
    <w:autoRedefine/>
    <w:qFormat/>
    <w:uiPriority w:val="0"/>
    <w:pPr>
      <w:widowControl/>
      <w:pBdr>
        <w:left w:val="single" w:color="auto" w:sz="4" w:space="0"/>
        <w:bottom w:val="single" w:color="auto" w:sz="4" w:space="0"/>
        <w:right w:val="single" w:color="auto" w:sz="4" w:space="0"/>
      </w:pBdr>
      <w:spacing w:beforeAutospacing="1" w:afterAutospacing="1"/>
      <w:jc w:val="left"/>
      <w:textAlignment w:val="center"/>
    </w:pPr>
    <w:rPr>
      <w:rFonts w:hint="eastAsia" w:hAnsi="宋体"/>
    </w:rPr>
  </w:style>
  <w:style w:type="paragraph" w:customStyle="1" w:styleId="188">
    <w:name w:val="纯文本1"/>
    <w:basedOn w:val="1"/>
    <w:autoRedefine/>
    <w:qFormat/>
    <w:uiPriority w:val="0"/>
    <w:pPr>
      <w:adjustRightInd w:val="0"/>
      <w:textAlignment w:val="baseline"/>
    </w:pPr>
    <w:rPr>
      <w:rFonts w:hAnsi="Courier New"/>
      <w:sz w:val="28"/>
    </w:rPr>
  </w:style>
  <w:style w:type="paragraph" w:customStyle="1" w:styleId="189">
    <w:name w:val="样式 四号 左侧:  0.02 厘米 行距: 1.5 倍行距"/>
    <w:basedOn w:val="1"/>
    <w:autoRedefine/>
    <w:qFormat/>
    <w:uiPriority w:val="0"/>
    <w:pPr>
      <w:spacing w:line="360" w:lineRule="auto"/>
      <w:ind w:left="14"/>
    </w:pPr>
  </w:style>
  <w:style w:type="paragraph" w:customStyle="1" w:styleId="190">
    <w:name w:val="样式 四号 行距: 固定值 25 磅2"/>
    <w:basedOn w:val="1"/>
    <w:autoRedefine/>
    <w:qFormat/>
    <w:uiPriority w:val="0"/>
    <w:pPr>
      <w:spacing w:line="500" w:lineRule="exact"/>
      <w:ind w:firstLine="1120" w:firstLineChars="400"/>
    </w:pPr>
  </w:style>
  <w:style w:type="paragraph" w:customStyle="1" w:styleId="191">
    <w:name w:val="xl84"/>
    <w:basedOn w:val="1"/>
    <w:autoRedefine/>
    <w:qFormat/>
    <w:uiPriority w:val="0"/>
    <w:pPr>
      <w:widowControl/>
      <w:pBdr>
        <w:left w:val="single" w:color="auto" w:sz="8" w:space="0"/>
        <w:right w:val="single" w:color="auto" w:sz="4" w:space="0"/>
      </w:pBdr>
      <w:spacing w:beforeAutospacing="1" w:afterAutospacing="1"/>
      <w:jc w:val="center"/>
      <w:textAlignment w:val="center"/>
    </w:pPr>
    <w:rPr>
      <w:rFonts w:hAnsi="宋体"/>
    </w:rPr>
  </w:style>
  <w:style w:type="paragraph" w:customStyle="1" w:styleId="192">
    <w:name w:val="xl47"/>
    <w:basedOn w:val="1"/>
    <w:autoRedefine/>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center"/>
    </w:pPr>
    <w:rPr>
      <w:rFonts w:hAnsi="宋体"/>
    </w:rPr>
  </w:style>
  <w:style w:type="paragraph" w:customStyle="1" w:styleId="193">
    <w:name w:val="样式 四号 首行缩进:  0.93 厘米 行距: 1.5 倍行距"/>
    <w:basedOn w:val="1"/>
    <w:autoRedefine/>
    <w:qFormat/>
    <w:uiPriority w:val="0"/>
    <w:pPr>
      <w:spacing w:line="360" w:lineRule="auto"/>
      <w:ind w:firstLine="525"/>
    </w:pPr>
  </w:style>
  <w:style w:type="paragraph" w:customStyle="1" w:styleId="194">
    <w:name w:val="xl70"/>
    <w:basedOn w:val="1"/>
    <w:autoRedefine/>
    <w:qFormat/>
    <w:uiPriority w:val="0"/>
    <w:pPr>
      <w:widowControl/>
      <w:pBdr>
        <w:top w:val="single" w:color="auto" w:sz="4" w:space="0"/>
        <w:left w:val="single" w:color="auto" w:sz="4" w:space="0"/>
        <w:right w:val="single" w:color="auto" w:sz="8" w:space="0"/>
      </w:pBdr>
      <w:spacing w:beforeAutospacing="1" w:afterAutospacing="1"/>
      <w:jc w:val="left"/>
      <w:textAlignment w:val="center"/>
    </w:pPr>
    <w:rPr>
      <w:rFonts w:hAnsi="宋体"/>
    </w:rPr>
  </w:style>
  <w:style w:type="paragraph" w:customStyle="1" w:styleId="195">
    <w:name w:val="p0"/>
    <w:basedOn w:val="1"/>
    <w:autoRedefine/>
    <w:qFormat/>
    <w:uiPriority w:val="0"/>
    <w:pPr>
      <w:widowControl/>
    </w:pPr>
    <w:rPr>
      <w:rFonts w:ascii="Calibri" w:hAnsi="Calibri" w:cs="宋体"/>
      <w:szCs w:val="21"/>
    </w:rPr>
  </w:style>
  <w:style w:type="paragraph" w:customStyle="1" w:styleId="196">
    <w:name w:val="正文(首行缩进2字)"/>
    <w:basedOn w:val="1"/>
    <w:next w:val="1"/>
    <w:autoRedefine/>
    <w:qFormat/>
    <w:uiPriority w:val="0"/>
    <w:pPr>
      <w:adjustRightInd w:val="0"/>
      <w:snapToGrid w:val="0"/>
      <w:spacing w:line="360" w:lineRule="auto"/>
      <w:ind w:firstLine="232" w:firstLineChars="232"/>
      <w:textAlignment w:val="baseline"/>
    </w:pPr>
  </w:style>
  <w:style w:type="paragraph" w:customStyle="1" w:styleId="197">
    <w:name w:val="样式 四号 行距: 1.5 倍行距8"/>
    <w:basedOn w:val="1"/>
    <w:autoRedefine/>
    <w:qFormat/>
    <w:uiPriority w:val="0"/>
    <w:pPr>
      <w:spacing w:line="360" w:lineRule="auto"/>
      <w:ind w:left="15" w:leftChars="7" w:firstLine="560" w:firstLineChars="200"/>
    </w:pPr>
  </w:style>
  <w:style w:type="paragraph" w:customStyle="1" w:styleId="198">
    <w:name w:val="font6"/>
    <w:basedOn w:val="1"/>
    <w:autoRedefine/>
    <w:qFormat/>
    <w:uiPriority w:val="0"/>
    <w:pPr>
      <w:widowControl/>
      <w:spacing w:beforeAutospacing="1" w:afterAutospacing="1"/>
      <w:jc w:val="left"/>
    </w:pPr>
    <w:rPr>
      <w:rFonts w:hint="eastAsia" w:hAnsi="宋体"/>
      <w:b/>
      <w:bCs/>
      <w:color w:val="0000FF"/>
      <w:sz w:val="48"/>
      <w:szCs w:val="48"/>
    </w:rPr>
  </w:style>
  <w:style w:type="paragraph" w:customStyle="1" w:styleId="199">
    <w:name w:val="xl75"/>
    <w:basedOn w:val="1"/>
    <w:autoRedefine/>
    <w:qFormat/>
    <w:uiPriority w:val="0"/>
    <w:pPr>
      <w:widowControl/>
      <w:pBdr>
        <w:top w:val="single" w:color="auto" w:sz="4" w:space="0"/>
        <w:left w:val="single" w:color="auto" w:sz="4" w:space="0"/>
        <w:right w:val="single" w:color="auto" w:sz="8" w:space="0"/>
      </w:pBdr>
      <w:spacing w:beforeAutospacing="1" w:afterAutospacing="1"/>
      <w:jc w:val="center"/>
      <w:textAlignment w:val="center"/>
    </w:pPr>
    <w:rPr>
      <w:rFonts w:hint="eastAsia" w:hAnsi="宋体"/>
    </w:rPr>
  </w:style>
  <w:style w:type="paragraph" w:customStyle="1" w:styleId="200">
    <w:name w:val="xl43"/>
    <w:basedOn w:val="1"/>
    <w:autoRedefine/>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center"/>
      <w:textAlignment w:val="center"/>
    </w:pPr>
    <w:rPr>
      <w:rFonts w:hAnsi="宋体"/>
    </w:rPr>
  </w:style>
  <w:style w:type="paragraph" w:customStyle="1" w:styleId="201">
    <w:name w:val="_Style 58"/>
    <w:basedOn w:val="1"/>
    <w:autoRedefine/>
    <w:qFormat/>
    <w:uiPriority w:val="0"/>
    <w:pPr>
      <w:widowControl/>
      <w:adjustRightInd w:val="0"/>
      <w:spacing w:line="240" w:lineRule="exact"/>
      <w:jc w:val="left"/>
      <w:textAlignment w:val="baseline"/>
    </w:pPr>
  </w:style>
  <w:style w:type="paragraph" w:customStyle="1" w:styleId="202">
    <w:name w:val="表格03"/>
    <w:basedOn w:val="1"/>
    <w:autoRedefine/>
    <w:qFormat/>
    <w:uiPriority w:val="0"/>
    <w:pPr>
      <w:adjustRightInd w:val="0"/>
      <w:spacing w:line="400" w:lineRule="exact"/>
      <w:jc w:val="center"/>
    </w:pPr>
    <w:rPr>
      <w:szCs w:val="21"/>
    </w:rPr>
  </w:style>
  <w:style w:type="paragraph" w:customStyle="1" w:styleId="203">
    <w:name w:val="样式 标题 2 + 小四"/>
    <w:basedOn w:val="3"/>
    <w:autoRedefine/>
    <w:qFormat/>
    <w:uiPriority w:val="0"/>
    <w:pPr>
      <w:spacing w:line="578" w:lineRule="auto"/>
    </w:pPr>
    <w:rPr>
      <w:sz w:val="24"/>
    </w:rPr>
  </w:style>
  <w:style w:type="paragraph" w:customStyle="1" w:styleId="204">
    <w:name w:val="样式 样式 样式 首行缩进:  0.8厘米 + 右侧:  2 字符 + 左侧:  2 字符"/>
    <w:basedOn w:val="90"/>
    <w:link w:val="291"/>
    <w:autoRedefine/>
    <w:qFormat/>
    <w:uiPriority w:val="0"/>
    <w:pPr>
      <w:ind w:left="0" w:leftChars="0" w:firstLine="200" w:firstLineChars="200"/>
    </w:pPr>
  </w:style>
  <w:style w:type="paragraph" w:customStyle="1" w:styleId="205">
    <w:name w:val="xl50"/>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Ansi="宋体"/>
      <w:sz w:val="32"/>
      <w:szCs w:val="32"/>
    </w:rPr>
  </w:style>
  <w:style w:type="paragraph" w:customStyle="1" w:styleId="206">
    <w:name w:val="xl45"/>
    <w:basedOn w:val="1"/>
    <w:autoRedefine/>
    <w:qFormat/>
    <w:uiPriority w:val="0"/>
    <w:pPr>
      <w:widowControl/>
      <w:pBdr>
        <w:top w:val="single" w:color="auto" w:sz="4" w:space="0"/>
        <w:left w:val="single" w:color="auto" w:sz="8" w:space="0"/>
        <w:bottom w:val="single" w:color="auto" w:sz="8" w:space="0"/>
        <w:right w:val="single" w:color="auto" w:sz="4" w:space="0"/>
      </w:pBdr>
      <w:spacing w:beforeAutospacing="1" w:afterAutospacing="1"/>
      <w:jc w:val="center"/>
    </w:pPr>
    <w:rPr>
      <w:rFonts w:hAnsi="宋体"/>
    </w:rPr>
  </w:style>
  <w:style w:type="paragraph" w:customStyle="1" w:styleId="207">
    <w:name w:val="Char Char Char Char Char Char Char Char Char Char Char Char Char Char Char"/>
    <w:basedOn w:val="1"/>
    <w:autoRedefine/>
    <w:qFormat/>
    <w:uiPriority w:val="0"/>
    <w:pPr>
      <w:widowControl/>
      <w:spacing w:line="240" w:lineRule="exact"/>
      <w:jc w:val="left"/>
    </w:pPr>
    <w:rPr>
      <w:rFonts w:ascii="Tahoma" w:hAnsi="Tahoma"/>
      <w:sz w:val="20"/>
      <w:lang w:eastAsia="en-US"/>
    </w:rPr>
  </w:style>
  <w:style w:type="paragraph" w:customStyle="1" w:styleId="208">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Arial Unicode MS" w:hAnsi="Arial Unicode MS" w:eastAsia="Arial Unicode MS"/>
      <w:color w:val="0000FF"/>
      <w:sz w:val="20"/>
    </w:rPr>
  </w:style>
  <w:style w:type="paragraph" w:customStyle="1" w:styleId="209">
    <w:name w:val="xl58"/>
    <w:basedOn w:val="1"/>
    <w:autoRedefine/>
    <w:qFormat/>
    <w:uiPriority w:val="0"/>
    <w:pPr>
      <w:widowControl/>
      <w:spacing w:beforeAutospacing="1" w:afterAutospacing="1"/>
      <w:jc w:val="left"/>
    </w:pPr>
    <w:rPr>
      <w:rFonts w:hint="eastAsia" w:hAnsi="宋体"/>
    </w:rPr>
  </w:style>
  <w:style w:type="paragraph" w:customStyle="1" w:styleId="210">
    <w:name w:val="样式 四号 首行缩进:  1.01 厘米 行距: 1.5 倍行距"/>
    <w:basedOn w:val="1"/>
    <w:autoRedefine/>
    <w:qFormat/>
    <w:uiPriority w:val="0"/>
    <w:pPr>
      <w:spacing w:line="360" w:lineRule="auto"/>
      <w:ind w:firstLine="570"/>
    </w:pPr>
  </w:style>
  <w:style w:type="paragraph" w:customStyle="1" w:styleId="211">
    <w:name w:val="样式 (西文) 仿宋_GB2312 (中文) 仿宋_GB2312 二号 加粗 居中 行距: 1.5 倍行距"/>
    <w:basedOn w:val="1"/>
    <w:autoRedefine/>
    <w:qFormat/>
    <w:uiPriority w:val="0"/>
    <w:pPr>
      <w:spacing w:line="360" w:lineRule="auto"/>
      <w:jc w:val="center"/>
    </w:pPr>
    <w:rPr>
      <w:rFonts w:ascii="仿宋_GB2312" w:cs="宋体"/>
      <w:b/>
      <w:bCs/>
      <w:sz w:val="44"/>
    </w:rPr>
  </w:style>
  <w:style w:type="paragraph" w:customStyle="1" w:styleId="212">
    <w:name w:val="xl80"/>
    <w:basedOn w:val="1"/>
    <w:autoRedefine/>
    <w:qFormat/>
    <w:uiPriority w:val="0"/>
    <w:pPr>
      <w:widowControl/>
      <w:pBdr>
        <w:top w:val="single" w:color="auto" w:sz="4" w:space="0"/>
        <w:left w:val="single" w:color="auto" w:sz="4" w:space="0"/>
        <w:bottom w:val="single" w:color="auto" w:sz="8" w:space="0"/>
        <w:right w:val="single" w:color="auto" w:sz="8" w:space="0"/>
      </w:pBdr>
      <w:spacing w:beforeAutospacing="1" w:afterAutospacing="1"/>
      <w:jc w:val="left"/>
      <w:textAlignment w:val="center"/>
    </w:pPr>
    <w:rPr>
      <w:rFonts w:hAnsi="宋体"/>
    </w:rPr>
  </w:style>
  <w:style w:type="paragraph" w:customStyle="1" w:styleId="213">
    <w:name w:val="正文11"/>
    <w:basedOn w:val="1"/>
    <w:autoRedefine/>
    <w:qFormat/>
    <w:uiPriority w:val="0"/>
    <w:pPr>
      <w:adjustRightInd w:val="0"/>
      <w:snapToGrid w:val="0"/>
      <w:spacing w:line="360" w:lineRule="auto"/>
    </w:pPr>
    <w:rPr>
      <w:snapToGrid w:val="0"/>
    </w:rPr>
  </w:style>
  <w:style w:type="paragraph" w:customStyle="1" w:styleId="214">
    <w:name w:val="样式 四号 行距: 固定值 25 磅1"/>
    <w:basedOn w:val="1"/>
    <w:autoRedefine/>
    <w:qFormat/>
    <w:uiPriority w:val="0"/>
    <w:pPr>
      <w:spacing w:line="500" w:lineRule="exact"/>
      <w:ind w:firstLine="560" w:firstLineChars="200"/>
    </w:pPr>
  </w:style>
  <w:style w:type="paragraph" w:customStyle="1" w:styleId="215">
    <w:name w:val="0"/>
    <w:basedOn w:val="1"/>
    <w:autoRedefine/>
    <w:qFormat/>
    <w:uiPriority w:val="0"/>
    <w:pPr>
      <w:widowControl/>
      <w:snapToGrid w:val="0"/>
    </w:pPr>
    <w:rPr>
      <w:sz w:val="20"/>
    </w:rPr>
  </w:style>
  <w:style w:type="paragraph" w:customStyle="1" w:styleId="216">
    <w:name w:val="xl86"/>
    <w:basedOn w:val="1"/>
    <w:autoRedefine/>
    <w:qFormat/>
    <w:uiPriority w:val="0"/>
    <w:pPr>
      <w:widowControl/>
      <w:pBdr>
        <w:left w:val="single" w:color="auto" w:sz="4" w:space="0"/>
        <w:right w:val="single" w:color="auto" w:sz="4" w:space="0"/>
      </w:pBdr>
      <w:spacing w:beforeAutospacing="1" w:afterAutospacing="1"/>
      <w:jc w:val="center"/>
      <w:textAlignment w:val="center"/>
    </w:pPr>
    <w:rPr>
      <w:rFonts w:hint="eastAsia" w:hAnsi="宋体"/>
    </w:rPr>
  </w:style>
  <w:style w:type="paragraph" w:customStyle="1" w:styleId="217">
    <w:name w:val="xl63"/>
    <w:basedOn w:val="1"/>
    <w:autoRedefine/>
    <w:qFormat/>
    <w:uiPriority w:val="0"/>
    <w:pPr>
      <w:widowControl/>
      <w:pBdr>
        <w:left w:val="single" w:color="auto" w:sz="8" w:space="0"/>
        <w:bottom w:val="single" w:color="auto" w:sz="8" w:space="0"/>
        <w:right w:val="single" w:color="auto" w:sz="4" w:space="0"/>
      </w:pBdr>
      <w:jc w:val="center"/>
      <w:textAlignment w:val="center"/>
    </w:pPr>
    <w:rPr>
      <w:rFonts w:ascii="Arial Unicode MS" w:hAnsi="Arial Unicode MS" w:eastAsia="Arial Unicode MS"/>
    </w:rPr>
  </w:style>
  <w:style w:type="paragraph" w:customStyle="1" w:styleId="218">
    <w:name w:val="正文2"/>
    <w:basedOn w:val="1"/>
    <w:link w:val="279"/>
    <w:autoRedefine/>
    <w:qFormat/>
    <w:uiPriority w:val="0"/>
    <w:pPr>
      <w:spacing w:line="500" w:lineRule="exact"/>
      <w:ind w:firstLine="560" w:firstLineChars="200"/>
    </w:pPr>
    <w:rPr>
      <w:rFonts w:cs="宋体"/>
      <w:kern w:val="2"/>
      <w:sz w:val="28"/>
      <w:szCs w:val="28"/>
    </w:rPr>
  </w:style>
  <w:style w:type="paragraph" w:customStyle="1" w:styleId="219">
    <w:name w:val="样式4"/>
    <w:basedOn w:val="23"/>
    <w:autoRedefine/>
    <w:qFormat/>
    <w:uiPriority w:val="0"/>
    <w:pPr>
      <w:spacing w:line="500" w:lineRule="exact"/>
      <w:ind w:left="0" w:leftChars="0" w:firstLine="646"/>
    </w:pPr>
    <w:rPr>
      <w:sz w:val="28"/>
    </w:rPr>
  </w:style>
  <w:style w:type="paragraph" w:customStyle="1" w:styleId="220">
    <w:name w:val="xl57"/>
    <w:basedOn w:val="1"/>
    <w:autoRedefine/>
    <w:qFormat/>
    <w:uiPriority w:val="0"/>
    <w:pPr>
      <w:widowControl/>
      <w:pBdr>
        <w:left w:val="single" w:color="auto" w:sz="4" w:space="0"/>
        <w:bottom w:val="single" w:color="auto" w:sz="4" w:space="0"/>
        <w:right w:val="single" w:color="auto" w:sz="8" w:space="0"/>
      </w:pBdr>
      <w:spacing w:beforeAutospacing="1" w:afterAutospacing="1"/>
      <w:jc w:val="left"/>
      <w:textAlignment w:val="center"/>
    </w:pPr>
    <w:rPr>
      <w:rFonts w:hAnsi="宋体"/>
    </w:rPr>
  </w:style>
  <w:style w:type="paragraph" w:customStyle="1" w:styleId="221">
    <w:name w:val="xl66"/>
    <w:basedOn w:val="1"/>
    <w:autoRedefine/>
    <w:qFormat/>
    <w:uiPriority w:val="0"/>
    <w:pPr>
      <w:widowControl/>
      <w:pBdr>
        <w:top w:val="single" w:color="auto" w:sz="4" w:space="0"/>
        <w:left w:val="single" w:color="auto" w:sz="8" w:space="0"/>
        <w:right w:val="single" w:color="auto" w:sz="4" w:space="0"/>
      </w:pBdr>
      <w:spacing w:beforeAutospacing="1" w:afterAutospacing="1"/>
      <w:jc w:val="center"/>
      <w:textAlignment w:val="center"/>
    </w:pPr>
    <w:rPr>
      <w:rFonts w:hint="eastAsia" w:hAnsi="宋体"/>
    </w:rPr>
  </w:style>
  <w:style w:type="paragraph" w:customStyle="1" w:styleId="222">
    <w:name w:val="xl73"/>
    <w:basedOn w:val="1"/>
    <w:autoRedefine/>
    <w:qFormat/>
    <w:uiPriority w:val="0"/>
    <w:pPr>
      <w:widowControl/>
      <w:pBdr>
        <w:top w:val="single" w:color="auto" w:sz="4" w:space="0"/>
        <w:left w:val="single" w:color="auto" w:sz="4" w:space="0"/>
        <w:right w:val="single" w:color="auto" w:sz="4" w:space="0"/>
      </w:pBdr>
      <w:spacing w:beforeAutospacing="1" w:afterAutospacing="1"/>
      <w:jc w:val="center"/>
      <w:textAlignment w:val="center"/>
    </w:pPr>
    <w:rPr>
      <w:rFonts w:hint="eastAsia" w:hAnsi="宋体"/>
      <w:sz w:val="22"/>
      <w:szCs w:val="22"/>
    </w:rPr>
  </w:style>
  <w:style w:type="paragraph" w:customStyle="1" w:styleId="223">
    <w:name w:val="Char1 Char Char Char Char Char Char Char Char Char Char Char Char Char Char Char"/>
    <w:basedOn w:val="1"/>
    <w:autoRedefine/>
    <w:qFormat/>
    <w:uiPriority w:val="0"/>
    <w:pPr>
      <w:widowControl/>
      <w:spacing w:line="240" w:lineRule="exact"/>
      <w:jc w:val="left"/>
    </w:pPr>
  </w:style>
  <w:style w:type="paragraph" w:customStyle="1" w:styleId="224">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Arial Unicode MS" w:hAnsi="Arial Unicode MS" w:eastAsia="Arial Unicode MS"/>
      <w:color w:val="0000FF"/>
    </w:rPr>
  </w:style>
  <w:style w:type="paragraph" w:customStyle="1" w:styleId="225">
    <w:name w:val="xl87"/>
    <w:basedOn w:val="1"/>
    <w:autoRedefine/>
    <w:qFormat/>
    <w:uiPriority w:val="0"/>
    <w:pPr>
      <w:widowControl/>
      <w:pBdr>
        <w:left w:val="single" w:color="auto" w:sz="4" w:space="0"/>
        <w:right w:val="single" w:color="auto" w:sz="4" w:space="0"/>
      </w:pBdr>
      <w:spacing w:beforeAutospacing="1" w:afterAutospacing="1"/>
      <w:jc w:val="center"/>
      <w:textAlignment w:val="center"/>
    </w:pPr>
    <w:rPr>
      <w:rFonts w:hAnsi="宋体"/>
    </w:rPr>
  </w:style>
  <w:style w:type="paragraph" w:customStyle="1" w:styleId="226">
    <w:name w:val="样式11"/>
    <w:basedOn w:val="1"/>
    <w:next w:val="6"/>
    <w:autoRedefine/>
    <w:qFormat/>
    <w:uiPriority w:val="0"/>
    <w:pPr>
      <w:adjustRightInd w:val="0"/>
      <w:snapToGrid w:val="0"/>
      <w:spacing w:line="500" w:lineRule="exact"/>
    </w:pPr>
    <w:rPr>
      <w:rFonts w:hAnsi="宋体"/>
      <w:sz w:val="28"/>
    </w:rPr>
  </w:style>
  <w:style w:type="paragraph" w:customStyle="1" w:styleId="227">
    <w:name w:val="无悬挂正文5号"/>
    <w:basedOn w:val="1"/>
    <w:autoRedefine/>
    <w:qFormat/>
    <w:uiPriority w:val="0"/>
    <w:pPr>
      <w:adjustRightInd w:val="0"/>
      <w:jc w:val="center"/>
      <w:textAlignment w:val="baseline"/>
    </w:pPr>
  </w:style>
  <w:style w:type="paragraph" w:customStyle="1" w:styleId="228">
    <w:name w:val="xl82"/>
    <w:basedOn w:val="1"/>
    <w:autoRedefine/>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left"/>
      <w:textAlignment w:val="center"/>
    </w:pPr>
    <w:rPr>
      <w:rFonts w:hAnsi="宋体"/>
    </w:rPr>
  </w:style>
  <w:style w:type="paragraph" w:customStyle="1" w:styleId="229">
    <w:name w:val="xl52"/>
    <w:basedOn w:val="1"/>
    <w:autoRedefine/>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hAnsi="宋体"/>
    </w:rPr>
  </w:style>
  <w:style w:type="paragraph" w:customStyle="1" w:styleId="230">
    <w:name w:val="正文文本缩进 31"/>
    <w:basedOn w:val="1"/>
    <w:autoRedefine/>
    <w:qFormat/>
    <w:uiPriority w:val="0"/>
    <w:pPr>
      <w:adjustRightInd w:val="0"/>
      <w:spacing w:line="360" w:lineRule="auto"/>
      <w:ind w:firstLine="567"/>
      <w:jc w:val="left"/>
      <w:textAlignment w:val="baseline"/>
    </w:pPr>
  </w:style>
  <w:style w:type="paragraph" w:customStyle="1" w:styleId="231">
    <w:name w:val="方框图文字"/>
    <w:basedOn w:val="1"/>
    <w:autoRedefine/>
    <w:qFormat/>
    <w:uiPriority w:val="0"/>
    <w:pPr>
      <w:spacing w:line="0" w:lineRule="atLeast"/>
      <w:jc w:val="center"/>
    </w:pPr>
    <w:rPr>
      <w:sz w:val="15"/>
      <w:szCs w:val="21"/>
    </w:rPr>
  </w:style>
  <w:style w:type="paragraph" w:customStyle="1" w:styleId="232">
    <w:name w:val="xl78"/>
    <w:basedOn w:val="1"/>
    <w:autoRedefine/>
    <w:qFormat/>
    <w:uiPriority w:val="0"/>
    <w:pPr>
      <w:widowControl/>
      <w:pBdr>
        <w:top w:val="single" w:color="auto" w:sz="4" w:space="0"/>
        <w:left w:val="single" w:color="auto" w:sz="8" w:space="0"/>
        <w:bottom w:val="single" w:color="auto" w:sz="8" w:space="0"/>
        <w:right w:val="single" w:color="auto" w:sz="4" w:space="0"/>
      </w:pBdr>
      <w:spacing w:beforeAutospacing="1" w:afterAutospacing="1"/>
      <w:jc w:val="center"/>
      <w:textAlignment w:val="center"/>
    </w:pPr>
    <w:rPr>
      <w:rFonts w:hAnsi="宋体"/>
    </w:rPr>
  </w:style>
  <w:style w:type="paragraph" w:customStyle="1" w:styleId="233">
    <w:name w:val="表文字"/>
    <w:next w:val="1"/>
    <w:autoRedefine/>
    <w:qFormat/>
    <w:uiPriority w:val="0"/>
    <w:pPr>
      <w:spacing w:line="360" w:lineRule="auto"/>
      <w:jc w:val="center"/>
    </w:pPr>
    <w:rPr>
      <w:rFonts w:ascii="Arial" w:hAnsi="Arial" w:eastAsia="宋体" w:cs="Times New Roman"/>
      <w:sz w:val="21"/>
      <w:lang w:val="en-US" w:eastAsia="zh-CN" w:bidi="ar-SA"/>
    </w:rPr>
  </w:style>
  <w:style w:type="paragraph" w:customStyle="1" w:styleId="234">
    <w:name w:val="正文文本 Char Char"/>
    <w:basedOn w:val="1"/>
    <w:link w:val="272"/>
    <w:autoRedefine/>
    <w:unhideWhenUsed/>
    <w:qFormat/>
    <w:uiPriority w:val="99"/>
    <w:pPr>
      <w:shd w:val="clear" w:color="auto" w:fill="FFFFFF"/>
      <w:spacing w:line="713" w:lineRule="exact"/>
      <w:ind w:firstLine="580"/>
      <w:jc w:val="distribute"/>
    </w:pPr>
    <w:rPr>
      <w:rFonts w:hint="eastAsia" w:ascii="MingLiU" w:hAnsi="MingLiU" w:eastAsia="MingLiU"/>
      <w:sz w:val="29"/>
    </w:rPr>
  </w:style>
  <w:style w:type="paragraph" w:customStyle="1" w:styleId="235">
    <w:name w:val="xl88"/>
    <w:basedOn w:val="1"/>
    <w:autoRedefine/>
    <w:qFormat/>
    <w:uiPriority w:val="0"/>
    <w:pPr>
      <w:widowControl/>
      <w:pBdr>
        <w:left w:val="single" w:color="auto" w:sz="4" w:space="0"/>
        <w:right w:val="single" w:color="auto" w:sz="8" w:space="0"/>
      </w:pBdr>
      <w:spacing w:beforeAutospacing="1" w:afterAutospacing="1"/>
      <w:jc w:val="center"/>
      <w:textAlignment w:val="center"/>
    </w:pPr>
    <w:rPr>
      <w:rFonts w:hint="eastAsia" w:hAnsi="宋体"/>
    </w:rPr>
  </w:style>
  <w:style w:type="paragraph" w:customStyle="1" w:styleId="236">
    <w:name w:val="样式 四号 行距: 1.5 倍行距"/>
    <w:basedOn w:val="1"/>
    <w:autoRedefine/>
    <w:qFormat/>
    <w:uiPriority w:val="0"/>
    <w:pPr>
      <w:spacing w:line="360" w:lineRule="auto"/>
      <w:ind w:firstLine="560" w:firstLineChars="200"/>
    </w:pPr>
  </w:style>
  <w:style w:type="paragraph" w:customStyle="1" w:styleId="237">
    <w:name w:val="样式 四号 首行缩进:  1.06 厘米 行距: 1.5 倍行距"/>
    <w:basedOn w:val="1"/>
    <w:autoRedefine/>
    <w:qFormat/>
    <w:uiPriority w:val="0"/>
    <w:pPr>
      <w:spacing w:line="360" w:lineRule="auto"/>
      <w:ind w:firstLine="600"/>
    </w:pPr>
  </w:style>
  <w:style w:type="paragraph" w:customStyle="1" w:styleId="238">
    <w:name w:val="样式 正文文本缩进 + 四号 行距: 固定值 25 磅"/>
    <w:basedOn w:val="23"/>
    <w:autoRedefine/>
    <w:qFormat/>
    <w:uiPriority w:val="0"/>
    <w:pPr>
      <w:spacing w:line="500" w:lineRule="exact"/>
      <w:ind w:left="0" w:leftChars="0" w:firstLine="538" w:firstLineChars="192"/>
    </w:pPr>
  </w:style>
  <w:style w:type="paragraph" w:customStyle="1" w:styleId="239">
    <w:name w:val="xl67"/>
    <w:basedOn w:val="1"/>
    <w:autoRedefine/>
    <w:qFormat/>
    <w:uiPriority w:val="0"/>
    <w:pPr>
      <w:widowControl/>
      <w:pBdr>
        <w:top w:val="single" w:color="auto" w:sz="4" w:space="0"/>
        <w:left w:val="single" w:color="auto" w:sz="4" w:space="0"/>
        <w:right w:val="single" w:color="auto" w:sz="4" w:space="0"/>
      </w:pBdr>
      <w:spacing w:beforeAutospacing="1" w:afterAutospacing="1"/>
      <w:jc w:val="left"/>
      <w:textAlignment w:val="center"/>
    </w:pPr>
    <w:rPr>
      <w:rFonts w:hint="eastAsia" w:hAnsi="宋体"/>
    </w:rPr>
  </w:style>
  <w:style w:type="paragraph" w:customStyle="1" w:styleId="240">
    <w:name w:val="报告正文"/>
    <w:basedOn w:val="1"/>
    <w:autoRedefine/>
    <w:qFormat/>
    <w:uiPriority w:val="0"/>
    <w:pPr>
      <w:spacing w:line="360" w:lineRule="auto"/>
      <w:ind w:firstLine="480" w:firstLineChars="200"/>
    </w:pPr>
    <w:rPr>
      <w:rFonts w:hAnsi="宋体"/>
    </w:rPr>
  </w:style>
  <w:style w:type="paragraph" w:customStyle="1" w:styleId="241">
    <w:name w:val="Body Text 22"/>
    <w:basedOn w:val="1"/>
    <w:autoRedefine/>
    <w:qFormat/>
    <w:uiPriority w:val="0"/>
    <w:pPr>
      <w:wordWrap w:val="0"/>
      <w:overflowPunct w:val="0"/>
      <w:autoSpaceDE w:val="0"/>
      <w:autoSpaceDN w:val="0"/>
      <w:adjustRightInd w:val="0"/>
      <w:spacing w:line="480" w:lineRule="exact"/>
      <w:ind w:firstLine="600"/>
      <w:jc w:val="left"/>
      <w:textAlignment w:val="baseline"/>
    </w:pPr>
    <w:rPr>
      <w:color w:val="000000"/>
      <w:sz w:val="28"/>
      <w:szCs w:val="28"/>
    </w:rPr>
  </w:style>
  <w:style w:type="paragraph" w:customStyle="1" w:styleId="242">
    <w:name w:val="font7"/>
    <w:basedOn w:val="1"/>
    <w:autoRedefine/>
    <w:qFormat/>
    <w:uiPriority w:val="0"/>
    <w:pPr>
      <w:widowControl/>
      <w:spacing w:beforeAutospacing="1" w:afterAutospacing="1"/>
      <w:jc w:val="left"/>
    </w:pPr>
    <w:rPr>
      <w:rFonts w:hint="eastAsia" w:hAnsi="宋体"/>
      <w:color w:val="0000FF"/>
    </w:rPr>
  </w:style>
  <w:style w:type="paragraph" w:customStyle="1" w:styleId="243">
    <w:name w:val="xl25"/>
    <w:basedOn w:val="1"/>
    <w:autoRedefine/>
    <w:qFormat/>
    <w:uiPriority w:val="0"/>
    <w:pPr>
      <w:widowControl/>
      <w:spacing w:beforeAutospacing="1" w:afterAutospacing="1"/>
      <w:jc w:val="left"/>
      <w:textAlignment w:val="center"/>
    </w:pPr>
    <w:rPr>
      <w:rFonts w:ascii="Arial Unicode MS" w:hAnsi="Arial Unicode MS" w:eastAsia="Arial Unicode MS"/>
      <w:color w:val="0000FF"/>
    </w:rPr>
  </w:style>
  <w:style w:type="paragraph" w:customStyle="1" w:styleId="244">
    <w:name w:val="Char Char Char1"/>
    <w:basedOn w:val="1"/>
    <w:next w:val="2"/>
    <w:autoRedefine/>
    <w:qFormat/>
    <w:uiPriority w:val="0"/>
    <w:rPr>
      <w:sz w:val="28"/>
      <w:szCs w:val="28"/>
    </w:rPr>
  </w:style>
  <w:style w:type="paragraph" w:customStyle="1" w:styleId="245">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eastAsia="Arial Unicode MS"/>
      <w:color w:val="0000FF"/>
      <w:sz w:val="20"/>
    </w:rPr>
  </w:style>
  <w:style w:type="paragraph" w:customStyle="1" w:styleId="246">
    <w:name w:val="前言、引言标题"/>
    <w:next w:val="1"/>
    <w:autoRedefine/>
    <w:qFormat/>
    <w:uiPriority w:val="0"/>
    <w:pPr>
      <w:numPr>
        <w:ilvl w:val="0"/>
        <w:numId w:val="1"/>
      </w:numPr>
      <w:shd w:val="clear" w:color="FFFFFF" w:fill="FFFFFF"/>
      <w:tabs>
        <w:tab w:val="left" w:pos="360"/>
        <w:tab w:val="clear" w:pos="0"/>
      </w:tabs>
      <w:jc w:val="center"/>
      <w:outlineLvl w:val="0"/>
    </w:pPr>
    <w:rPr>
      <w:rFonts w:ascii="黑体" w:hAnsi="Times New Roman" w:eastAsia="黑体" w:cs="Times New Roman"/>
      <w:sz w:val="32"/>
      <w:lang w:val="en-US" w:eastAsia="zh-CN" w:bidi="ar-SA"/>
    </w:rPr>
  </w:style>
  <w:style w:type="paragraph" w:customStyle="1" w:styleId="247">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Ansi="宋体"/>
    </w:rPr>
  </w:style>
  <w:style w:type="paragraph" w:customStyle="1" w:styleId="248">
    <w:name w:val="xl54"/>
    <w:basedOn w:val="1"/>
    <w:autoRedefine/>
    <w:qFormat/>
    <w:uiPriority w:val="0"/>
    <w:pPr>
      <w:widowControl/>
      <w:pBdr>
        <w:top w:val="single" w:color="auto" w:sz="4" w:space="0"/>
        <w:left w:val="single" w:color="auto" w:sz="4" w:space="0"/>
        <w:bottom w:val="single" w:color="auto" w:sz="4" w:space="0"/>
        <w:right w:val="single" w:color="auto" w:sz="8" w:space="0"/>
      </w:pBdr>
      <w:spacing w:beforeAutospacing="1" w:afterAutospacing="1"/>
      <w:jc w:val="left"/>
      <w:textAlignment w:val="center"/>
    </w:pPr>
    <w:rPr>
      <w:rFonts w:hint="eastAsia" w:hAnsi="宋体"/>
    </w:rPr>
  </w:style>
  <w:style w:type="paragraph" w:customStyle="1" w:styleId="249">
    <w:name w:val="表格04"/>
    <w:basedOn w:val="1"/>
    <w:autoRedefine/>
    <w:qFormat/>
    <w:uiPriority w:val="0"/>
    <w:pPr>
      <w:spacing w:line="360" w:lineRule="exact"/>
      <w:jc w:val="center"/>
    </w:pPr>
    <w:rPr>
      <w:rFonts w:cs="宋体"/>
      <w:snapToGrid w:val="0"/>
      <w:sz w:val="18"/>
      <w:szCs w:val="18"/>
    </w:rPr>
  </w:style>
  <w:style w:type="paragraph" w:customStyle="1" w:styleId="250">
    <w:name w:val="xl91"/>
    <w:basedOn w:val="1"/>
    <w:autoRedefine/>
    <w:qFormat/>
    <w:uiPriority w:val="0"/>
    <w:pPr>
      <w:widowControl/>
      <w:spacing w:beforeAutospacing="1" w:afterAutospacing="1"/>
      <w:jc w:val="center"/>
      <w:textAlignment w:val="top"/>
    </w:pPr>
    <w:rPr>
      <w:rFonts w:hint="eastAsia" w:hAnsi="宋体"/>
      <w:b/>
      <w:bCs/>
      <w:sz w:val="32"/>
      <w:szCs w:val="32"/>
    </w:rPr>
  </w:style>
  <w:style w:type="paragraph" w:customStyle="1" w:styleId="251">
    <w:name w:val="默认段落字体 Para Char Char Char Char"/>
    <w:basedOn w:val="1"/>
    <w:autoRedefine/>
    <w:qFormat/>
    <w:uiPriority w:val="0"/>
    <w:rPr>
      <w:rFonts w:eastAsia="Times New Roman"/>
      <w:sz w:val="20"/>
    </w:rPr>
  </w:style>
  <w:style w:type="paragraph" w:customStyle="1" w:styleId="252">
    <w:name w:val="样式 四号 黑色 首行缩进:  0.99 厘米 行距: 1.5 倍行距"/>
    <w:basedOn w:val="1"/>
    <w:autoRedefine/>
    <w:qFormat/>
    <w:uiPriority w:val="0"/>
    <w:pPr>
      <w:spacing w:line="360" w:lineRule="auto"/>
      <w:ind w:firstLine="560"/>
    </w:pPr>
    <w:rPr>
      <w:color w:val="000000"/>
    </w:rPr>
  </w:style>
  <w:style w:type="paragraph" w:customStyle="1" w:styleId="253">
    <w:name w:val="xl61"/>
    <w:basedOn w:val="1"/>
    <w:autoRedefine/>
    <w:qFormat/>
    <w:uiPriority w:val="0"/>
    <w:pPr>
      <w:widowControl/>
      <w:pBdr>
        <w:left w:val="single" w:color="auto" w:sz="8" w:space="0"/>
        <w:bottom w:val="single" w:color="auto" w:sz="4" w:space="0"/>
        <w:right w:val="single" w:color="auto" w:sz="4" w:space="0"/>
      </w:pBdr>
      <w:spacing w:beforeAutospacing="1" w:afterAutospacing="1"/>
      <w:jc w:val="center"/>
      <w:textAlignment w:val="center"/>
    </w:pPr>
    <w:rPr>
      <w:rFonts w:hAnsi="宋体"/>
      <w:sz w:val="28"/>
      <w:szCs w:val="28"/>
    </w:rPr>
  </w:style>
  <w:style w:type="paragraph" w:customStyle="1" w:styleId="254">
    <w:name w:val="样式 四号 段后: 6 磅 行距: 1.5 倍行距"/>
    <w:basedOn w:val="1"/>
    <w:autoRedefine/>
    <w:qFormat/>
    <w:uiPriority w:val="0"/>
    <w:pPr>
      <w:spacing w:line="360" w:lineRule="auto"/>
      <w:ind w:firstLine="560" w:firstLineChars="200"/>
    </w:pPr>
  </w:style>
  <w:style w:type="paragraph" w:customStyle="1" w:styleId="255">
    <w:name w:val="font5"/>
    <w:basedOn w:val="1"/>
    <w:autoRedefine/>
    <w:qFormat/>
    <w:uiPriority w:val="0"/>
    <w:pPr>
      <w:widowControl/>
      <w:spacing w:beforeAutospacing="1" w:afterAutospacing="1"/>
      <w:jc w:val="left"/>
    </w:pPr>
    <w:rPr>
      <w:rFonts w:hint="eastAsia" w:hAnsi="宋体"/>
      <w:sz w:val="18"/>
      <w:szCs w:val="18"/>
    </w:rPr>
  </w:style>
  <w:style w:type="paragraph" w:customStyle="1" w:styleId="256">
    <w:name w:val="正文文本格式"/>
    <w:basedOn w:val="1"/>
    <w:autoRedefine/>
    <w:qFormat/>
    <w:uiPriority w:val="0"/>
    <w:pPr>
      <w:adjustRightInd w:val="0"/>
      <w:snapToGrid w:val="0"/>
      <w:spacing w:line="480" w:lineRule="exact"/>
      <w:ind w:firstLine="567"/>
    </w:pPr>
    <w:rPr>
      <w:snapToGrid w:val="0"/>
      <w:sz w:val="28"/>
      <w:szCs w:val="28"/>
    </w:rPr>
  </w:style>
  <w:style w:type="paragraph" w:customStyle="1" w:styleId="257">
    <w:name w:val="xl49"/>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Ansi="宋体"/>
    </w:rPr>
  </w:style>
  <w:style w:type="paragraph" w:customStyle="1" w:styleId="258">
    <w:name w:val="样式 四号 黑色 行距: 1.5 倍行距1"/>
    <w:basedOn w:val="1"/>
    <w:autoRedefine/>
    <w:qFormat/>
    <w:uiPriority w:val="0"/>
    <w:pPr>
      <w:spacing w:line="360" w:lineRule="auto"/>
    </w:pPr>
    <w:rPr>
      <w:color w:val="000000"/>
    </w:rPr>
  </w:style>
  <w:style w:type="paragraph" w:customStyle="1" w:styleId="259">
    <w:name w:val="xl46"/>
    <w:basedOn w:val="1"/>
    <w:autoRedefine/>
    <w:qFormat/>
    <w:uiPriority w:val="0"/>
    <w:pPr>
      <w:widowControl/>
      <w:pBdr>
        <w:top w:val="single" w:color="auto" w:sz="4" w:space="0"/>
        <w:left w:val="single" w:color="auto" w:sz="4" w:space="0"/>
        <w:bottom w:val="single" w:color="auto" w:sz="4" w:space="0"/>
        <w:right w:val="single" w:color="auto" w:sz="8" w:space="0"/>
      </w:pBdr>
      <w:spacing w:beforeAutospacing="1" w:afterAutospacing="1"/>
      <w:jc w:val="left"/>
      <w:textAlignment w:val="center"/>
    </w:pPr>
    <w:rPr>
      <w:rFonts w:hint="eastAsia" w:hAnsi="宋体"/>
    </w:rPr>
  </w:style>
  <w:style w:type="paragraph" w:customStyle="1" w:styleId="260">
    <w:name w:val="xl48"/>
    <w:basedOn w:val="1"/>
    <w:autoRedefine/>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pPr>
    <w:rPr>
      <w:rFonts w:hAnsi="宋体"/>
    </w:rPr>
  </w:style>
  <w:style w:type="paragraph" w:customStyle="1" w:styleId="261">
    <w:name w:val="Body Text 21"/>
    <w:basedOn w:val="1"/>
    <w:autoRedefine/>
    <w:qFormat/>
    <w:uiPriority w:val="0"/>
    <w:pPr>
      <w:autoSpaceDE w:val="0"/>
      <w:autoSpaceDN w:val="0"/>
      <w:adjustRightInd w:val="0"/>
      <w:spacing w:line="500" w:lineRule="atLeast"/>
      <w:ind w:firstLine="480"/>
      <w:jc w:val="left"/>
      <w:textAlignment w:val="bottom"/>
    </w:pPr>
    <w:rPr>
      <w:sz w:val="28"/>
    </w:rPr>
  </w:style>
  <w:style w:type="paragraph" w:customStyle="1" w:styleId="262">
    <w:name w:val="样式 四号 首行缩进:  0.75 厘米 行距: 1.5 倍行距"/>
    <w:basedOn w:val="1"/>
    <w:autoRedefine/>
    <w:qFormat/>
    <w:uiPriority w:val="0"/>
    <w:pPr>
      <w:spacing w:line="360" w:lineRule="auto"/>
      <w:ind w:firstLine="425"/>
    </w:pPr>
  </w:style>
  <w:style w:type="paragraph" w:customStyle="1" w:styleId="263">
    <w:name w:val="正文文本 21"/>
    <w:basedOn w:val="1"/>
    <w:autoRedefine/>
    <w:qFormat/>
    <w:uiPriority w:val="0"/>
    <w:pPr>
      <w:widowControl/>
      <w:adjustRightInd w:val="0"/>
      <w:spacing w:line="360" w:lineRule="auto"/>
      <w:ind w:right="-1" w:firstLine="615"/>
      <w:jc w:val="left"/>
      <w:textAlignment w:val="baseline"/>
    </w:pPr>
    <w:rPr>
      <w:spacing w:val="8"/>
      <w:sz w:val="28"/>
    </w:rPr>
  </w:style>
  <w:style w:type="paragraph" w:customStyle="1" w:styleId="264">
    <w:name w:val="五级条标题"/>
    <w:basedOn w:val="77"/>
    <w:next w:val="5"/>
    <w:autoRedefine/>
    <w:qFormat/>
    <w:uiPriority w:val="0"/>
  </w:style>
  <w:style w:type="paragraph" w:customStyle="1" w:styleId="265">
    <w:name w:val="样式 四号 左侧:  1 厘米 行距: 1.5 倍行距"/>
    <w:basedOn w:val="1"/>
    <w:autoRedefine/>
    <w:qFormat/>
    <w:uiPriority w:val="0"/>
    <w:pPr>
      <w:spacing w:line="360" w:lineRule="auto"/>
      <w:ind w:left="567"/>
    </w:pPr>
  </w:style>
  <w:style w:type="paragraph" w:customStyle="1" w:styleId="266">
    <w:name w:val="正文+段落"/>
    <w:basedOn w:val="204"/>
    <w:link w:val="325"/>
    <w:autoRedefine/>
    <w:qFormat/>
    <w:uiPriority w:val="0"/>
    <w:pPr>
      <w:ind w:firstLine="480"/>
    </w:pPr>
  </w:style>
  <w:style w:type="paragraph" w:customStyle="1" w:styleId="267">
    <w:name w:val="肖-正文-缩2"/>
    <w:basedOn w:val="1"/>
    <w:autoRedefine/>
    <w:qFormat/>
    <w:uiPriority w:val="0"/>
    <w:pPr>
      <w:spacing w:line="500" w:lineRule="exact"/>
      <w:ind w:firstLine="200" w:firstLineChars="200"/>
    </w:pPr>
    <w:rPr>
      <w:rFonts w:hAnsi="宋体" w:cs="宋体"/>
      <w:color w:val="000000"/>
    </w:rPr>
  </w:style>
  <w:style w:type="paragraph" w:customStyle="1" w:styleId="268">
    <w:name w:val="xl90"/>
    <w:basedOn w:val="1"/>
    <w:autoRedefine/>
    <w:qFormat/>
    <w:uiPriority w:val="0"/>
    <w:pPr>
      <w:widowControl/>
      <w:pBdr>
        <w:left w:val="single" w:color="auto" w:sz="4" w:space="0"/>
        <w:right w:val="single" w:color="auto" w:sz="8" w:space="0"/>
      </w:pBdr>
      <w:spacing w:beforeAutospacing="1" w:afterAutospacing="1"/>
      <w:jc w:val="center"/>
      <w:textAlignment w:val="center"/>
    </w:pPr>
    <w:rPr>
      <w:rFonts w:hint="eastAsia" w:hAnsi="宋体"/>
    </w:rPr>
  </w:style>
  <w:style w:type="character" w:customStyle="1" w:styleId="269">
    <w:name w:val="h2 Char"/>
    <w:basedOn w:val="54"/>
    <w:autoRedefine/>
    <w:qFormat/>
    <w:uiPriority w:val="0"/>
    <w:rPr>
      <w:rFonts w:ascii="Arial" w:hAnsi="Arial" w:eastAsia="黑体"/>
      <w:b/>
      <w:bCs/>
      <w:kern w:val="2"/>
      <w:sz w:val="32"/>
      <w:szCs w:val="32"/>
      <w:lang w:val="en-US" w:eastAsia="zh-CN" w:bidi="ar-SA"/>
    </w:rPr>
  </w:style>
  <w:style w:type="character" w:customStyle="1" w:styleId="270">
    <w:name w:val="纯文本 Char"/>
    <w:link w:val="28"/>
    <w:autoRedefine/>
    <w:qFormat/>
    <w:uiPriority w:val="0"/>
    <w:rPr>
      <w:rFonts w:ascii="宋体" w:hAnsi="Courier New"/>
      <w:kern w:val="2"/>
      <w:sz w:val="28"/>
    </w:rPr>
  </w:style>
  <w:style w:type="character" w:customStyle="1" w:styleId="271">
    <w:name w:val="正文文本 + Angsana New"/>
    <w:basedOn w:val="272"/>
    <w:autoRedefine/>
    <w:unhideWhenUsed/>
    <w:qFormat/>
    <w:uiPriority w:val="99"/>
    <w:rPr>
      <w:rFonts w:hint="eastAsia" w:ascii="Angsana New" w:hAnsi="Angsana New" w:eastAsia="Angsana New"/>
      <w:sz w:val="70"/>
    </w:rPr>
  </w:style>
  <w:style w:type="character" w:customStyle="1" w:styleId="272">
    <w:name w:val="正文文本_"/>
    <w:basedOn w:val="54"/>
    <w:link w:val="234"/>
    <w:autoRedefine/>
    <w:unhideWhenUsed/>
    <w:qFormat/>
    <w:uiPriority w:val="99"/>
    <w:rPr>
      <w:rFonts w:hint="eastAsia" w:ascii="MingLiU" w:hAnsi="MingLiU" w:eastAsia="MingLiU"/>
      <w:sz w:val="29"/>
    </w:rPr>
  </w:style>
  <w:style w:type="character" w:customStyle="1" w:styleId="273">
    <w:name w:val="unnamed11"/>
    <w:basedOn w:val="54"/>
    <w:autoRedefine/>
    <w:qFormat/>
    <w:uiPriority w:val="0"/>
  </w:style>
  <w:style w:type="character" w:customStyle="1" w:styleId="274">
    <w:name w:val="正文缩进 Char"/>
    <w:link w:val="9"/>
    <w:autoRedefine/>
    <w:qFormat/>
    <w:uiPriority w:val="0"/>
    <w:rPr>
      <w:rFonts w:eastAsia="宋体"/>
      <w:kern w:val="2"/>
      <w:sz w:val="21"/>
      <w:szCs w:val="24"/>
      <w:lang w:val="en-US" w:eastAsia="zh-CN" w:bidi="ar-SA"/>
    </w:rPr>
  </w:style>
  <w:style w:type="character" w:customStyle="1" w:styleId="275">
    <w:name w:val="样式 样式 首行缩进:  0.8厘米 + 右侧:  2 字符 Char Char"/>
    <w:basedOn w:val="276"/>
    <w:link w:val="90"/>
    <w:autoRedefine/>
    <w:qFormat/>
    <w:uiPriority w:val="0"/>
    <w:rPr>
      <w:rFonts w:eastAsia="宋体"/>
      <w:snapToGrid w:val="0"/>
      <w:sz w:val="24"/>
      <w:lang w:val="en-US" w:eastAsia="zh-CN" w:bidi="ar-SA"/>
    </w:rPr>
  </w:style>
  <w:style w:type="character" w:customStyle="1" w:styleId="276">
    <w:name w:val="样式 首行缩进:  0.8厘米 Char Char"/>
    <w:basedOn w:val="54"/>
    <w:link w:val="91"/>
    <w:autoRedefine/>
    <w:qFormat/>
    <w:uiPriority w:val="0"/>
    <w:rPr>
      <w:rFonts w:eastAsia="宋体"/>
      <w:snapToGrid w:val="0"/>
      <w:sz w:val="24"/>
      <w:lang w:val="en-US" w:eastAsia="zh-CN" w:bidi="ar-SA"/>
    </w:rPr>
  </w:style>
  <w:style w:type="character" w:customStyle="1" w:styleId="277">
    <w:name w:val="标题 2 Char1 Char Char Char"/>
    <w:basedOn w:val="54"/>
    <w:autoRedefine/>
    <w:qFormat/>
    <w:uiPriority w:val="0"/>
    <w:rPr>
      <w:rFonts w:ascii="Arial" w:hAnsi="Arial" w:eastAsia="黑体"/>
      <w:b/>
      <w:bCs/>
      <w:kern w:val="2"/>
      <w:sz w:val="32"/>
      <w:szCs w:val="32"/>
      <w:lang w:val="en-US" w:eastAsia="zh-CN" w:bidi="ar-SA"/>
    </w:rPr>
  </w:style>
  <w:style w:type="character" w:customStyle="1" w:styleId="278">
    <w:name w:val="p21"/>
    <w:basedOn w:val="54"/>
    <w:autoRedefine/>
    <w:qFormat/>
    <w:uiPriority w:val="0"/>
    <w:rPr>
      <w:sz w:val="18"/>
      <w:szCs w:val="18"/>
    </w:rPr>
  </w:style>
  <w:style w:type="character" w:customStyle="1" w:styleId="279">
    <w:name w:val="正文 Char Char"/>
    <w:link w:val="218"/>
    <w:autoRedefine/>
    <w:qFormat/>
    <w:uiPriority w:val="0"/>
    <w:rPr>
      <w:rFonts w:cs="宋体"/>
      <w:kern w:val="2"/>
      <w:sz w:val="28"/>
      <w:szCs w:val="28"/>
    </w:rPr>
  </w:style>
  <w:style w:type="character" w:customStyle="1" w:styleId="280">
    <w:name w:val="日期 Char"/>
    <w:link w:val="30"/>
    <w:autoRedefine/>
    <w:qFormat/>
    <w:uiPriority w:val="0"/>
    <w:rPr>
      <w:sz w:val="24"/>
    </w:rPr>
  </w:style>
  <w:style w:type="character" w:customStyle="1" w:styleId="281">
    <w:name w:val="样式 四号2"/>
    <w:basedOn w:val="54"/>
    <w:autoRedefine/>
    <w:qFormat/>
    <w:uiPriority w:val="0"/>
    <w:rPr>
      <w:sz w:val="24"/>
    </w:rPr>
  </w:style>
  <w:style w:type="character" w:customStyle="1" w:styleId="282">
    <w:name w:val="款标题1.1.1.1 Char"/>
    <w:basedOn w:val="54"/>
    <w:autoRedefine/>
    <w:qFormat/>
    <w:uiPriority w:val="0"/>
    <w:rPr>
      <w:rFonts w:ascii="Arial" w:hAnsi="Arial" w:eastAsia="黑体"/>
      <w:b/>
      <w:bCs/>
      <w:kern w:val="2"/>
      <w:sz w:val="28"/>
      <w:szCs w:val="28"/>
      <w:lang w:val="en-US" w:eastAsia="zh-CN" w:bidi="ar-SA"/>
    </w:rPr>
  </w:style>
  <w:style w:type="character" w:customStyle="1" w:styleId="283">
    <w:name w:val="样式 宋体 四号 黑色1"/>
    <w:basedOn w:val="54"/>
    <w:autoRedefine/>
    <w:qFormat/>
    <w:uiPriority w:val="0"/>
    <w:rPr>
      <w:rFonts w:ascii="宋体" w:hAnsi="宋体"/>
      <w:color w:val="000000"/>
      <w:sz w:val="24"/>
    </w:rPr>
  </w:style>
  <w:style w:type="character" w:customStyle="1" w:styleId="284">
    <w:name w:val="article1"/>
    <w:basedOn w:val="54"/>
    <w:autoRedefine/>
    <w:qFormat/>
    <w:uiPriority w:val="0"/>
    <w:rPr>
      <w:b/>
      <w:bCs/>
      <w:smallCaps/>
      <w:color w:val="FF0000"/>
      <w:sz w:val="43"/>
      <w:szCs w:val="43"/>
    </w:rPr>
  </w:style>
  <w:style w:type="character" w:customStyle="1" w:styleId="285">
    <w:name w:val="正文3 Char Char"/>
    <w:link w:val="103"/>
    <w:autoRedefine/>
    <w:qFormat/>
    <w:uiPriority w:val="0"/>
    <w:rPr>
      <w:rFonts w:cs="宋体"/>
      <w:kern w:val="2"/>
      <w:sz w:val="28"/>
      <w:szCs w:val="28"/>
    </w:rPr>
  </w:style>
  <w:style w:type="character" w:customStyle="1" w:styleId="286">
    <w:name w:val="正文文本 Char"/>
    <w:basedOn w:val="54"/>
    <w:link w:val="22"/>
    <w:autoRedefine/>
    <w:qFormat/>
    <w:uiPriority w:val="0"/>
    <w:rPr>
      <w:rFonts w:eastAsia="宋体"/>
      <w:kern w:val="2"/>
      <w:sz w:val="21"/>
      <w:szCs w:val="24"/>
      <w:lang w:val="en-US" w:eastAsia="zh-CN" w:bidi="ar-SA"/>
    </w:rPr>
  </w:style>
  <w:style w:type="character" w:customStyle="1" w:styleId="287">
    <w:name w:val="标题 2 Char"/>
    <w:link w:val="4"/>
    <w:autoRedefine/>
    <w:qFormat/>
    <w:uiPriority w:val="0"/>
    <w:rPr>
      <w:rFonts w:ascii="楷体" w:hAnsi="楷体" w:eastAsia="楷体"/>
      <w:b/>
      <w:bCs/>
      <w:sz w:val="32"/>
      <w:szCs w:val="32"/>
    </w:rPr>
  </w:style>
  <w:style w:type="character" w:customStyle="1" w:styleId="288">
    <w:name w:val="ttitle1"/>
    <w:autoRedefine/>
    <w:qFormat/>
    <w:uiPriority w:val="0"/>
    <w:rPr>
      <w:spacing w:val="120"/>
      <w:sz w:val="21"/>
      <w:szCs w:val="21"/>
    </w:rPr>
  </w:style>
  <w:style w:type="character" w:customStyle="1" w:styleId="289">
    <w:name w:val="标题 1 Char"/>
    <w:basedOn w:val="54"/>
    <w:link w:val="3"/>
    <w:autoRedefine/>
    <w:qFormat/>
    <w:uiPriority w:val="0"/>
    <w:rPr>
      <w:rFonts w:ascii="黑体" w:hAnsi="黑体" w:eastAsia="黑体"/>
      <w:b/>
      <w:bCs/>
      <w:kern w:val="44"/>
      <w:sz w:val="36"/>
      <w:szCs w:val="36"/>
    </w:rPr>
  </w:style>
  <w:style w:type="character" w:customStyle="1" w:styleId="290">
    <w:name w:val="样式 宋体 四号 黑色2"/>
    <w:basedOn w:val="54"/>
    <w:autoRedefine/>
    <w:qFormat/>
    <w:uiPriority w:val="0"/>
    <w:rPr>
      <w:rFonts w:ascii="宋体" w:hAnsi="宋体"/>
      <w:color w:val="000000"/>
      <w:sz w:val="24"/>
    </w:rPr>
  </w:style>
  <w:style w:type="character" w:customStyle="1" w:styleId="291">
    <w:name w:val="样式 样式 样式 首行缩进:  0.8厘米 + 右侧:  2 字符 + 左侧:  2 字符 Char Char"/>
    <w:basedOn w:val="275"/>
    <w:link w:val="204"/>
    <w:autoRedefine/>
    <w:qFormat/>
    <w:uiPriority w:val="0"/>
    <w:rPr>
      <w:rFonts w:eastAsia="宋体"/>
      <w:snapToGrid w:val="0"/>
      <w:sz w:val="24"/>
      <w:lang w:val="en-US" w:eastAsia="zh-CN" w:bidi="ar-SA"/>
    </w:rPr>
  </w:style>
  <w:style w:type="character" w:customStyle="1" w:styleId="292">
    <w:name w:val="font21"/>
    <w:autoRedefine/>
    <w:qFormat/>
    <w:uiPriority w:val="0"/>
    <w:rPr>
      <w:rFonts w:hint="default" w:ascii="Times New Roman" w:hAnsi="Times New Roman" w:cs="Times New Roman"/>
      <w:color w:val="000000"/>
      <w:sz w:val="21"/>
      <w:szCs w:val="21"/>
      <w:u w:val="none"/>
    </w:rPr>
  </w:style>
  <w:style w:type="character" w:customStyle="1" w:styleId="293">
    <w:name w:val="样式 宋体 四号1"/>
    <w:basedOn w:val="54"/>
    <w:autoRedefine/>
    <w:qFormat/>
    <w:uiPriority w:val="0"/>
    <w:rPr>
      <w:rFonts w:ascii="宋体" w:hAnsi="宋体"/>
      <w:spacing w:val="8"/>
      <w:kern w:val="24"/>
      <w:sz w:val="24"/>
    </w:rPr>
  </w:style>
  <w:style w:type="character" w:customStyle="1" w:styleId="294">
    <w:name w:val="3 Char"/>
    <w:basedOn w:val="54"/>
    <w:autoRedefine/>
    <w:qFormat/>
    <w:uiPriority w:val="0"/>
    <w:rPr>
      <w:rFonts w:eastAsia="宋体"/>
      <w:b/>
      <w:bCs/>
      <w:kern w:val="2"/>
      <w:sz w:val="32"/>
      <w:szCs w:val="32"/>
      <w:lang w:val="en-US" w:eastAsia="zh-CN" w:bidi="ar-SA"/>
    </w:rPr>
  </w:style>
  <w:style w:type="character" w:customStyle="1" w:styleId="295">
    <w:name w:val="正文文本 3 Char"/>
    <w:link w:val="21"/>
    <w:autoRedefine/>
    <w:qFormat/>
    <w:uiPriority w:val="0"/>
    <w:rPr>
      <w:kern w:val="2"/>
      <w:sz w:val="16"/>
      <w:szCs w:val="16"/>
    </w:rPr>
  </w:style>
  <w:style w:type="character" w:customStyle="1" w:styleId="296">
    <w:name w:val="样式 宋体 四号 黑色3"/>
    <w:basedOn w:val="54"/>
    <w:autoRedefine/>
    <w:qFormat/>
    <w:uiPriority w:val="0"/>
    <w:rPr>
      <w:rFonts w:ascii="宋体" w:hAnsi="宋体"/>
      <w:color w:val="000000"/>
      <w:sz w:val="24"/>
    </w:rPr>
  </w:style>
  <w:style w:type="character" w:customStyle="1" w:styleId="297">
    <w:name w:val="标题1"/>
    <w:basedOn w:val="54"/>
    <w:autoRedefine/>
    <w:qFormat/>
    <w:uiPriority w:val="0"/>
    <w:rPr>
      <w:rFonts w:eastAsia="隶书"/>
      <w:b/>
      <w:sz w:val="44"/>
    </w:rPr>
  </w:style>
  <w:style w:type="character" w:customStyle="1" w:styleId="298">
    <w:name w:val="apple-converted-space"/>
    <w:basedOn w:val="54"/>
    <w:autoRedefine/>
    <w:qFormat/>
    <w:uiPriority w:val="0"/>
  </w:style>
  <w:style w:type="character" w:customStyle="1" w:styleId="299">
    <w:name w:val="f3"/>
    <w:basedOn w:val="54"/>
    <w:autoRedefine/>
    <w:qFormat/>
    <w:uiPriority w:val="0"/>
  </w:style>
  <w:style w:type="character" w:customStyle="1" w:styleId="300">
    <w:name w:val="keyword-span-wrap"/>
    <w:basedOn w:val="54"/>
    <w:autoRedefine/>
    <w:qFormat/>
    <w:uiPriority w:val="0"/>
    <w:rPr>
      <w:color w:val="19A97B"/>
    </w:rPr>
  </w:style>
  <w:style w:type="character" w:customStyle="1" w:styleId="301">
    <w:name w:val="正文+段落 Char Char"/>
    <w:basedOn w:val="54"/>
    <w:autoRedefine/>
    <w:qFormat/>
    <w:uiPriority w:val="0"/>
    <w:rPr>
      <w:rFonts w:eastAsia="宋体"/>
      <w:snapToGrid w:val="0"/>
      <w:sz w:val="24"/>
      <w:lang w:val="en-US" w:eastAsia="zh-CN" w:bidi="ar-SA"/>
    </w:rPr>
  </w:style>
  <w:style w:type="character" w:customStyle="1" w:styleId="302">
    <w:name w:val="样式 宋体 四号"/>
    <w:basedOn w:val="54"/>
    <w:autoRedefine/>
    <w:qFormat/>
    <w:uiPriority w:val="0"/>
    <w:rPr>
      <w:rFonts w:ascii="宋体" w:hAnsi="宋体"/>
      <w:sz w:val="24"/>
    </w:rPr>
  </w:style>
  <w:style w:type="character" w:customStyle="1" w:styleId="303">
    <w:name w:val="fn org"/>
    <w:basedOn w:val="54"/>
    <w:autoRedefine/>
    <w:qFormat/>
    <w:uiPriority w:val="0"/>
  </w:style>
  <w:style w:type="character" w:customStyle="1" w:styleId="304">
    <w:name w:val="3级标题"/>
    <w:basedOn w:val="54"/>
    <w:autoRedefine/>
    <w:qFormat/>
    <w:uiPriority w:val="0"/>
    <w:rPr>
      <w:b/>
      <w:sz w:val="28"/>
    </w:rPr>
  </w:style>
  <w:style w:type="character" w:customStyle="1" w:styleId="305">
    <w:name w:val="标题 1 Char Char"/>
    <w:basedOn w:val="54"/>
    <w:autoRedefine/>
    <w:qFormat/>
    <w:uiPriority w:val="0"/>
    <w:rPr>
      <w:rFonts w:eastAsia="宋体"/>
      <w:b/>
      <w:snapToGrid w:val="0"/>
      <w:sz w:val="32"/>
      <w:lang w:val="en-US" w:eastAsia="zh-CN"/>
    </w:rPr>
  </w:style>
  <w:style w:type="character" w:customStyle="1" w:styleId="306">
    <w:name w:val="fontstrikethrough"/>
    <w:basedOn w:val="54"/>
    <w:autoRedefine/>
    <w:qFormat/>
    <w:uiPriority w:val="0"/>
    <w:rPr>
      <w:strike/>
    </w:rPr>
  </w:style>
  <w:style w:type="character" w:customStyle="1" w:styleId="307">
    <w:name w:val="fontborder"/>
    <w:basedOn w:val="54"/>
    <w:autoRedefine/>
    <w:qFormat/>
    <w:uiPriority w:val="0"/>
    <w:rPr>
      <w:bdr w:val="single" w:color="000000" w:sz="6" w:space="0"/>
    </w:rPr>
  </w:style>
  <w:style w:type="character" w:customStyle="1" w:styleId="308">
    <w:name w:val="正文6"/>
    <w:autoRedefine/>
    <w:qFormat/>
    <w:uiPriority w:val="0"/>
    <w:rPr>
      <w:rFonts w:ascii="Times New Roman" w:hAnsi="Times New Roman" w:eastAsia="宋体"/>
      <w:spacing w:val="0"/>
      <w:w w:val="100"/>
      <w:position w:val="0"/>
      <w:sz w:val="28"/>
      <w:szCs w:val="28"/>
    </w:rPr>
  </w:style>
  <w:style w:type="character" w:customStyle="1" w:styleId="309">
    <w:name w:val="apple-style-span"/>
    <w:basedOn w:val="54"/>
    <w:autoRedefine/>
    <w:qFormat/>
    <w:uiPriority w:val="0"/>
  </w:style>
  <w:style w:type="character" w:customStyle="1" w:styleId="310">
    <w:name w:val="font11"/>
    <w:autoRedefine/>
    <w:qFormat/>
    <w:uiPriority w:val="0"/>
    <w:rPr>
      <w:rFonts w:hint="eastAsia" w:ascii="宋体" w:hAnsi="宋体" w:eastAsia="宋体"/>
      <w:color w:val="000000"/>
      <w:sz w:val="21"/>
      <w:szCs w:val="21"/>
      <w:u w:val="none"/>
    </w:rPr>
  </w:style>
  <w:style w:type="character" w:customStyle="1" w:styleId="311">
    <w:name w:val="样式 四号 黑色"/>
    <w:basedOn w:val="54"/>
    <w:autoRedefine/>
    <w:qFormat/>
    <w:uiPriority w:val="0"/>
    <w:rPr>
      <w:color w:val="000000"/>
      <w:sz w:val="24"/>
    </w:rPr>
  </w:style>
  <w:style w:type="character" w:customStyle="1" w:styleId="312">
    <w:name w:val="标题 3 Char1 Char"/>
    <w:autoRedefine/>
    <w:qFormat/>
    <w:uiPriority w:val="0"/>
    <w:rPr>
      <w:b/>
      <w:bCs/>
      <w:sz w:val="32"/>
      <w:szCs w:val="32"/>
    </w:rPr>
  </w:style>
  <w:style w:type="character" w:customStyle="1" w:styleId="313">
    <w:name w:val="样式 四号"/>
    <w:autoRedefine/>
    <w:qFormat/>
    <w:uiPriority w:val="0"/>
    <w:rPr>
      <w:rFonts w:eastAsia="宋体"/>
      <w:sz w:val="28"/>
    </w:rPr>
  </w:style>
  <w:style w:type="character" w:customStyle="1" w:styleId="314">
    <w:name w:val="标题 Char"/>
    <w:link w:val="48"/>
    <w:autoRedefine/>
    <w:qFormat/>
    <w:uiPriority w:val="0"/>
    <w:rPr>
      <w:rFonts w:eastAsia="宋体"/>
      <w:lang w:bidi="ar-SA"/>
    </w:rPr>
  </w:style>
  <w:style w:type="character" w:customStyle="1" w:styleId="315">
    <w:name w:val="样式 四号 黑色1"/>
    <w:basedOn w:val="54"/>
    <w:autoRedefine/>
    <w:qFormat/>
    <w:uiPriority w:val="0"/>
    <w:rPr>
      <w:color w:val="000000"/>
      <w:kern w:val="0"/>
      <w:sz w:val="24"/>
    </w:rPr>
  </w:style>
  <w:style w:type="character" w:customStyle="1" w:styleId="316">
    <w:name w:val="sh141"/>
    <w:autoRedefine/>
    <w:qFormat/>
    <w:uiPriority w:val="0"/>
    <w:rPr>
      <w:color w:val="2B2B2B"/>
      <w:sz w:val="21"/>
      <w:szCs w:val="21"/>
    </w:rPr>
  </w:style>
  <w:style w:type="character" w:customStyle="1" w:styleId="317">
    <w:name w:val="标题 3 Char Char"/>
    <w:basedOn w:val="54"/>
    <w:autoRedefine/>
    <w:qFormat/>
    <w:uiPriority w:val="0"/>
    <w:rPr>
      <w:rFonts w:eastAsia="宋体"/>
      <w:b/>
      <w:bCs/>
      <w:kern w:val="2"/>
      <w:sz w:val="28"/>
      <w:szCs w:val="32"/>
      <w:lang w:val="en-US" w:eastAsia="zh-CN" w:bidi="ar-SA"/>
    </w:rPr>
  </w:style>
  <w:style w:type="character" w:customStyle="1" w:styleId="318">
    <w:name w:val="正文文本 + Angsana New1"/>
    <w:basedOn w:val="272"/>
    <w:autoRedefine/>
    <w:unhideWhenUsed/>
    <w:qFormat/>
    <w:uiPriority w:val="99"/>
    <w:rPr>
      <w:rFonts w:hint="eastAsia" w:ascii="Angsana New" w:hAnsi="Angsana New" w:eastAsia="Angsana New"/>
      <w:b/>
      <w:w w:val="75"/>
      <w:sz w:val="47"/>
    </w:rPr>
  </w:style>
  <w:style w:type="character" w:customStyle="1" w:styleId="319">
    <w:name w:val="标题 4 Char"/>
    <w:link w:val="6"/>
    <w:autoRedefine/>
    <w:qFormat/>
    <w:uiPriority w:val="0"/>
    <w:rPr>
      <w:rFonts w:ascii="黑体" w:hAnsi="黑体" w:eastAsia="黑体"/>
      <w:b/>
      <w:bCs/>
      <w:kern w:val="2"/>
      <w:sz w:val="28"/>
      <w:szCs w:val="28"/>
    </w:rPr>
  </w:style>
  <w:style w:type="paragraph" w:styleId="320">
    <w:name w:val="List Paragraph"/>
    <w:basedOn w:val="1"/>
    <w:autoRedefine/>
    <w:unhideWhenUsed/>
    <w:qFormat/>
    <w:uiPriority w:val="99"/>
    <w:pPr>
      <w:ind w:firstLine="420" w:firstLineChars="200"/>
    </w:pPr>
  </w:style>
  <w:style w:type="character" w:customStyle="1" w:styleId="321">
    <w:name w:val="文档结构图 Char"/>
    <w:basedOn w:val="54"/>
    <w:link w:val="17"/>
    <w:autoRedefine/>
    <w:qFormat/>
    <w:uiPriority w:val="0"/>
    <w:rPr>
      <w:rFonts w:ascii="宋体"/>
      <w:sz w:val="18"/>
      <w:szCs w:val="18"/>
    </w:rPr>
  </w:style>
  <w:style w:type="character" w:customStyle="1" w:styleId="322">
    <w:name w:val="Page Number1"/>
    <w:autoRedefine/>
    <w:unhideWhenUsed/>
    <w:qFormat/>
    <w:uiPriority w:val="0"/>
    <w:rPr>
      <w:rFonts w:hint="default" w:ascii="Times New Roman" w:hAnsi="Times New Roman" w:eastAsia="宋体"/>
      <w:sz w:val="24"/>
    </w:rPr>
  </w:style>
  <w:style w:type="paragraph" w:customStyle="1" w:styleId="323">
    <w:name w:val="WPS Plain"/>
    <w:autoRedefine/>
    <w:qFormat/>
    <w:uiPriority w:val="0"/>
    <w:rPr>
      <w:rFonts w:ascii="Times New Roman" w:hAnsi="Times New Roman" w:eastAsia="宋体" w:cs="Times New Roman"/>
      <w:lang w:val="en-US" w:eastAsia="zh-CN" w:bidi="ar-SA"/>
    </w:rPr>
  </w:style>
  <w:style w:type="paragraph" w:customStyle="1" w:styleId="324">
    <w:name w:val="样式 首行缩进:  2 字符"/>
    <w:basedOn w:val="1"/>
    <w:autoRedefine/>
    <w:qFormat/>
    <w:uiPriority w:val="0"/>
    <w:pPr>
      <w:spacing w:line="360" w:lineRule="auto"/>
      <w:ind w:firstLine="560" w:firstLineChars="200"/>
    </w:pPr>
    <w:rPr>
      <w:rFonts w:ascii="Times New Roman" w:cs="宋体"/>
      <w:sz w:val="28"/>
    </w:rPr>
  </w:style>
  <w:style w:type="character" w:customStyle="1" w:styleId="325">
    <w:name w:val="正文+段落 Char"/>
    <w:basedOn w:val="54"/>
    <w:link w:val="266"/>
    <w:autoRedefine/>
    <w:qFormat/>
    <w:uiPriority w:val="0"/>
    <w:rPr>
      <w:rFonts w:eastAsia="宋体"/>
      <w:snapToGrid w:val="0"/>
      <w:sz w:val="24"/>
      <w:lang w:val="en-US" w:eastAsia="zh-CN" w:bidi="ar-SA"/>
    </w:rPr>
  </w:style>
  <w:style w:type="paragraph" w:customStyle="1" w:styleId="326">
    <w:name w:val="样式 标题4A"/>
    <w:basedOn w:val="6"/>
    <w:autoRedefine/>
    <w:qFormat/>
    <w:uiPriority w:val="0"/>
    <w:pPr>
      <w:spacing w:beforeLines="50" w:afterLines="50"/>
    </w:pPr>
    <w:rPr>
      <w:rFonts w:eastAsia="宋体" w:cs="宋体"/>
      <w:color w:val="000000"/>
    </w:rPr>
  </w:style>
  <w:style w:type="paragraph" w:customStyle="1" w:styleId="327">
    <w:name w:val="中文报告书"/>
    <w:basedOn w:val="1"/>
    <w:autoRedefine/>
    <w:qFormat/>
    <w:uiPriority w:val="0"/>
    <w:pPr>
      <w:adjustRightInd w:val="0"/>
      <w:spacing w:after="80" w:line="420" w:lineRule="atLeast"/>
      <w:jc w:val="left"/>
      <w:textAlignment w:val="baseline"/>
    </w:pPr>
    <w:rPr>
      <w:rFonts w:ascii="Times New Roman"/>
      <w:kern w:val="2"/>
    </w:rPr>
  </w:style>
  <w:style w:type="paragraph" w:customStyle="1" w:styleId="328">
    <w:name w:val="样式 宋体 加粗 首行缩进:  0.99 厘米 行距: 1.5 倍行距"/>
    <w:basedOn w:val="1"/>
    <w:autoRedefine/>
    <w:qFormat/>
    <w:uiPriority w:val="0"/>
    <w:pPr>
      <w:adjustRightInd w:val="0"/>
      <w:snapToGrid w:val="0"/>
      <w:spacing w:line="360" w:lineRule="auto"/>
      <w:ind w:firstLine="480" w:firstLineChars="200"/>
    </w:pPr>
    <w:rPr>
      <w:rFonts w:hAnsi="宋体" w:cs="宋体"/>
      <w:b/>
      <w:bCs/>
      <w:kern w:val="2"/>
      <w:szCs w:val="24"/>
    </w:rPr>
  </w:style>
  <w:style w:type="paragraph" w:customStyle="1" w:styleId="329">
    <w:name w:val="--"/>
    <w:basedOn w:val="1"/>
    <w:autoRedefine/>
    <w:qFormat/>
    <w:uiPriority w:val="0"/>
    <w:pPr>
      <w:widowControl/>
      <w:snapToGrid w:val="0"/>
      <w:spacing w:before="100" w:beforeAutospacing="1" w:after="100" w:afterAutospacing="1"/>
      <w:jc w:val="left"/>
    </w:pPr>
    <w:rPr>
      <w:rFonts w:hAnsi="宋体"/>
      <w:color w:val="000000"/>
      <w:sz w:val="28"/>
      <w:szCs w:val="28"/>
    </w:rPr>
  </w:style>
  <w:style w:type="paragraph" w:customStyle="1" w:styleId="330">
    <w:name w:val="列出段落2"/>
    <w:basedOn w:val="1"/>
    <w:autoRedefine/>
    <w:qFormat/>
    <w:uiPriority w:val="99"/>
    <w:pPr>
      <w:ind w:firstLine="420" w:firstLineChars="200"/>
    </w:pPr>
    <w:rPr>
      <w:rFonts w:ascii="Calibri" w:hAnsi="Calibri" w:cs="Calibri"/>
      <w:kern w:val="2"/>
      <w:sz w:val="21"/>
      <w:szCs w:val="21"/>
    </w:rPr>
  </w:style>
  <w:style w:type="paragraph" w:customStyle="1" w:styleId="331">
    <w:name w:val="默认段落字体 Para Char Char Char Char Char Char Char"/>
    <w:basedOn w:val="1"/>
    <w:autoRedefine/>
    <w:qFormat/>
    <w:uiPriority w:val="0"/>
    <w:pPr>
      <w:adjustRightInd w:val="0"/>
      <w:textAlignment w:val="baseline"/>
    </w:pPr>
    <w:rPr>
      <w:rFonts w:ascii="Verdana" w:hAnsi="Verdana"/>
      <w:b/>
      <w:bCs/>
      <w:kern w:val="2"/>
      <w:lang w:eastAsia="en-US"/>
    </w:rPr>
  </w:style>
  <w:style w:type="character" w:customStyle="1" w:styleId="332">
    <w:name w:val="页脚 Char"/>
    <w:basedOn w:val="54"/>
    <w:link w:val="33"/>
    <w:autoRedefine/>
    <w:qFormat/>
    <w:uiPriority w:val="0"/>
    <w:rPr>
      <w:rFonts w:ascii="宋体"/>
      <w:sz w:val="18"/>
      <w:szCs w:val="18"/>
    </w:rPr>
  </w:style>
  <w:style w:type="paragraph" w:customStyle="1" w:styleId="333">
    <w:name w:val="简单回函地址"/>
    <w:basedOn w:val="1"/>
    <w:autoRedefine/>
    <w:qFormat/>
    <w:uiPriority w:val="0"/>
  </w:style>
  <w:style w:type="character" w:customStyle="1" w:styleId="334">
    <w:name w:val="time01"/>
    <w:basedOn w:val="54"/>
    <w:autoRedefine/>
    <w:qFormat/>
    <w:uiPriority w:val="0"/>
    <w:rPr>
      <w:color w:val="999999"/>
    </w:rPr>
  </w:style>
  <w:style w:type="character" w:customStyle="1" w:styleId="335">
    <w:name w:val="order"/>
    <w:basedOn w:val="54"/>
    <w:autoRedefine/>
    <w:qFormat/>
    <w:uiPriority w:val="0"/>
  </w:style>
  <w:style w:type="character" w:customStyle="1" w:styleId="336">
    <w:name w:val="order1"/>
    <w:basedOn w:val="54"/>
    <w:autoRedefine/>
    <w:qFormat/>
    <w:uiPriority w:val="0"/>
  </w:style>
  <w:style w:type="character" w:customStyle="1" w:styleId="337">
    <w:name w:val="xmt"/>
    <w:basedOn w:val="54"/>
    <w:autoRedefine/>
    <w:qFormat/>
    <w:uiPriority w:val="0"/>
  </w:style>
  <w:style w:type="character" w:customStyle="1" w:styleId="338">
    <w:name w:val="cur"/>
    <w:basedOn w:val="54"/>
    <w:autoRedefine/>
    <w:qFormat/>
    <w:uiPriority w:val="0"/>
    <w:rPr>
      <w:color w:val="06355B"/>
    </w:rPr>
  </w:style>
  <w:style w:type="character" w:customStyle="1" w:styleId="339">
    <w:name w:val="cur1"/>
    <w:basedOn w:val="54"/>
    <w:autoRedefine/>
    <w:qFormat/>
    <w:uiPriority w:val="0"/>
    <w:rPr>
      <w:color w:val="06355B"/>
    </w:rPr>
  </w:style>
  <w:style w:type="character" w:customStyle="1" w:styleId="340">
    <w:name w:val="cur2"/>
    <w:basedOn w:val="54"/>
    <w:autoRedefine/>
    <w:qFormat/>
    <w:uiPriority w:val="0"/>
    <w:rPr>
      <w:color w:val="00558E"/>
    </w:rPr>
  </w:style>
  <w:style w:type="character" w:customStyle="1" w:styleId="341">
    <w:name w:val="cur3"/>
    <w:basedOn w:val="54"/>
    <w:autoRedefine/>
    <w:qFormat/>
    <w:uiPriority w:val="0"/>
    <w:rPr>
      <w:color w:val="FFFFFF"/>
      <w:shd w:val="clear" w:color="auto" w:fill="4B97D0"/>
    </w:rPr>
  </w:style>
  <w:style w:type="character" w:customStyle="1" w:styleId="342">
    <w:name w:val="cur4"/>
    <w:basedOn w:val="54"/>
    <w:autoRedefine/>
    <w:qFormat/>
    <w:uiPriority w:val="0"/>
    <w:rPr>
      <w:color w:val="555555"/>
    </w:rPr>
  </w:style>
  <w:style w:type="character" w:customStyle="1" w:styleId="343">
    <w:name w:val="cur5"/>
    <w:basedOn w:val="54"/>
    <w:autoRedefine/>
    <w:qFormat/>
    <w:uiPriority w:val="0"/>
    <w:rPr>
      <w:color w:val="555555"/>
    </w:rPr>
  </w:style>
  <w:style w:type="character" w:customStyle="1" w:styleId="344">
    <w:name w:val="cur6"/>
    <w:basedOn w:val="54"/>
    <w:autoRedefine/>
    <w:qFormat/>
    <w:uiPriority w:val="0"/>
    <w:rPr>
      <w:color w:val="146EAA"/>
    </w:rPr>
  </w:style>
  <w:style w:type="character" w:customStyle="1" w:styleId="345">
    <w:name w:val="tsjb"/>
    <w:basedOn w:val="54"/>
    <w:autoRedefine/>
    <w:qFormat/>
    <w:uiPriority w:val="0"/>
  </w:style>
  <w:style w:type="character" w:customStyle="1" w:styleId="346">
    <w:name w:val="wsxf"/>
    <w:basedOn w:val="54"/>
    <w:autoRedefine/>
    <w:qFormat/>
    <w:uiPriority w:val="0"/>
  </w:style>
  <w:style w:type="character" w:customStyle="1" w:styleId="347">
    <w:name w:val="hover25"/>
    <w:basedOn w:val="54"/>
    <w:autoRedefine/>
    <w:qFormat/>
    <w:uiPriority w:val="0"/>
    <w:rPr>
      <w:color w:val="FFFFFF"/>
      <w:shd w:val="clear" w:color="auto" w:fill="4B97D0"/>
    </w:rPr>
  </w:style>
  <w:style w:type="character" w:customStyle="1" w:styleId="348">
    <w:name w:val="last-child"/>
    <w:basedOn w:val="54"/>
    <w:autoRedefine/>
    <w:qFormat/>
    <w:uiPriority w:val="0"/>
  </w:style>
  <w:style w:type="character" w:customStyle="1" w:styleId="349">
    <w:name w:val="active1"/>
    <w:basedOn w:val="54"/>
    <w:autoRedefine/>
    <w:qFormat/>
    <w:uiPriority w:val="0"/>
    <w:rPr>
      <w:color w:val="146EAA"/>
    </w:rPr>
  </w:style>
  <w:style w:type="character" w:customStyle="1" w:styleId="350">
    <w:name w:val="font01"/>
    <w:basedOn w:val="54"/>
    <w:autoRedefine/>
    <w:qFormat/>
    <w:uiPriority w:val="0"/>
    <w:rPr>
      <w:rFonts w:hint="default" w:ascii="Tahoma" w:hAnsi="Tahoma" w:eastAsia="Tahoma" w:cs="Tahoma"/>
      <w:color w:val="000000"/>
      <w:sz w:val="22"/>
      <w:szCs w:val="22"/>
      <w:u w:val="none"/>
    </w:rPr>
  </w:style>
  <w:style w:type="character" w:customStyle="1" w:styleId="351">
    <w:name w:val="Default Char"/>
    <w:link w:val="71"/>
    <w:autoRedefine/>
    <w:qFormat/>
    <w:uiPriority w:val="0"/>
    <w:rPr>
      <w:color w:val="000000"/>
      <w:sz w:val="24"/>
      <w:szCs w:val="24"/>
    </w:rPr>
  </w:style>
  <w:style w:type="paragraph" w:customStyle="1" w:styleId="352">
    <w:name w:val="WPSOffice手动目录 1"/>
    <w:autoRedefine/>
    <w:qFormat/>
    <w:uiPriority w:val="0"/>
    <w:pPr>
      <w:ind w:leftChars="0"/>
    </w:pPr>
    <w:rPr>
      <w:rFonts w:ascii="Times New Roman" w:hAnsi="Times New Roman" w:eastAsia="宋体" w:cs="Times New Roman"/>
      <w:sz w:val="20"/>
      <w:szCs w:val="20"/>
    </w:rPr>
  </w:style>
  <w:style w:type="paragraph" w:customStyle="1" w:styleId="353">
    <w:name w:val="WPSOffice手动目录 2"/>
    <w:autoRedefine/>
    <w:qFormat/>
    <w:uiPriority w:val="0"/>
    <w:pPr>
      <w:ind w:leftChars="200"/>
    </w:pPr>
    <w:rPr>
      <w:rFonts w:ascii="Times New Roman" w:hAnsi="Times New Roman" w:eastAsia="宋体" w:cs="Times New Roman"/>
      <w:sz w:val="20"/>
      <w:szCs w:val="20"/>
    </w:rPr>
  </w:style>
  <w:style w:type="paragraph" w:customStyle="1" w:styleId="354">
    <w:name w:val="WPSOffice手动目录 3"/>
    <w:autoRedefine/>
    <w:qFormat/>
    <w:uiPriority w:val="0"/>
    <w:pPr>
      <w:ind w:leftChars="400"/>
    </w:pPr>
    <w:rPr>
      <w:rFonts w:ascii="Times New Roman" w:hAnsi="Times New Roman" w:eastAsia="宋体" w:cs="Times New Roman"/>
      <w:sz w:val="20"/>
      <w:szCs w:val="20"/>
    </w:rPr>
  </w:style>
  <w:style w:type="paragraph" w:customStyle="1" w:styleId="355">
    <w:name w:val="Table Paragraph"/>
    <w:basedOn w:val="1"/>
    <w:qFormat/>
    <w:uiPriority w:val="1"/>
    <w:pPr>
      <w:jc w:val="left"/>
    </w:pPr>
    <w:rPr>
      <w:rFonts w:ascii="Calibri" w:hAnsi="Calibri" w:eastAsia="宋体" w:cs="Times New Roman"/>
      <w:kern w:val="0"/>
      <w:sz w:val="22"/>
      <w:szCs w:val="22"/>
      <w:lang w:eastAsia="en-US"/>
    </w:rPr>
  </w:style>
  <w:style w:type="paragraph" w:customStyle="1" w:styleId="356">
    <w:name w:val="填表5"/>
    <w:basedOn w:val="1"/>
    <w:next w:val="1"/>
    <w:qFormat/>
    <w:uiPriority w:val="0"/>
    <w:pPr>
      <w:spacing w:line="300" w:lineRule="exact"/>
      <w:jc w:val="left"/>
    </w:pPr>
    <w:rPr>
      <w:rFonts w:ascii="宋体"/>
      <w:sz w:val="24"/>
      <w:szCs w:val="21"/>
    </w:rPr>
  </w:style>
  <w:style w:type="paragraph" w:customStyle="1" w:styleId="357">
    <w:name w:val="填表5行距12磅"/>
    <w:basedOn w:val="356"/>
    <w:qFormat/>
    <w:uiPriority w:val="0"/>
    <w:pPr>
      <w:spacing w:line="240" w:lineRule="exact"/>
    </w:pPr>
    <w:rPr>
      <w:rFonts w:cs="宋体"/>
      <w:sz w:val="21"/>
      <w:szCs w:val="20"/>
    </w:rPr>
  </w:style>
  <w:style w:type="paragraph" w:customStyle="1" w:styleId="358">
    <w:name w:val="Table Text"/>
    <w:basedOn w:val="1"/>
    <w:autoRedefine/>
    <w:semiHidden/>
    <w:qFormat/>
    <w:uiPriority w:val="0"/>
    <w:rPr>
      <w:rFonts w:ascii="宋体" w:hAnsi="宋体" w:eastAsia="宋体" w:cs="宋体"/>
      <w:sz w:val="21"/>
      <w:szCs w:val="21"/>
      <w:lang w:val="en-US" w:eastAsia="en-US" w:bidi="ar-SA"/>
    </w:rPr>
  </w:style>
  <w:style w:type="table" w:customStyle="1" w:styleId="359">
    <w:name w:val="Table Normal"/>
    <w:autoRedefine/>
    <w:semiHidden/>
    <w:unhideWhenUsed/>
    <w:qFormat/>
    <w:uiPriority w:val="0"/>
    <w:tblPr>
      <w:tblCellMar>
        <w:top w:w="0" w:type="dxa"/>
        <w:left w:w="0" w:type="dxa"/>
        <w:bottom w:w="0" w:type="dxa"/>
        <w:right w:w="0" w:type="dxa"/>
      </w:tblCellMar>
    </w:tblPr>
  </w:style>
  <w:style w:type="paragraph" w:customStyle="1" w:styleId="360">
    <w:name w:val="样式 样式 样式 小四 首行缩进:  2.25 字符 + 首行缩进:  2.25 字符 + 首行缩进:  2 字符"/>
    <w:basedOn w:val="361"/>
    <w:qFormat/>
    <w:uiPriority w:val="0"/>
  </w:style>
  <w:style w:type="paragraph" w:customStyle="1" w:styleId="361">
    <w:name w:val="样式 样式 小四 首行缩进:  2.25 字符 + 首行缩进:  2.25 字符"/>
    <w:basedOn w:val="362"/>
    <w:qFormat/>
    <w:uiPriority w:val="0"/>
  </w:style>
  <w:style w:type="paragraph" w:customStyle="1" w:styleId="362">
    <w:name w:val="样式 小四 首行缩进:  2.25 字符"/>
    <w:basedOn w:val="1"/>
    <w:qFormat/>
    <w:uiPriority w:val="0"/>
    <w:pPr>
      <w:spacing w:line="440" w:lineRule="exact"/>
      <w:ind w:firstLine="200" w:firstLineChars="200"/>
    </w:pPr>
    <w:rPr>
      <w:rFonts w:ascii="Times New Roman"/>
    </w:rPr>
  </w:style>
  <w:style w:type="character" w:customStyle="1" w:styleId="363">
    <w:name w:val="NormalCharacter"/>
    <w:link w:val="1"/>
    <w:semiHidden/>
    <w:qFormat/>
    <w:uiPriority w:val="0"/>
    <w:rPr>
      <w:rFonts w:ascii="宋体" w:hAnsi="Times New Roman" w:eastAsia="宋体" w:cs="Times New Roman"/>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18.jpeg"/><Relationship Id="rId27" Type="http://schemas.openxmlformats.org/officeDocument/2006/relationships/image" Target="media/image17.jpeg"/><Relationship Id="rId26" Type="http://schemas.openxmlformats.org/officeDocument/2006/relationships/image" Target="media/image16.jpeg"/><Relationship Id="rId25" Type="http://schemas.openxmlformats.org/officeDocument/2006/relationships/image" Target="media/image15.jpeg"/><Relationship Id="rId24" Type="http://schemas.openxmlformats.org/officeDocument/2006/relationships/image" Target="media/image14.jpeg"/><Relationship Id="rId23" Type="http://schemas.openxmlformats.org/officeDocument/2006/relationships/image" Target="media/image13.jpeg"/><Relationship Id="rId22" Type="http://schemas.openxmlformats.org/officeDocument/2006/relationships/image" Target="media/image12.jpeg"/><Relationship Id="rId21" Type="http://schemas.openxmlformats.org/officeDocument/2006/relationships/image" Target="media/image11.jpeg"/><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image" Target="media/image9.jpeg"/><Relationship Id="rId18" Type="http://schemas.openxmlformats.org/officeDocument/2006/relationships/image" Target="media/image8.jpeg"/><Relationship Id="rId17" Type="http://schemas.openxmlformats.org/officeDocument/2006/relationships/image" Target="media/image7.jpe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extobjs>
    <extobj name="F360BE8B-6686-4F3D-AEAF-501FE73E4058-1">
      <extobjdata type="F360BE8B-6686-4F3D-AEAF-501FE73E4058" data="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"/>
    </extobj>
    <extobj name="F360BE8B-6686-4F3D-AEAF-501FE73E4058-2">
      <extobjdata type="F360BE8B-6686-4F3D-AEAF-501FE73E4058" data="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107</Pages>
  <Words>9036</Words>
  <Characters>10726</Characters>
  <Lines>569</Lines>
  <Paragraphs>160</Paragraphs>
  <TotalTime>3</TotalTime>
  <ScaleCrop>false</ScaleCrop>
  <LinksUpToDate>false</LinksUpToDate>
  <CharactersWithSpaces>11309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2012-07-16T07:24:00Z</dcterms:created>
  <dc:creator>微软用户</dc:creator>
  <cp:lastModifiedBy>秋夜</cp:lastModifiedBy>
  <cp:lastPrinted>2021-11-15T10:08:00Z</cp:lastPrinted>
  <dcterms:modified xsi:type="dcterms:W3CDTF">2025-05-28T08:15:32Z</dcterms:modified>
  <dc:title>编号：BSMS(QT)AP-2014-002（全中涂色部分为还需修改部分）</dc:title>
  <cp:revision>329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0CA2956C58AA485EACEF4DAB45A2BEB8_13</vt:lpwstr>
  </property>
  <property fmtid="{D5CDD505-2E9C-101B-9397-08002B2CF9AE}" pid="4" name="KSOTemplateDocerSaveRecord">
    <vt:lpwstr>eyJoZGlkIjoiZjFmZWIzNDg2MmIzZjExOTIzMmViNTBmYTMwYTk0ZWYiLCJ1c2VySWQiOiI4MDAwNTQ5MTIifQ==</vt:lpwstr>
  </property>
</Properties>
</file>