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29559">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lang w:eastAsia="zh-CN"/>
        </w:rPr>
      </w:pPr>
      <w:r>
        <w:rPr>
          <w:rFonts w:hint="eastAsia"/>
          <w:lang w:eastAsia="zh-CN"/>
        </w:rPr>
        <w:t>附件</w:t>
      </w:r>
      <w:r>
        <w:rPr>
          <w:rFonts w:hint="eastAsia"/>
          <w:lang w:val="en-US" w:eastAsia="zh-CN"/>
        </w:rPr>
        <w:t xml:space="preserve"> </w:t>
      </w:r>
      <w:r>
        <w:rPr>
          <w:rFonts w:hint="eastAsia"/>
          <w:lang w:eastAsia="zh-CN"/>
        </w:rPr>
        <w:t>现场勘查记录</w:t>
      </w:r>
    </w:p>
    <w:p w14:paraId="2EEE4CEA">
      <w:pPr>
        <w:keepNext w:val="0"/>
        <w:keepLines w:val="0"/>
        <w:pageBreakBefore w:val="0"/>
        <w:widowControl w:val="0"/>
        <w:kinsoku/>
        <w:wordWrap/>
        <w:overflowPunct/>
        <w:topLinePunct w:val="0"/>
        <w:autoSpaceDE/>
        <w:autoSpaceDN/>
        <w:bidi w:val="0"/>
        <w:adjustRightInd w:val="0"/>
        <w:snapToGrid w:val="0"/>
        <w:spacing w:before="313" w:beforeLines="100" w:after="157" w:afterLines="50"/>
        <w:jc w:val="center"/>
        <w:textAlignment w:val="auto"/>
        <w:rPr>
          <w:rFonts w:hint="eastAsia"/>
        </w:rPr>
      </w:pPr>
      <w:r>
        <w:rPr>
          <w:rFonts w:hint="eastAsia"/>
          <w:b/>
          <w:bCs/>
          <w:sz w:val="44"/>
          <w:szCs w:val="44"/>
        </w:rPr>
        <w:t>项目组长任命书</w:t>
      </w:r>
    </w:p>
    <w:p w14:paraId="69A45FB3">
      <w:pPr>
        <w:ind w:firstLine="560" w:firstLineChars="200"/>
        <w:rPr>
          <w:rFonts w:hint="eastAsia" w:ascii="宋体" w:hAnsi="宋体" w:eastAsia="宋体" w:cs="宋体"/>
          <w:sz w:val="28"/>
          <w:szCs w:val="28"/>
        </w:rPr>
      </w:pPr>
      <w:r>
        <w:rPr>
          <w:rFonts w:hint="eastAsia" w:ascii="宋体" w:hAnsi="宋体" w:eastAsia="宋体" w:cs="宋体"/>
          <w:sz w:val="28"/>
          <w:szCs w:val="28"/>
        </w:rPr>
        <w:t>根据有关法律、法规及本项目服务《合同书》《委托书》及本机构过程控制手册的工作程序与授权办法，现对开展本项目工作的负责人进行任命及授权。</w:t>
      </w:r>
    </w:p>
    <w:p w14:paraId="394CE228">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一、</w:t>
      </w:r>
      <w:r>
        <w:rPr>
          <w:rFonts w:hint="eastAsia" w:ascii="宋体" w:hAnsi="宋体" w:eastAsia="宋体" w:cs="宋体"/>
          <w:sz w:val="28"/>
          <w:szCs w:val="28"/>
        </w:rPr>
        <w:t>任命</w:t>
      </w:r>
    </w:p>
    <w:p w14:paraId="77B1DBD7">
      <w:pPr>
        <w:ind w:firstLine="560" w:firstLineChars="200"/>
        <w:rPr>
          <w:rFonts w:hint="eastAsia" w:ascii="宋体" w:hAnsi="宋体" w:eastAsia="宋体" w:cs="宋体"/>
          <w:sz w:val="28"/>
          <w:szCs w:val="28"/>
        </w:rPr>
      </w:pPr>
      <w:r>
        <w:rPr>
          <w:rFonts w:hint="eastAsia" w:ascii="宋体" w:hAnsi="宋体" w:eastAsia="宋体" w:cs="宋体"/>
          <w:sz w:val="28"/>
          <w:szCs w:val="28"/>
        </w:rPr>
        <w:t>现任命</w:t>
      </w:r>
      <w:r>
        <w:rPr>
          <w:rFonts w:hint="eastAsia" w:ascii="宋体" w:hAnsi="宋体" w:eastAsia="宋体" w:cs="宋体"/>
          <w:sz w:val="28"/>
          <w:szCs w:val="28"/>
          <w:u w:val="single"/>
        </w:rPr>
        <w:t>李毅雄</w:t>
      </w:r>
      <w:r>
        <w:rPr>
          <w:rFonts w:hint="eastAsia" w:ascii="宋体" w:hAnsi="宋体" w:eastAsia="宋体" w:cs="宋体"/>
          <w:sz w:val="28"/>
          <w:szCs w:val="28"/>
        </w:rPr>
        <w:t>同志，担任</w:t>
      </w:r>
      <w:r>
        <w:rPr>
          <w:rFonts w:hint="eastAsia" w:ascii="宋体" w:hAnsi="宋体" w:eastAsia="宋体" w:cs="宋体"/>
          <w:sz w:val="28"/>
          <w:szCs w:val="28"/>
          <w:u w:val="single"/>
          <w:lang w:eastAsia="zh-CN"/>
        </w:rPr>
        <w:t>陆良县亿达加油有限公司沙林大道中段加油站</w:t>
      </w:r>
      <w:r>
        <w:rPr>
          <w:rFonts w:hint="eastAsia" w:ascii="宋体" w:hAnsi="宋体" w:eastAsia="宋体" w:cs="宋体"/>
          <w:sz w:val="28"/>
          <w:szCs w:val="28"/>
          <w:u w:val="single"/>
        </w:rPr>
        <w:t>安全</w:t>
      </w:r>
      <w:r>
        <w:rPr>
          <w:rFonts w:hint="eastAsia" w:ascii="宋体" w:hAnsi="宋体" w:eastAsia="宋体" w:cs="宋体"/>
          <w:sz w:val="28"/>
          <w:szCs w:val="28"/>
          <w:u w:val="single"/>
          <w:lang w:val="en-US" w:eastAsia="zh-CN"/>
        </w:rPr>
        <w:t>设施竣工验收</w:t>
      </w:r>
      <w:r>
        <w:rPr>
          <w:rFonts w:hint="eastAsia" w:ascii="宋体" w:hAnsi="宋体" w:eastAsia="宋体" w:cs="宋体"/>
          <w:sz w:val="28"/>
          <w:szCs w:val="28"/>
          <w:u w:val="single"/>
        </w:rPr>
        <w:t>评价报告</w:t>
      </w:r>
      <w:r>
        <w:rPr>
          <w:rFonts w:hint="eastAsia" w:ascii="宋体" w:hAnsi="宋体" w:eastAsia="宋体" w:cs="宋体"/>
          <w:sz w:val="28"/>
          <w:szCs w:val="28"/>
        </w:rPr>
        <w:t>项目组长。</w:t>
      </w:r>
    </w:p>
    <w:p w14:paraId="2480BD14">
      <w:pPr>
        <w:ind w:firstLine="560" w:firstLineChars="200"/>
        <w:rPr>
          <w:rFonts w:hint="eastAsia" w:ascii="宋体" w:hAnsi="宋体" w:eastAsia="宋体" w:cs="宋体"/>
          <w:sz w:val="28"/>
          <w:szCs w:val="28"/>
        </w:rPr>
      </w:pPr>
      <w:r>
        <w:rPr>
          <w:rFonts w:hint="eastAsia" w:ascii="宋体" w:hAnsi="宋体" w:eastAsia="宋体" w:cs="宋体"/>
          <w:sz w:val="28"/>
          <w:szCs w:val="28"/>
        </w:rPr>
        <w:t>二、授权范围</w:t>
      </w:r>
    </w:p>
    <w:p w14:paraId="1054078E">
      <w:pPr>
        <w:ind w:firstLine="560" w:firstLineChars="200"/>
        <w:rPr>
          <w:rFonts w:hint="eastAsia" w:ascii="宋体" w:hAnsi="宋体" w:eastAsia="宋体" w:cs="宋体"/>
          <w:sz w:val="28"/>
          <w:szCs w:val="28"/>
        </w:rPr>
      </w:pPr>
      <w:r>
        <w:rPr>
          <w:rFonts w:hint="eastAsia" w:ascii="宋体" w:hAnsi="宋体" w:eastAsia="宋体" w:cs="宋体"/>
          <w:sz w:val="28"/>
          <w:szCs w:val="28"/>
        </w:rPr>
        <w:t>1、负责主持该项目小组的组建及工作开展，行使组内人员配置:任务安排、资金使用、设备使用及管理权。</w:t>
      </w:r>
    </w:p>
    <w:p w14:paraId="76482D27">
      <w:pPr>
        <w:ind w:firstLine="560" w:firstLineChars="200"/>
        <w:rPr>
          <w:rFonts w:hint="eastAsia" w:ascii="宋体" w:hAnsi="宋体" w:eastAsia="宋体" w:cs="宋体"/>
          <w:sz w:val="28"/>
          <w:szCs w:val="28"/>
        </w:rPr>
      </w:pPr>
      <w:r>
        <w:rPr>
          <w:rFonts w:hint="eastAsia" w:ascii="宋体" w:hAnsi="宋体" w:eastAsia="宋体" w:cs="宋体"/>
          <w:sz w:val="28"/>
          <w:szCs w:val="28"/>
        </w:rPr>
        <w:t>2、负责制定项目工作计划，对服务项目作出开展、暂停、终止的意见。涉及重大隐患的及时向机构报告，并提出小组倾向意见。</w:t>
      </w:r>
    </w:p>
    <w:p w14:paraId="283E1CC6">
      <w:pPr>
        <w:ind w:firstLine="560" w:firstLineChars="200"/>
        <w:rPr>
          <w:rFonts w:hint="eastAsia" w:ascii="宋体" w:hAnsi="宋体" w:eastAsia="宋体" w:cs="宋体"/>
          <w:sz w:val="28"/>
          <w:szCs w:val="28"/>
        </w:rPr>
      </w:pPr>
      <w:r>
        <w:rPr>
          <w:rFonts w:hint="eastAsia" w:ascii="宋体" w:hAnsi="宋体" w:eastAsia="宋体" w:cs="宋体"/>
          <w:sz w:val="28"/>
          <w:szCs w:val="28"/>
        </w:rPr>
        <w:t>3、负责安排对项目委托单位的意见交换、咨询、提供对策措施等服务工作。</w:t>
      </w:r>
    </w:p>
    <w:p w14:paraId="5884EA7F">
      <w:pPr>
        <w:ind w:firstLine="560" w:firstLineChars="200"/>
        <w:rPr>
          <w:rFonts w:hint="eastAsia" w:ascii="宋体" w:hAnsi="宋体" w:eastAsia="宋体" w:cs="宋体"/>
          <w:sz w:val="28"/>
          <w:szCs w:val="28"/>
        </w:rPr>
      </w:pPr>
      <w:r>
        <w:rPr>
          <w:rFonts w:hint="eastAsia" w:ascii="宋体" w:hAnsi="宋体" w:eastAsia="宋体" w:cs="宋体"/>
          <w:sz w:val="28"/>
          <w:szCs w:val="28"/>
        </w:rPr>
        <w:t>4、负责对项目组提交的报告给出总体结论及对策措施与建议</w:t>
      </w:r>
      <w:r>
        <w:rPr>
          <w:rFonts w:hint="eastAsia" w:ascii="宋体" w:hAnsi="宋体" w:eastAsia="宋体" w:cs="宋体"/>
          <w:sz w:val="28"/>
          <w:szCs w:val="28"/>
          <w:lang w:eastAsia="zh-CN"/>
        </w:rPr>
        <w:t>。</w:t>
      </w:r>
    </w:p>
    <w:p w14:paraId="086BE9B4">
      <w:pPr>
        <w:ind w:firstLine="562" w:firstLineChars="200"/>
        <w:rPr>
          <w:rFonts w:hint="eastAsia" w:ascii="宋体" w:hAnsi="宋体" w:eastAsia="宋体" w:cs="宋体"/>
          <w:b/>
          <w:bCs/>
          <w:sz w:val="28"/>
          <w:szCs w:val="28"/>
          <w:lang w:val="en-US" w:eastAsia="zh-CN"/>
        </w:rPr>
      </w:pPr>
    </w:p>
    <w:p w14:paraId="26E53DDA">
      <w:pPr>
        <w:ind w:firstLine="560" w:firstLineChars="200"/>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特</w:t>
      </w:r>
      <w:r>
        <w:rPr>
          <w:rFonts w:hint="eastAsia" w:ascii="宋体" w:hAnsi="宋体" w:eastAsia="宋体" w:cs="宋体"/>
          <w:b w:val="0"/>
          <w:bCs w:val="0"/>
          <w:sz w:val="28"/>
          <w:szCs w:val="28"/>
        </w:rPr>
        <w:t>此任命</w:t>
      </w:r>
    </w:p>
    <w:p w14:paraId="2B87D71C">
      <w:pPr>
        <w:ind w:firstLine="5040" w:firstLineChars="1800"/>
        <w:rPr>
          <w:rFonts w:hint="eastAsia" w:ascii="宋体" w:hAnsi="宋体" w:eastAsia="宋体" w:cs="宋体"/>
          <w:b w:val="0"/>
          <w:bCs w:val="0"/>
          <w:sz w:val="28"/>
          <w:szCs w:val="28"/>
        </w:rPr>
      </w:pPr>
    </w:p>
    <w:p w14:paraId="1D735FC1">
      <w:pPr>
        <w:ind w:firstLine="5040" w:firstLineChars="1800"/>
        <w:rPr>
          <w:rFonts w:hint="eastAsia" w:ascii="宋体" w:hAnsi="宋体" w:eastAsia="宋体" w:cs="宋体"/>
          <w:b w:val="0"/>
          <w:bCs w:val="0"/>
          <w:sz w:val="28"/>
          <w:szCs w:val="28"/>
        </w:rPr>
      </w:pPr>
      <w:r>
        <w:rPr>
          <w:rFonts w:hint="eastAsia" w:ascii="宋体" w:hAnsi="宋体" w:eastAsia="宋体" w:cs="宋体"/>
          <w:b w:val="0"/>
          <w:bCs w:val="0"/>
          <w:sz w:val="28"/>
          <w:szCs w:val="28"/>
        </w:rPr>
        <w:t>202</w:t>
      </w: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rPr>
        <w:t>年</w:t>
      </w:r>
      <w:r>
        <w:rPr>
          <w:rFonts w:hint="eastAsia" w:ascii="宋体" w:hAnsi="宋体" w:cs="宋体"/>
          <w:b w:val="0"/>
          <w:bCs w:val="0"/>
          <w:sz w:val="28"/>
          <w:szCs w:val="28"/>
          <w:lang w:val="en-US" w:eastAsia="zh-CN"/>
        </w:rPr>
        <w:t>1</w:t>
      </w:r>
      <w:r>
        <w:rPr>
          <w:rFonts w:hint="eastAsia" w:ascii="宋体" w:hAnsi="宋体" w:eastAsia="宋体" w:cs="宋体"/>
          <w:b w:val="0"/>
          <w:bCs w:val="0"/>
          <w:sz w:val="28"/>
          <w:szCs w:val="28"/>
        </w:rPr>
        <w:t>月</w:t>
      </w:r>
      <w:r>
        <w:rPr>
          <w:rFonts w:hint="eastAsia" w:ascii="宋体" w:hAnsi="宋体" w:cs="宋体"/>
          <w:b w:val="0"/>
          <w:bCs w:val="0"/>
          <w:sz w:val="28"/>
          <w:szCs w:val="28"/>
          <w:lang w:val="en-US" w:eastAsia="zh-CN"/>
        </w:rPr>
        <w:t>5</w:t>
      </w:r>
      <w:r>
        <w:rPr>
          <w:rFonts w:hint="eastAsia" w:ascii="宋体" w:hAnsi="宋体" w:eastAsia="宋体" w:cs="宋体"/>
          <w:b w:val="0"/>
          <w:bCs w:val="0"/>
          <w:sz w:val="28"/>
          <w:szCs w:val="28"/>
        </w:rPr>
        <w:t>日</w:t>
      </w:r>
    </w:p>
    <w:p w14:paraId="5A720142"/>
    <w:p w14:paraId="1120A5C8">
      <w:pPr>
        <w:bidi w:val="0"/>
        <w:rPr>
          <w:rFonts w:ascii="Times New Roman" w:hAnsi="Times New Roman" w:eastAsia="宋体" w:cs="Times New Roman"/>
          <w:kern w:val="2"/>
          <w:sz w:val="28"/>
          <w:szCs w:val="24"/>
          <w:lang w:val="en-US" w:eastAsia="zh-CN" w:bidi="ar-SA"/>
        </w:rPr>
      </w:pPr>
    </w:p>
    <w:p w14:paraId="09AAA160">
      <w:pPr>
        <w:bidi w:val="0"/>
        <w:rPr>
          <w:lang w:val="en-US" w:eastAsia="zh-CN"/>
        </w:rPr>
      </w:pPr>
    </w:p>
    <w:p w14:paraId="722A2B61">
      <w:pPr>
        <w:bidi w:val="0"/>
        <w:rPr>
          <w:lang w:val="en-US" w:eastAsia="zh-CN"/>
        </w:rPr>
      </w:pPr>
    </w:p>
    <w:p w14:paraId="212B187B">
      <w:pPr>
        <w:bidi w:val="0"/>
        <w:rPr>
          <w:lang w:val="en-US" w:eastAsia="zh-CN"/>
        </w:rPr>
      </w:pPr>
    </w:p>
    <w:p w14:paraId="5C853BFB">
      <w:pPr>
        <w:bidi w:val="0"/>
        <w:rPr>
          <w:lang w:val="en-US" w:eastAsia="zh-CN"/>
        </w:rPr>
      </w:pPr>
    </w:p>
    <w:p w14:paraId="48756681">
      <w:pPr>
        <w:bidi w:val="0"/>
        <w:rPr>
          <w:lang w:val="en-US" w:eastAsia="zh-CN"/>
        </w:rPr>
      </w:pPr>
    </w:p>
    <w:p w14:paraId="5E4C3E86">
      <w:pPr>
        <w:bidi w:val="0"/>
        <w:rPr>
          <w:lang w:val="en-US" w:eastAsia="zh-CN"/>
        </w:rPr>
      </w:pPr>
    </w:p>
    <w:p w14:paraId="0C78DA0E">
      <w:pPr>
        <w:bidi w:val="0"/>
        <w:jc w:val="left"/>
        <w:rPr>
          <w:rFonts w:hint="eastAsia" w:ascii="宋体" w:hAnsi="宋体" w:eastAsia="宋体" w:cs="宋体"/>
          <w:b/>
          <w:bCs/>
          <w:lang w:val="en-US" w:eastAsia="zh-CN"/>
        </w:rPr>
      </w:pPr>
      <w:r>
        <w:rPr>
          <w:rFonts w:hint="eastAsia" w:ascii="宋体" w:hAnsi="宋体" w:eastAsia="宋体" w:cs="宋体"/>
          <w:b/>
          <w:bCs/>
          <w:lang w:val="en-US" w:eastAsia="zh-CN"/>
        </w:rPr>
        <w:t>加油站平面布置</w:t>
      </w:r>
    </w:p>
    <w:p w14:paraId="416A7325">
      <w:pPr>
        <w:snapToGrid/>
        <w:spacing w:line="360" w:lineRule="auto"/>
        <w:ind w:firstLine="560"/>
        <w:jc w:val="left"/>
        <w:rPr>
          <w:rFonts w:hint="default" w:ascii="宋体" w:hAnsi="宋体" w:eastAsia="宋体" w:cs="宋体"/>
          <w:sz w:val="28"/>
          <w:szCs w:val="28"/>
          <w:u w:val="single"/>
          <w:lang w:val="en-US" w:eastAsia="zh-CN"/>
        </w:rPr>
      </w:pPr>
      <w:r>
        <w:rPr>
          <w:rFonts w:hint="eastAsia" w:ascii="宋体" w:hAnsi="宋体" w:eastAsia="宋体" w:cs="宋体"/>
          <w:sz w:val="28"/>
          <w:szCs w:val="28"/>
          <w:u w:val="single"/>
          <w:lang w:val="en-US" w:eastAsia="zh-CN"/>
        </w:rPr>
        <w:t xml:space="preserve"> </w:t>
      </w:r>
      <w:r>
        <w:rPr>
          <w:rFonts w:hint="eastAsia" w:ascii="宋体" w:hAnsi="宋体" w:eastAsia="宋体" w:cs="宋体"/>
          <w:color w:val="000000" w:themeColor="text1"/>
          <w:sz w:val="28"/>
          <w:szCs w:val="28"/>
          <w:u w:val="single"/>
          <w14:textFill>
            <w14:solidFill>
              <w14:schemeClr w14:val="tx1"/>
            </w14:solidFill>
          </w14:textFill>
        </w:rPr>
        <w:t>加油站坐</w:t>
      </w:r>
      <w:r>
        <w:rPr>
          <w:rFonts w:hint="eastAsia" w:ascii="宋体" w:hAnsi="宋体" w:eastAsia="宋体" w:cs="宋体"/>
          <w:color w:val="000000" w:themeColor="text1"/>
          <w:sz w:val="28"/>
          <w:szCs w:val="28"/>
          <w:u w:val="single"/>
          <w:lang w:val="en-US" w:eastAsia="zh-CN"/>
          <w14:textFill>
            <w14:solidFill>
              <w14:schemeClr w14:val="tx1"/>
            </w14:solidFill>
          </w14:textFill>
        </w:rPr>
        <w:t>西</w:t>
      </w:r>
      <w:r>
        <w:rPr>
          <w:rFonts w:hint="eastAsia" w:ascii="宋体" w:hAnsi="宋体" w:eastAsia="宋体" w:cs="宋体"/>
          <w:color w:val="000000" w:themeColor="text1"/>
          <w:sz w:val="28"/>
          <w:szCs w:val="28"/>
          <w:u w:val="single"/>
          <w14:textFill>
            <w14:solidFill>
              <w14:schemeClr w14:val="tx1"/>
            </w14:solidFill>
          </w14:textFill>
        </w:rPr>
        <w:t>朝</w:t>
      </w:r>
      <w:r>
        <w:rPr>
          <w:rFonts w:hint="eastAsia" w:ascii="宋体" w:hAnsi="宋体" w:eastAsia="宋体" w:cs="宋体"/>
          <w:color w:val="000000" w:themeColor="text1"/>
          <w:sz w:val="28"/>
          <w:szCs w:val="28"/>
          <w:u w:val="single"/>
          <w:lang w:val="en-US" w:eastAsia="zh-CN"/>
          <w14:textFill>
            <w14:solidFill>
              <w14:schemeClr w14:val="tx1"/>
            </w14:solidFill>
          </w14:textFill>
        </w:rPr>
        <w:t>东</w:t>
      </w:r>
      <w:r>
        <w:rPr>
          <w:rFonts w:hint="eastAsia" w:ascii="宋体" w:hAnsi="宋体" w:eastAsia="宋体" w:cs="宋体"/>
          <w:color w:val="000000" w:themeColor="text1"/>
          <w:sz w:val="28"/>
          <w:szCs w:val="28"/>
          <w:u w:val="single"/>
          <w14:textFill>
            <w14:solidFill>
              <w14:schemeClr w14:val="tx1"/>
            </w14:solidFill>
          </w14:textFill>
        </w:rPr>
        <w:t>布置，总平面布置以加油区为中心，加油区</w:t>
      </w:r>
      <w:r>
        <w:rPr>
          <w:rFonts w:hint="eastAsia" w:ascii="宋体" w:hAnsi="宋体" w:eastAsia="宋体" w:cs="宋体"/>
          <w:color w:val="000000" w:themeColor="text1"/>
          <w:sz w:val="28"/>
          <w:szCs w:val="28"/>
          <w:u w:val="single"/>
          <w:lang w:val="en-US" w:eastAsia="zh-CN"/>
          <w14:textFill>
            <w14:solidFill>
              <w14:schemeClr w14:val="tx1"/>
            </w14:solidFill>
          </w14:textFill>
        </w:rPr>
        <w:t>北面设置站房；</w:t>
      </w:r>
      <w:r>
        <w:rPr>
          <w:rFonts w:hint="eastAsia" w:ascii="宋体" w:hAnsi="宋体" w:eastAsia="宋体" w:cs="宋体"/>
          <w:color w:val="000000" w:themeColor="text1"/>
          <w:sz w:val="28"/>
          <w:szCs w:val="28"/>
          <w:u w:val="single"/>
          <w14:textFill>
            <w14:solidFill>
              <w14:schemeClr w14:val="tx1"/>
            </w14:solidFill>
          </w14:textFill>
        </w:rPr>
        <w:t>加油区东面设置箱式变压器</w:t>
      </w:r>
      <w:r>
        <w:rPr>
          <w:rFonts w:hint="eastAsia" w:ascii="宋体" w:hAnsi="宋体" w:eastAsia="宋体" w:cs="宋体"/>
          <w:color w:val="000000" w:themeColor="text1"/>
          <w:sz w:val="28"/>
          <w:szCs w:val="28"/>
          <w:u w:val="single"/>
          <w:lang w:eastAsia="zh-CN"/>
          <w14:textFill>
            <w14:solidFill>
              <w14:schemeClr w14:val="tx1"/>
            </w14:solidFill>
          </w14:textFill>
        </w:rPr>
        <w:t>、</w:t>
      </w:r>
      <w:r>
        <w:rPr>
          <w:rFonts w:hint="eastAsia" w:ascii="宋体" w:hAnsi="宋体" w:eastAsia="宋体" w:cs="宋体"/>
          <w:color w:val="000000" w:themeColor="text1"/>
          <w:sz w:val="28"/>
          <w:szCs w:val="28"/>
          <w:u w:val="single"/>
          <w:lang w:val="en-US" w:eastAsia="zh-CN"/>
          <w14:textFill>
            <w14:solidFill>
              <w14:schemeClr w14:val="tx1"/>
            </w14:solidFill>
          </w14:textFill>
        </w:rPr>
        <w:t>卸油区</w:t>
      </w:r>
      <w:r>
        <w:rPr>
          <w:rFonts w:hint="eastAsia" w:ascii="宋体" w:hAnsi="宋体" w:eastAsia="宋体" w:cs="宋体"/>
          <w:color w:val="000000" w:themeColor="text1"/>
          <w:sz w:val="28"/>
          <w:szCs w:val="28"/>
          <w:u w:val="single"/>
          <w14:textFill>
            <w14:solidFill>
              <w14:schemeClr w14:val="tx1"/>
            </w14:solidFill>
          </w14:textFill>
        </w:rPr>
        <w:t>、油水分离池；南面面向</w:t>
      </w:r>
      <w:r>
        <w:rPr>
          <w:rFonts w:hint="eastAsia" w:ascii="宋体" w:hAnsi="宋体" w:eastAsia="宋体" w:cs="宋体"/>
          <w:color w:val="000000" w:themeColor="text1"/>
          <w:sz w:val="28"/>
          <w:szCs w:val="28"/>
          <w:u w:val="single"/>
          <w:lang w:val="en-US" w:eastAsia="zh-CN"/>
          <w14:textFill>
            <w14:solidFill>
              <w14:schemeClr w14:val="tx1"/>
            </w14:solidFill>
          </w14:textFill>
        </w:rPr>
        <w:t>天花公</w:t>
      </w:r>
      <w:r>
        <w:rPr>
          <w:rFonts w:hint="eastAsia" w:ascii="宋体" w:hAnsi="宋体" w:eastAsia="宋体" w:cs="宋体"/>
          <w:color w:val="000000" w:themeColor="text1"/>
          <w:sz w:val="28"/>
          <w:szCs w:val="28"/>
          <w:u w:val="single"/>
          <w14:textFill>
            <w14:solidFill>
              <w14:schemeClr w14:val="tx1"/>
            </w14:solidFill>
          </w14:textFill>
        </w:rPr>
        <w:t>一侧设置入口；</w:t>
      </w:r>
      <w:r>
        <w:rPr>
          <w:rFonts w:hint="eastAsia" w:ascii="宋体" w:hAnsi="宋体" w:eastAsia="宋体" w:cs="宋体"/>
          <w:color w:val="000000" w:themeColor="text1"/>
          <w:sz w:val="28"/>
          <w:szCs w:val="28"/>
          <w:u w:val="single"/>
          <w:lang w:val="en-US" w:eastAsia="zh-CN"/>
          <w14:textFill>
            <w14:solidFill>
              <w14:schemeClr w14:val="tx1"/>
            </w14:solidFill>
          </w14:textFill>
        </w:rPr>
        <w:t>南</w:t>
      </w:r>
      <w:r>
        <w:rPr>
          <w:rFonts w:hint="eastAsia" w:ascii="宋体" w:hAnsi="宋体" w:eastAsia="宋体" w:cs="宋体"/>
          <w:color w:val="000000" w:themeColor="text1"/>
          <w:sz w:val="28"/>
          <w:szCs w:val="28"/>
          <w:u w:val="single"/>
          <w14:textFill>
            <w14:solidFill>
              <w14:schemeClr w14:val="tx1"/>
            </w14:solidFill>
          </w14:textFill>
        </w:rPr>
        <w:t>面</w:t>
      </w:r>
      <w:r>
        <w:rPr>
          <w:rFonts w:hint="eastAsia" w:ascii="宋体" w:hAnsi="宋体" w:eastAsia="宋体" w:cs="宋体"/>
          <w:color w:val="000000" w:themeColor="text1"/>
          <w:sz w:val="28"/>
          <w:szCs w:val="28"/>
          <w:u w:val="single"/>
          <w:lang w:val="en-US" w:eastAsia="zh-CN"/>
          <w14:textFill>
            <w14:solidFill>
              <w14:schemeClr w14:val="tx1"/>
            </w14:solidFill>
          </w14:textFill>
        </w:rPr>
        <w:t>一侧</w:t>
      </w:r>
      <w:r>
        <w:rPr>
          <w:rFonts w:hint="eastAsia" w:ascii="宋体" w:hAnsi="宋体" w:eastAsia="宋体" w:cs="宋体"/>
          <w:color w:val="000000" w:themeColor="text1"/>
          <w:sz w:val="28"/>
          <w:szCs w:val="28"/>
          <w:u w:val="single"/>
          <w14:textFill>
            <w14:solidFill>
              <w14:schemeClr w14:val="tx1"/>
            </w14:solidFill>
          </w14:textFill>
        </w:rPr>
        <w:t>设置</w:t>
      </w:r>
      <w:r>
        <w:rPr>
          <w:rFonts w:hint="eastAsia" w:ascii="宋体" w:hAnsi="宋体" w:eastAsia="宋体" w:cs="宋体"/>
          <w:color w:val="000000" w:themeColor="text1"/>
          <w:sz w:val="28"/>
          <w:szCs w:val="28"/>
          <w:u w:val="single"/>
          <w:lang w:val="en-US" w:eastAsia="zh-CN"/>
          <w14:textFill>
            <w14:solidFill>
              <w14:schemeClr w14:val="tx1"/>
            </w14:solidFill>
          </w14:textFill>
        </w:rPr>
        <w:t>出口；南</w:t>
      </w:r>
      <w:r>
        <w:rPr>
          <w:rFonts w:hint="eastAsia" w:ascii="宋体" w:hAnsi="宋体" w:eastAsia="宋体" w:cs="宋体"/>
          <w:color w:val="000000" w:themeColor="text1"/>
          <w:sz w:val="28"/>
          <w:szCs w:val="28"/>
          <w:u w:val="single"/>
          <w14:textFill>
            <w14:solidFill>
              <w14:schemeClr w14:val="tx1"/>
            </w14:solidFill>
          </w14:textFill>
        </w:rPr>
        <w:t>面设置洗车棚</w:t>
      </w:r>
      <w:r>
        <w:rPr>
          <w:rFonts w:hint="eastAsia" w:ascii="宋体" w:hAnsi="宋体" w:eastAsia="宋体" w:cs="宋体"/>
          <w:color w:val="000000" w:themeColor="text1"/>
          <w:sz w:val="28"/>
          <w:szCs w:val="28"/>
          <w:u w:val="single"/>
          <w:lang w:eastAsia="zh-CN"/>
          <w14:textFill>
            <w14:solidFill>
              <w14:schemeClr w14:val="tx1"/>
            </w14:solidFill>
          </w14:textFill>
        </w:rPr>
        <w:t>、</w:t>
      </w:r>
      <w:r>
        <w:rPr>
          <w:rFonts w:hint="eastAsia" w:ascii="宋体" w:hAnsi="宋体" w:eastAsia="宋体" w:cs="宋体"/>
          <w:color w:val="000000" w:themeColor="text1"/>
          <w:sz w:val="28"/>
          <w:szCs w:val="28"/>
          <w:u w:val="single"/>
          <w14:textFill>
            <w14:solidFill>
              <w14:schemeClr w14:val="tx1"/>
            </w14:solidFill>
          </w14:textFill>
        </w:rPr>
        <w:t>油罐区（车行道下）</w:t>
      </w:r>
      <w:r>
        <w:rPr>
          <w:rFonts w:hint="eastAsia" w:ascii="宋体" w:hAnsi="宋体" w:eastAsia="宋体" w:cs="宋体"/>
          <w:color w:val="000000" w:themeColor="text1"/>
          <w:sz w:val="28"/>
          <w:szCs w:val="28"/>
          <w:u w:val="single"/>
          <w:lang w:eastAsia="zh-CN"/>
          <w14:textFill>
            <w14:solidFill>
              <w14:schemeClr w14:val="tx1"/>
            </w14:solidFill>
          </w14:textFill>
        </w:rPr>
        <w:t>。</w:t>
      </w:r>
      <w:r>
        <w:rPr>
          <w:rFonts w:hint="eastAsia" w:ascii="宋体" w:hAnsi="宋体" w:eastAsia="宋体" w:cs="宋体"/>
          <w:color w:val="000000" w:themeColor="text1"/>
          <w:sz w:val="28"/>
          <w:szCs w:val="28"/>
          <w:u w:val="single"/>
          <w14:textFill>
            <w14:solidFill>
              <w14:schemeClr w14:val="tx1"/>
            </w14:solidFill>
          </w14:textFill>
        </w:rPr>
        <w:t>具体</w:t>
      </w:r>
      <w:r>
        <w:rPr>
          <w:rFonts w:hint="eastAsia" w:ascii="宋体" w:hAnsi="宋体" w:eastAsia="宋体" w:cs="宋体"/>
          <w:sz w:val="28"/>
          <w:szCs w:val="28"/>
          <w:u w:val="single"/>
        </w:rPr>
        <w:t>布置如下：</w:t>
      </w:r>
      <w:r>
        <w:rPr>
          <w:rFonts w:hint="eastAsia" w:ascii="宋体" w:hAnsi="宋体" w:eastAsia="宋体" w:cs="宋体"/>
          <w:sz w:val="28"/>
          <w:szCs w:val="28"/>
          <w:u w:val="single"/>
          <w:lang w:val="en-US" w:eastAsia="zh-CN"/>
        </w:rPr>
        <w:t xml:space="preserve">                                                               </w:t>
      </w:r>
    </w:p>
    <w:tbl>
      <w:tblPr>
        <w:tblStyle w:val="4"/>
        <w:tblW w:w="0" w:type="auto"/>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0"/>
      </w:tblGrid>
      <w:tr w14:paraId="476F6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4" w:hRule="atLeast"/>
        </w:trPr>
        <w:tc>
          <w:tcPr>
            <w:tcW w:w="7910" w:type="dxa"/>
            <w:noWrap w:val="0"/>
            <w:vAlign w:val="top"/>
          </w:tcPr>
          <w:p w14:paraId="3ED5B921">
            <w:pPr>
              <w:autoSpaceDE w:val="0"/>
              <w:autoSpaceDN w:val="0"/>
              <w:adjustRightInd w:val="0"/>
              <w:spacing w:line="360" w:lineRule="auto"/>
              <w:ind w:firstLine="3220" w:firstLineChars="1150"/>
              <w:jc w:val="both"/>
              <w:rPr>
                <w:rFonts w:hint="eastAsia" w:ascii="宋体" w:hAnsi="宋体"/>
                <w:kern w:val="0"/>
                <w:szCs w:val="21"/>
              </w:rPr>
            </w:pPr>
            <w:r>
              <w:rPr>
                <w:rFonts w:hint="eastAsia"/>
                <w:szCs w:val="21"/>
              </w:rPr>
              <w:t>生产区域</w:t>
            </w:r>
            <w:r>
              <w:rPr>
                <w:rFonts w:hint="eastAsia" w:ascii="宋体" w:hAnsi="宋体"/>
                <w:kern w:val="0"/>
                <w:szCs w:val="21"/>
              </w:rPr>
              <w:t>平面布置示意图</w:t>
            </w:r>
          </w:p>
          <w:p w14:paraId="1A47602E">
            <w:pPr>
              <w:autoSpaceDE w:val="0"/>
              <w:autoSpaceDN w:val="0"/>
              <w:adjustRightInd w:val="0"/>
              <w:spacing w:line="360" w:lineRule="auto"/>
              <w:jc w:val="center"/>
              <w:rPr>
                <w:rFonts w:hint="eastAsia" w:ascii="宋体" w:hAnsi="宋体"/>
                <w:kern w:val="0"/>
                <w:sz w:val="28"/>
                <w:szCs w:val="28"/>
              </w:rPr>
            </w:pPr>
          </w:p>
          <w:p w14:paraId="630DEF97">
            <w:pPr>
              <w:autoSpaceDE w:val="0"/>
              <w:autoSpaceDN w:val="0"/>
              <w:adjustRightInd w:val="0"/>
              <w:spacing w:line="360" w:lineRule="auto"/>
              <w:jc w:val="center"/>
              <w:rPr>
                <w:rFonts w:hint="eastAsia" w:ascii="宋体" w:hAnsi="宋体"/>
                <w:kern w:val="0"/>
                <w:sz w:val="28"/>
                <w:szCs w:val="28"/>
              </w:rPr>
            </w:pPr>
            <w:r>
              <w:drawing>
                <wp:inline distT="0" distB="0" distL="114300" distR="114300">
                  <wp:extent cx="4878070" cy="3987165"/>
                  <wp:effectExtent l="0" t="0" r="13970" b="5715"/>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6"/>
                          <a:stretch>
                            <a:fillRect/>
                          </a:stretch>
                        </pic:blipFill>
                        <pic:spPr>
                          <a:xfrm>
                            <a:off x="0" y="0"/>
                            <a:ext cx="4878070" cy="3987165"/>
                          </a:xfrm>
                          <a:prstGeom prst="rect">
                            <a:avLst/>
                          </a:prstGeom>
                          <a:noFill/>
                          <a:ln>
                            <a:noFill/>
                          </a:ln>
                        </pic:spPr>
                      </pic:pic>
                    </a:graphicData>
                  </a:graphic>
                </wp:inline>
              </w:drawing>
            </w:r>
          </w:p>
          <w:p w14:paraId="4F38BCD9">
            <w:pPr>
              <w:autoSpaceDE w:val="0"/>
              <w:autoSpaceDN w:val="0"/>
              <w:adjustRightInd w:val="0"/>
              <w:spacing w:line="360" w:lineRule="auto"/>
              <w:jc w:val="center"/>
              <w:rPr>
                <w:rFonts w:hint="eastAsia" w:ascii="宋体" w:hAnsi="宋体"/>
                <w:kern w:val="0"/>
                <w:sz w:val="28"/>
                <w:szCs w:val="28"/>
              </w:rPr>
            </w:pPr>
          </w:p>
        </w:tc>
      </w:tr>
    </w:tbl>
    <w:p w14:paraId="791531FA">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color w:val="000000"/>
          <w:kern w:val="2"/>
          <w:sz w:val="28"/>
          <w:szCs w:val="28"/>
        </w:rPr>
      </w:pPr>
    </w:p>
    <w:p w14:paraId="01D0ECE5">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color w:val="000000"/>
          <w:kern w:val="2"/>
          <w:sz w:val="28"/>
          <w:szCs w:val="28"/>
        </w:rPr>
      </w:pPr>
    </w:p>
    <w:p w14:paraId="241657B3">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eastAsia" w:ascii="宋体" w:hAnsi="宋体" w:eastAsia="宋体" w:cs="宋体"/>
          <w:color w:val="000000"/>
          <w:kern w:val="2"/>
          <w:sz w:val="28"/>
          <w:szCs w:val="28"/>
        </w:rPr>
      </w:pPr>
    </w:p>
    <w:p w14:paraId="59BBA416">
      <w:pPr>
        <w:bidi w:val="0"/>
        <w:jc w:val="left"/>
        <w:rPr>
          <w:rFonts w:hint="eastAsia"/>
          <w:b/>
          <w:bCs/>
          <w:lang w:val="en-US" w:eastAsia="zh-CN"/>
        </w:rPr>
      </w:pPr>
      <w:r>
        <w:rPr>
          <w:rFonts w:hint="eastAsia"/>
          <w:b/>
          <w:bCs/>
          <w:lang w:val="en-US" w:eastAsia="zh-CN"/>
        </w:rPr>
        <w:t>周边环境</w:t>
      </w:r>
    </w:p>
    <w:p w14:paraId="4DC381E8">
      <w:pPr>
        <w:pStyle w:val="12"/>
        <w:shd w:val="clear" w:color="auto" w:fill="auto"/>
        <w:spacing w:line="360" w:lineRule="auto"/>
        <w:ind w:left="372" w:leftChars="133" w:firstLine="464" w:firstLineChars="166"/>
        <w:rPr>
          <w:rFonts w:hint="default" w:ascii="宋体" w:hAnsi="宋体" w:eastAsia="宋体" w:cs="宋体"/>
          <w:kern w:val="2"/>
          <w:sz w:val="28"/>
          <w:szCs w:val="28"/>
          <w:u w:val="single"/>
          <w:lang w:val="en-US" w:eastAsia="zh-CN" w:bidi="ar-SA"/>
        </w:rPr>
      </w:pPr>
      <w:r>
        <w:rPr>
          <w:rFonts w:hint="eastAsia" w:ascii="宋体" w:hAnsi="宋体" w:eastAsia="宋体" w:cs="宋体"/>
          <w:kern w:val="2"/>
          <w:sz w:val="28"/>
          <w:szCs w:val="28"/>
          <w:u w:val="single"/>
          <w:lang w:val="en-US" w:eastAsia="zh-CN" w:bidi="ar-SA"/>
        </w:rPr>
        <w:t xml:space="preserve">陆良县亿达加油有限公司沙林大道中段加油站位于陆良县沙林大道中段处，加油站坐西朝东布置，加油站南侧为爨乡大道，西侧为园区用地，东侧为天花公路，北侧为园区充电站用地。                      </w:t>
      </w:r>
    </w:p>
    <w:p w14:paraId="509F0A4B">
      <w:pPr>
        <w:pStyle w:val="12"/>
        <w:shd w:val="clear" w:color="auto" w:fill="auto"/>
        <w:spacing w:line="360" w:lineRule="auto"/>
        <w:rPr>
          <w:rFonts w:hint="default" w:ascii="宋体" w:hAnsi="宋体" w:eastAsia="宋体" w:cs="宋体"/>
          <w:kern w:val="2"/>
          <w:sz w:val="28"/>
          <w:szCs w:val="28"/>
          <w:u w:val="single"/>
          <w:lang w:val="en-US" w:eastAsia="zh-CN" w:bidi="ar-SA"/>
        </w:rPr>
      </w:pPr>
      <w:r>
        <w:rPr>
          <w:rFonts w:hint="eastAsia" w:ascii="宋体" w:hAnsi="宋体" w:eastAsia="宋体" w:cs="宋体"/>
          <w:kern w:val="2"/>
          <w:sz w:val="28"/>
          <w:szCs w:val="28"/>
          <w:u w:val="single"/>
          <w:lang w:val="en-US" w:eastAsia="zh-CN" w:bidi="ar-SA"/>
        </w:rPr>
        <w:t xml:space="preserve">加油站周边无生态保护区、无军事设施等，根据项目规划设计方案，加油站周边建构筑物与加油站的油罐、加油机、通气管口等设施位于加油站爆炸危险区域2区之外。                                               </w:t>
      </w:r>
    </w:p>
    <w:p w14:paraId="5CEAD974">
      <w:pPr>
        <w:pStyle w:val="12"/>
        <w:shd w:val="clear" w:color="auto" w:fill="auto"/>
        <w:spacing w:line="360" w:lineRule="auto"/>
        <w:rPr>
          <w:rFonts w:hint="eastAsia" w:ascii="宋体" w:hAnsi="宋体" w:eastAsia="宋体" w:cs="宋体"/>
          <w:kern w:val="2"/>
          <w:sz w:val="28"/>
          <w:szCs w:val="28"/>
          <w:u w:val="single"/>
          <w:lang w:val="en-US" w:eastAsia="zh-CN" w:bidi="ar-SA"/>
        </w:rPr>
      </w:pPr>
      <w:r>
        <w:rPr>
          <w:rFonts w:hint="eastAsia" w:ascii="宋体" w:hAnsi="宋体" w:eastAsia="宋体" w:cs="宋体"/>
          <w:kern w:val="2"/>
          <w:sz w:val="28"/>
          <w:szCs w:val="28"/>
          <w:u w:val="single"/>
          <w:lang w:val="en-US" w:eastAsia="zh-CN" w:bidi="ar-SA"/>
        </w:rPr>
        <w:t>加油站站址总平面布置及周边关系示意图见下图所示：</w:t>
      </w:r>
    </w:p>
    <w:tbl>
      <w:tblPr>
        <w:tblStyle w:val="4"/>
        <w:tblW w:w="0" w:type="auto"/>
        <w:tblInd w:w="7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1"/>
      </w:tblGrid>
      <w:tr w14:paraId="02F46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5" w:hRule="atLeast"/>
        </w:trPr>
        <w:tc>
          <w:tcPr>
            <w:tcW w:w="7761" w:type="dxa"/>
            <w:noWrap w:val="0"/>
            <w:vAlign w:val="top"/>
          </w:tcPr>
          <w:p w14:paraId="033DE916">
            <w:pPr>
              <w:jc w:val="center"/>
              <w:rPr>
                <w:rFonts w:hint="eastAsia"/>
                <w:szCs w:val="21"/>
              </w:rPr>
            </w:pPr>
            <w:r>
              <w:rPr>
                <w:rFonts w:hint="eastAsia"/>
                <w:szCs w:val="21"/>
              </w:rPr>
              <w:t>周边环境示意图</w:t>
            </w:r>
          </w:p>
          <w:p w14:paraId="5CE70EC3">
            <w:pPr>
              <w:ind w:firstLine="560" w:firstLineChars="200"/>
              <w:jc w:val="center"/>
              <w:rPr>
                <w:rFonts w:hint="eastAsia"/>
                <w:szCs w:val="21"/>
              </w:rPr>
            </w:pPr>
          </w:p>
          <w:p w14:paraId="04C54FCB">
            <w:pPr>
              <w:spacing w:line="360" w:lineRule="auto"/>
              <w:rPr>
                <w:rFonts w:hint="eastAsia"/>
                <w:sz w:val="28"/>
                <w:szCs w:val="28"/>
              </w:rPr>
            </w:pPr>
            <w:r>
              <w:drawing>
                <wp:inline distT="0" distB="0" distL="114300" distR="114300">
                  <wp:extent cx="4693920" cy="3200400"/>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7"/>
                          <a:stretch>
                            <a:fillRect/>
                          </a:stretch>
                        </pic:blipFill>
                        <pic:spPr>
                          <a:xfrm>
                            <a:off x="0" y="0"/>
                            <a:ext cx="4693920" cy="3200400"/>
                          </a:xfrm>
                          <a:prstGeom prst="rect">
                            <a:avLst/>
                          </a:prstGeom>
                          <a:noFill/>
                          <a:ln>
                            <a:noFill/>
                          </a:ln>
                        </pic:spPr>
                      </pic:pic>
                    </a:graphicData>
                  </a:graphic>
                </wp:inline>
              </w:drawing>
            </w:r>
          </w:p>
          <w:p w14:paraId="155BFA1F">
            <w:pPr>
              <w:rPr>
                <w:rFonts w:hint="eastAsia"/>
                <w:sz w:val="18"/>
                <w:szCs w:val="28"/>
              </w:rPr>
            </w:pPr>
          </w:p>
          <w:p w14:paraId="4234616B">
            <w:pPr>
              <w:rPr>
                <w:rFonts w:hint="eastAsia"/>
                <w:sz w:val="18"/>
                <w:szCs w:val="28"/>
              </w:rPr>
            </w:pPr>
            <w:bookmarkStart w:id="0" w:name="_GoBack"/>
            <w:bookmarkEnd w:id="0"/>
          </w:p>
          <w:p w14:paraId="7F6B4A24">
            <w:pPr>
              <w:rPr>
                <w:rFonts w:hint="eastAsia"/>
                <w:sz w:val="28"/>
                <w:szCs w:val="28"/>
              </w:rPr>
            </w:pPr>
            <w:r>
              <w:rPr>
                <w:rFonts w:hint="eastAsia"/>
                <w:sz w:val="18"/>
                <w:szCs w:val="28"/>
              </w:rPr>
              <w:t>注：要尽量标出距离及相邻关系</w:t>
            </w:r>
          </w:p>
        </w:tc>
      </w:tr>
    </w:tbl>
    <w:p w14:paraId="787D239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p>
    <w:p w14:paraId="7BA81E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p>
    <w:p w14:paraId="33293BEA">
      <w:pPr>
        <w:keepNext w:val="0"/>
        <w:keepLines w:val="0"/>
        <w:pageBreakBefore w:val="0"/>
        <w:widowControl w:val="0"/>
        <w:kinsoku/>
        <w:wordWrap/>
        <w:overflowPunct/>
        <w:topLinePunct w:val="0"/>
        <w:autoSpaceDE/>
        <w:autoSpaceDN/>
        <w:bidi w:val="0"/>
        <w:adjustRightInd w:val="0"/>
        <w:snapToGrid w:val="0"/>
        <w:spacing w:after="157" w:afterLines="50"/>
        <w:jc w:val="center"/>
        <w:textAlignment w:val="auto"/>
        <w:rPr>
          <w:rFonts w:hint="eastAsia" w:ascii="宋体" w:hAnsi="宋体"/>
          <w:sz w:val="32"/>
          <w:szCs w:val="32"/>
        </w:rPr>
      </w:pPr>
      <w:r>
        <w:rPr>
          <w:rFonts w:hint="eastAsia" w:ascii="宋体" w:hAnsi="宋体"/>
          <w:b/>
          <w:sz w:val="44"/>
          <w:szCs w:val="44"/>
        </w:rPr>
        <w:t>昭通市鼎安科技有限公司</w:t>
      </w:r>
    </w:p>
    <w:p w14:paraId="6BE60100">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sz w:val="32"/>
          <w:szCs w:val="32"/>
        </w:rPr>
      </w:pPr>
      <w:r>
        <w:rPr>
          <w:rFonts w:hint="eastAsia" w:ascii="宋体" w:hAnsi="宋体"/>
          <w:sz w:val="32"/>
          <w:szCs w:val="32"/>
        </w:rPr>
        <w:t>安全生产工程技术服务现场检查整改建议书</w:t>
      </w:r>
    </w:p>
    <w:p w14:paraId="59C06D01">
      <w:pPr>
        <w:spacing w:line="360" w:lineRule="auto"/>
        <w:ind w:firstLine="560"/>
        <w:rPr>
          <w:rFonts w:hint="eastAsia" w:ascii="宋体" w:hAnsi="宋体" w:eastAsia="宋体" w:cs="宋体"/>
          <w:color w:val="000000"/>
          <w:highlight w:val="none"/>
          <w:lang w:eastAsia="zh-CN"/>
        </w:rPr>
      </w:pPr>
      <w:r>
        <w:rPr>
          <w:rFonts w:hint="eastAsia" w:ascii="宋体" w:hAnsi="宋体"/>
          <w:sz w:val="28"/>
          <w:szCs w:val="28"/>
        </w:rPr>
        <w:t>项目（单位）</w:t>
      </w:r>
      <w:r>
        <w:rPr>
          <w:rFonts w:hint="eastAsia" w:ascii="宋体" w:hAnsi="宋体" w:eastAsia="宋体" w:cs="Times New Roman"/>
          <w:sz w:val="28"/>
          <w:szCs w:val="28"/>
          <w:u w:val="single"/>
          <w:lang w:val="en-US" w:eastAsia="zh-CN"/>
        </w:rPr>
        <w:t>：陆良县亿达加油有限公司沙林大道中段加油站</w:t>
      </w:r>
    </w:p>
    <w:p w14:paraId="736D3A87">
      <w:pPr>
        <w:rPr>
          <w:rFonts w:hint="eastAsia" w:ascii="宋体" w:hAnsi="宋体"/>
          <w:sz w:val="28"/>
          <w:szCs w:val="28"/>
          <w:u w:val="single"/>
          <w:lang w:val="en-US" w:eastAsia="zh-CN"/>
        </w:rPr>
      </w:pPr>
      <w:r>
        <w:rPr>
          <w:rFonts w:hint="eastAsia" w:ascii="宋体" w:hAnsi="宋体"/>
          <w:sz w:val="28"/>
          <w:szCs w:val="28"/>
          <w:u w:val="single"/>
          <w:lang w:val="en-US" w:eastAsia="zh-CN"/>
        </w:rPr>
        <w:t xml:space="preserve"> </w:t>
      </w:r>
      <w:r>
        <w:rPr>
          <w:rFonts w:hint="eastAsia" w:ascii="宋体" w:hAnsi="宋体"/>
          <w:sz w:val="28"/>
          <w:szCs w:val="28"/>
          <w:u w:val="none"/>
          <w:lang w:val="en-US" w:eastAsia="zh-CN"/>
        </w:rPr>
        <w:t xml:space="preserve">    </w:t>
      </w:r>
      <w:r>
        <w:rPr>
          <w:rFonts w:hint="eastAsia" w:ascii="宋体" w:hAnsi="宋体"/>
          <w:sz w:val="28"/>
          <w:szCs w:val="28"/>
        </w:rPr>
        <w:t>项目类型：</w:t>
      </w:r>
      <w:r>
        <w:rPr>
          <w:rFonts w:hint="eastAsia" w:ascii="宋体" w:hAnsi="宋体"/>
          <w:sz w:val="28"/>
          <w:szCs w:val="28"/>
          <w:u w:val="single"/>
          <w:lang w:eastAsia="zh-CN"/>
        </w:rPr>
        <w:t>安全</w:t>
      </w:r>
      <w:r>
        <w:rPr>
          <w:rFonts w:hint="eastAsia" w:ascii="宋体" w:hAnsi="宋体"/>
          <w:sz w:val="28"/>
          <w:szCs w:val="28"/>
          <w:u w:val="single"/>
          <w:lang w:val="en-US" w:eastAsia="zh-CN"/>
        </w:rPr>
        <w:t xml:space="preserve">设施竣工验收评价 </w:t>
      </w:r>
    </w:p>
    <w:p w14:paraId="6074D7AB">
      <w:pPr>
        <w:rPr>
          <w:rFonts w:hint="eastAsia" w:ascii="宋体" w:hAnsi="宋体" w:eastAsia="宋体" w:cs="Times New Roman"/>
          <w:sz w:val="28"/>
          <w:szCs w:val="28"/>
        </w:rPr>
      </w:pPr>
      <w:r>
        <w:rPr>
          <w:rFonts w:hint="eastAsia" w:ascii="宋体" w:hAnsi="宋体" w:eastAsia="宋体" w:cs="Times New Roman"/>
          <w:sz w:val="28"/>
          <w:szCs w:val="28"/>
        </w:rPr>
        <w:t>法定代表人</w:t>
      </w:r>
      <w:r>
        <w:rPr>
          <w:rFonts w:hint="eastAsia" w:ascii="宋体" w:hAnsi="宋体" w:eastAsia="宋体" w:cs="Times New Roman"/>
          <w:sz w:val="28"/>
          <w:szCs w:val="28"/>
          <w:lang w:eastAsia="zh-CN"/>
        </w:rPr>
        <w:t>：</w:t>
      </w:r>
      <w:r>
        <w:rPr>
          <w:rFonts w:hint="eastAsia" w:ascii="宋体" w:hAnsi="宋体" w:eastAsia="宋体" w:cs="Times New Roman"/>
          <w:sz w:val="28"/>
          <w:szCs w:val="28"/>
          <w:u w:val="single"/>
          <w:lang w:val="en-US" w:eastAsia="zh-CN"/>
        </w:rPr>
        <w:t xml:space="preserve">  刘洪斌  </w:t>
      </w:r>
      <w:r>
        <w:rPr>
          <w:rFonts w:hint="eastAsia" w:ascii="宋体" w:hAnsi="宋体" w:eastAsia="宋体" w:cs="Times New Roman"/>
          <w:sz w:val="28"/>
          <w:szCs w:val="28"/>
        </w:rPr>
        <w:t>联系电话：</w:t>
      </w:r>
      <w:r>
        <w:rPr>
          <w:rFonts w:hint="eastAsia" w:ascii="宋体" w:hAnsi="宋体" w:eastAsia="宋体" w:cs="Times New Roman"/>
          <w:sz w:val="28"/>
          <w:szCs w:val="28"/>
          <w:u w:val="single"/>
          <w:lang w:val="en-US" w:eastAsia="zh-CN"/>
        </w:rPr>
        <w:t>18388019318</w:t>
      </w:r>
      <w:r>
        <w:rPr>
          <w:rFonts w:hint="eastAsia" w:ascii="宋体" w:hAnsi="宋体" w:eastAsia="宋体" w:cs="Times New Roman"/>
          <w:sz w:val="28"/>
          <w:szCs w:val="28"/>
        </w:rPr>
        <w:t xml:space="preserve">日期： </w:t>
      </w:r>
      <w:r>
        <w:rPr>
          <w:rFonts w:hint="eastAsia" w:ascii="宋体" w:hAnsi="宋体" w:eastAsia="宋体" w:cs="Times New Roman"/>
          <w:sz w:val="28"/>
          <w:szCs w:val="28"/>
          <w:u w:val="single"/>
          <w:lang w:val="en-US" w:eastAsia="zh-CN"/>
        </w:rPr>
        <w:t>202</w:t>
      </w:r>
      <w:r>
        <w:rPr>
          <w:rFonts w:hint="eastAsia" w:ascii="宋体" w:hAnsi="宋体" w:cs="Times New Roman"/>
          <w:sz w:val="28"/>
          <w:szCs w:val="28"/>
          <w:u w:val="single"/>
          <w:lang w:val="en-US" w:eastAsia="zh-CN"/>
        </w:rPr>
        <w:t>5</w:t>
      </w:r>
      <w:r>
        <w:rPr>
          <w:rFonts w:hint="eastAsia" w:ascii="宋体" w:hAnsi="宋体" w:eastAsia="宋体" w:cs="Times New Roman"/>
          <w:sz w:val="28"/>
          <w:szCs w:val="28"/>
          <w:u w:val="single"/>
          <w:lang w:val="en-US" w:eastAsia="zh-CN"/>
        </w:rPr>
        <w:t>.</w:t>
      </w:r>
      <w:r>
        <w:rPr>
          <w:rFonts w:hint="eastAsia" w:ascii="宋体" w:hAnsi="宋体" w:cs="Times New Roman"/>
          <w:sz w:val="28"/>
          <w:szCs w:val="28"/>
          <w:u w:val="single"/>
          <w:lang w:val="en-US" w:eastAsia="zh-CN"/>
        </w:rPr>
        <w:t>1</w:t>
      </w:r>
      <w:r>
        <w:rPr>
          <w:rFonts w:hint="eastAsia" w:ascii="宋体" w:hAnsi="宋体" w:eastAsia="宋体" w:cs="Times New Roman"/>
          <w:sz w:val="28"/>
          <w:szCs w:val="28"/>
          <w:u w:val="single"/>
          <w:lang w:val="en-US" w:eastAsia="zh-CN"/>
        </w:rPr>
        <w:t>.</w:t>
      </w:r>
      <w:r>
        <w:rPr>
          <w:rFonts w:hint="eastAsia" w:ascii="宋体" w:hAnsi="宋体" w:cs="Times New Roman"/>
          <w:sz w:val="28"/>
          <w:szCs w:val="28"/>
          <w:u w:val="single"/>
          <w:lang w:val="en-US" w:eastAsia="zh-CN"/>
        </w:rPr>
        <w:t>18</w:t>
      </w:r>
      <w:r>
        <w:rPr>
          <w:rFonts w:hint="eastAsia" w:ascii="宋体" w:hAnsi="宋体" w:eastAsia="宋体" w:cs="Times New Roman"/>
          <w:sz w:val="28"/>
          <w:szCs w:val="28"/>
          <w:lang w:val="en-US" w:eastAsia="zh-CN"/>
        </w:rPr>
        <w:t xml:space="preserve"> </w:t>
      </w:r>
      <w:r>
        <w:rPr>
          <w:rFonts w:hint="eastAsia" w:ascii="宋体" w:hAnsi="宋体" w:eastAsia="宋体" w:cs="Times New Roman"/>
          <w:sz w:val="28"/>
          <w:szCs w:val="28"/>
        </w:rPr>
        <w:t xml:space="preserve"> </w:t>
      </w:r>
    </w:p>
    <w:p w14:paraId="7896FD34">
      <w:pPr>
        <w:keepNext w:val="0"/>
        <w:keepLines w:val="0"/>
        <w:pageBreakBefore w:val="0"/>
        <w:widowControl w:val="0"/>
        <w:kinsoku/>
        <w:wordWrap/>
        <w:overflowPunct/>
        <w:topLinePunct w:val="0"/>
        <w:autoSpaceDE/>
        <w:autoSpaceDN/>
        <w:bidi w:val="0"/>
        <w:adjustRightInd/>
        <w:snapToGrid/>
        <w:jc w:val="both"/>
        <w:textAlignment w:val="auto"/>
        <w:rPr>
          <w:rFonts w:hint="eastAsia" w:ascii="宋体" w:hAnsi="宋体"/>
          <w:b/>
          <w:sz w:val="28"/>
          <w:szCs w:val="28"/>
        </w:rPr>
      </w:pPr>
      <w:r>
        <w:rPr>
          <w:rFonts w:hint="eastAsia" w:ascii="宋体" w:hAnsi="宋体"/>
          <w:b/>
          <w:sz w:val="28"/>
          <w:szCs w:val="28"/>
        </w:rPr>
        <w:t>现场发现的问题及建议：</w:t>
      </w:r>
    </w:p>
    <w:p w14:paraId="7662FC07">
      <w:pPr>
        <w:spacing w:line="360" w:lineRule="auto"/>
        <w:ind w:firstLine="560"/>
        <w:rPr>
          <w:rFonts w:hint="default" w:ascii="宋体" w:hAnsi="宋体" w:eastAsia="宋体" w:cs="Times New Roman"/>
          <w:sz w:val="28"/>
          <w:szCs w:val="28"/>
          <w:u w:val="single"/>
          <w:lang w:val="en-US" w:eastAsia="zh-CN"/>
        </w:rPr>
      </w:pPr>
      <w:r>
        <w:rPr>
          <w:rFonts w:hint="eastAsia" w:ascii="宋体" w:hAnsi="宋体" w:eastAsia="宋体" w:cs="Times New Roman"/>
          <w:sz w:val="28"/>
          <w:szCs w:val="28"/>
          <w:u w:val="single"/>
          <w:lang w:val="en-US" w:eastAsia="zh-CN"/>
        </w:rPr>
        <w:t xml:space="preserve">1.紧急停止按钮无名称标识和提示语。紧急停止按钮名称标识和“非紧急情况勿按”的提示语。                                          </w:t>
      </w:r>
    </w:p>
    <w:p w14:paraId="79464C9D">
      <w:pPr>
        <w:spacing w:line="360" w:lineRule="auto"/>
        <w:ind w:firstLine="560"/>
        <w:rPr>
          <w:rFonts w:hint="default" w:ascii="宋体" w:hAnsi="宋体" w:eastAsia="宋体" w:cs="Times New Roman"/>
          <w:sz w:val="28"/>
          <w:szCs w:val="28"/>
          <w:u w:val="single"/>
          <w:lang w:val="en-US" w:eastAsia="zh-CN"/>
        </w:rPr>
      </w:pPr>
      <w:r>
        <w:rPr>
          <w:rFonts w:hint="eastAsia" w:ascii="宋体" w:hAnsi="宋体" w:eastAsia="宋体" w:cs="Times New Roman"/>
          <w:sz w:val="28"/>
          <w:szCs w:val="28"/>
          <w:u w:val="single"/>
          <w:lang w:val="en-US" w:eastAsia="zh-CN"/>
        </w:rPr>
        <w:t xml:space="preserve">2.三级油水分离池无名称标识和安全警示标识。三级油水分离池增加名称标识和“严禁烟火”安全警示标识。                                </w:t>
      </w:r>
    </w:p>
    <w:p w14:paraId="7D91C308">
      <w:pPr>
        <w:spacing w:line="360" w:lineRule="auto"/>
        <w:ind w:firstLine="560"/>
        <w:rPr>
          <w:rFonts w:hint="default" w:ascii="宋体" w:hAnsi="宋体" w:eastAsia="宋体" w:cs="Times New Roman"/>
          <w:sz w:val="28"/>
          <w:szCs w:val="28"/>
          <w:u w:val="single"/>
          <w:lang w:val="en-US" w:eastAsia="zh-CN"/>
        </w:rPr>
      </w:pPr>
      <w:r>
        <w:rPr>
          <w:rFonts w:hint="eastAsia" w:ascii="宋体" w:hAnsi="宋体" w:eastAsia="宋体" w:cs="Times New Roman"/>
          <w:sz w:val="28"/>
          <w:szCs w:val="28"/>
          <w:u w:val="single"/>
          <w:lang w:val="en-US" w:eastAsia="zh-CN"/>
        </w:rPr>
        <w:t>3</w:t>
      </w:r>
      <w:r>
        <w:rPr>
          <w:rFonts w:hint="default" w:ascii="宋体" w:hAnsi="宋体" w:eastAsia="宋体" w:cs="Times New Roman"/>
          <w:sz w:val="28"/>
          <w:szCs w:val="28"/>
          <w:u w:val="single"/>
          <w:lang w:val="en-US" w:eastAsia="zh-CN"/>
        </w:rPr>
        <w:t>．</w:t>
      </w:r>
      <w:r>
        <w:rPr>
          <w:rFonts w:hint="eastAsia" w:ascii="宋体" w:hAnsi="宋体" w:eastAsia="宋体" w:cs="Times New Roman"/>
          <w:sz w:val="28"/>
          <w:szCs w:val="28"/>
          <w:u w:val="single"/>
          <w:lang w:val="en-US" w:eastAsia="zh-CN"/>
        </w:rPr>
        <w:t xml:space="preserve">配电室无安全警示标识，门口未设置挡鼠板，室内未设置操作规程，二氧化碳灭火器未配备防冻伤手套；配电室外设置“配电重地非工作人员禁止入内” 等警示标识牌，配电室门口增设挡鼠板，室内增设安全操作规程，增加防冻伤手套。                                    </w:t>
      </w:r>
    </w:p>
    <w:p w14:paraId="326F55A5">
      <w:pPr>
        <w:pStyle w:val="6"/>
        <w:rPr>
          <w:rFonts w:hint="eastAsia"/>
        </w:rPr>
      </w:pPr>
    </w:p>
    <w:p w14:paraId="3465914F">
      <w:pPr>
        <w:jc w:val="both"/>
        <w:rPr>
          <w:rFonts w:hint="eastAsia" w:ascii="宋体" w:hAnsi="宋体"/>
          <w:b/>
          <w:sz w:val="28"/>
          <w:szCs w:val="28"/>
        </w:rPr>
      </w:pPr>
      <w:r>
        <w:rPr>
          <w:rFonts w:hint="eastAsia" w:ascii="宋体" w:hAnsi="宋体"/>
          <w:b/>
          <w:sz w:val="28"/>
          <w:szCs w:val="28"/>
          <w:lang w:val="en-US" w:eastAsia="zh-CN"/>
        </w:rPr>
        <w:t xml:space="preserve">委托方负责人：              </w:t>
      </w:r>
      <w:r>
        <w:rPr>
          <w:rFonts w:hint="eastAsia" w:ascii="宋体" w:hAnsi="宋体"/>
          <w:b/>
          <w:sz w:val="28"/>
          <w:szCs w:val="28"/>
        </w:rPr>
        <w:t xml:space="preserve">现场检查人员： </w:t>
      </w:r>
      <w:r>
        <w:drawing>
          <wp:inline distT="0" distB="0" distL="114300" distR="114300">
            <wp:extent cx="746760" cy="270510"/>
            <wp:effectExtent l="0" t="0" r="0" b="381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8"/>
                    <a:srcRect t="13415"/>
                    <a:stretch>
                      <a:fillRect/>
                    </a:stretch>
                  </pic:blipFill>
                  <pic:spPr>
                    <a:xfrm>
                      <a:off x="0" y="0"/>
                      <a:ext cx="746760" cy="270510"/>
                    </a:xfrm>
                    <a:prstGeom prst="rect">
                      <a:avLst/>
                    </a:prstGeom>
                    <a:noFill/>
                    <a:ln>
                      <a:noFill/>
                    </a:ln>
                  </pic:spPr>
                </pic:pic>
              </a:graphicData>
            </a:graphic>
          </wp:inline>
        </w:drawing>
      </w:r>
      <w:r>
        <w:rPr>
          <w:rFonts w:hint="eastAsia" w:ascii="宋体" w:hAnsi="宋体"/>
          <w:b/>
          <w:sz w:val="28"/>
          <w:szCs w:val="28"/>
        </w:rPr>
        <w:t xml:space="preserve"> </w:t>
      </w:r>
      <w:r>
        <w:drawing>
          <wp:inline distT="0" distB="0" distL="114300" distR="114300">
            <wp:extent cx="716280" cy="251460"/>
            <wp:effectExtent l="0" t="0" r="0" b="635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9"/>
                    <a:stretch>
                      <a:fillRect/>
                    </a:stretch>
                  </pic:blipFill>
                  <pic:spPr>
                    <a:xfrm>
                      <a:off x="0" y="0"/>
                      <a:ext cx="716280" cy="251460"/>
                    </a:xfrm>
                    <a:prstGeom prst="rect">
                      <a:avLst/>
                    </a:prstGeom>
                    <a:noFill/>
                    <a:ln>
                      <a:noFill/>
                    </a:ln>
                  </pic:spPr>
                </pic:pic>
              </a:graphicData>
            </a:graphic>
          </wp:inline>
        </w:drawing>
      </w:r>
      <w:r>
        <w:rPr>
          <w:rFonts w:hint="eastAsia" w:ascii="宋体" w:hAnsi="宋体"/>
          <w:b/>
          <w:sz w:val="28"/>
          <w:szCs w:val="28"/>
        </w:rPr>
        <w:t xml:space="preserve">                                                </w:t>
      </w:r>
    </w:p>
    <w:p w14:paraId="0BEA3D95">
      <w:pPr>
        <w:jc w:val="center"/>
        <w:rPr>
          <w:rFonts w:hint="eastAsia" w:ascii="宋体" w:hAnsi="宋体"/>
          <w:b/>
          <w:color w:val="000000" w:themeColor="text1"/>
          <w:sz w:val="28"/>
          <w:szCs w:val="28"/>
          <w:lang w:val="en-US" w:eastAsia="zh-CN"/>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 xml:space="preserve">                             </w:t>
      </w:r>
    </w:p>
    <w:p w14:paraId="351B6A46">
      <w:pPr>
        <w:jc w:val="right"/>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 xml:space="preserve">昭通市鼎安科技有限公司 </w:t>
      </w:r>
    </w:p>
    <w:p w14:paraId="3CAE6D56">
      <w:pPr>
        <w:ind w:firstLine="5432" w:firstLineChars="1940"/>
        <w:jc w:val="right"/>
        <w:rPr>
          <w:rFonts w:hint="eastAsia"/>
          <w:b/>
          <w:szCs w:val="21"/>
        </w:rPr>
      </w:pPr>
      <w:r>
        <w:rPr>
          <w:rFonts w:hint="eastAsia"/>
          <w:lang w:val="en-US" w:eastAsia="zh-CN"/>
        </w:rPr>
        <w:t xml:space="preserve">                                      </w:t>
      </w:r>
      <w:r>
        <w:rPr>
          <w:rFonts w:hint="eastAsia" w:ascii="宋体" w:hAnsi="宋体" w:eastAsia="宋体" w:cs="Times New Roman"/>
          <w:b/>
          <w:color w:val="000000" w:themeColor="text1"/>
          <w:sz w:val="28"/>
          <w:szCs w:val="28"/>
          <w:lang w:val="en-US" w:eastAsia="zh-CN"/>
          <w14:textFill>
            <w14:solidFill>
              <w14:schemeClr w14:val="tx1"/>
            </w14:solidFill>
          </w14:textFill>
        </w:rPr>
        <w:t>2025</w:t>
      </w:r>
      <w:r>
        <w:rPr>
          <w:rFonts w:hint="eastAsia" w:ascii="宋体" w:hAnsi="宋体" w:eastAsia="宋体" w:cs="Times New Roman"/>
          <w:b/>
          <w:color w:val="000000" w:themeColor="text1"/>
          <w:sz w:val="28"/>
          <w:szCs w:val="28"/>
          <w14:textFill>
            <w14:solidFill>
              <w14:schemeClr w14:val="tx1"/>
            </w14:solidFill>
          </w14:textFill>
        </w:rPr>
        <w:t xml:space="preserve">年 </w:t>
      </w:r>
      <w:r>
        <w:rPr>
          <w:rFonts w:hint="eastAsia" w:ascii="宋体" w:hAnsi="宋体" w:eastAsia="宋体" w:cs="Times New Roman"/>
          <w:b/>
          <w:color w:val="000000" w:themeColor="text1"/>
          <w:sz w:val="28"/>
          <w:szCs w:val="28"/>
          <w:lang w:val="en-US" w:eastAsia="zh-CN"/>
          <w14:textFill>
            <w14:solidFill>
              <w14:schemeClr w14:val="tx1"/>
            </w14:solidFill>
          </w14:textFill>
        </w:rPr>
        <w:t>1</w:t>
      </w:r>
      <w:r>
        <w:rPr>
          <w:rFonts w:hint="eastAsia" w:ascii="宋体" w:hAnsi="宋体" w:eastAsia="宋体" w:cs="Times New Roman"/>
          <w:b/>
          <w:color w:val="000000" w:themeColor="text1"/>
          <w:sz w:val="28"/>
          <w:szCs w:val="28"/>
          <w14:textFill>
            <w14:solidFill>
              <w14:schemeClr w14:val="tx1"/>
            </w14:solidFill>
          </w14:textFill>
        </w:rPr>
        <w:t xml:space="preserve">月 </w:t>
      </w:r>
      <w:r>
        <w:rPr>
          <w:rFonts w:hint="eastAsia" w:ascii="宋体" w:hAnsi="宋体" w:eastAsia="宋体" w:cs="Times New Roman"/>
          <w:b/>
          <w:color w:val="000000" w:themeColor="text1"/>
          <w:sz w:val="28"/>
          <w:szCs w:val="28"/>
          <w:lang w:val="en-US" w:eastAsia="zh-CN"/>
          <w14:textFill>
            <w14:solidFill>
              <w14:schemeClr w14:val="tx1"/>
            </w14:solidFill>
          </w14:textFill>
        </w:rPr>
        <w:t>18</w:t>
      </w:r>
      <w:r>
        <w:rPr>
          <w:rFonts w:hint="eastAsia" w:ascii="宋体" w:hAnsi="宋体" w:eastAsia="宋体" w:cs="Times New Roman"/>
          <w:b/>
          <w:color w:val="000000" w:themeColor="text1"/>
          <w:sz w:val="28"/>
          <w:szCs w:val="28"/>
          <w14:textFill>
            <w14:solidFill>
              <w14:schemeClr w14:val="tx1"/>
            </w14:solidFill>
          </w14:textFill>
        </w:rPr>
        <w:t>日</w:t>
      </w:r>
    </w:p>
    <w:p w14:paraId="02946ECB">
      <w:pPr>
        <w:pStyle w:val="6"/>
        <w:rPr>
          <w:rFonts w:hint="eastAsia"/>
        </w:rPr>
      </w:pPr>
    </w:p>
    <w:p w14:paraId="7D0DBE35">
      <w:pPr>
        <w:pStyle w:val="6"/>
        <w:rPr>
          <w:rFonts w:hint="default"/>
          <w:lang w:val="en-US" w:eastAsia="zh-CN"/>
        </w:rPr>
      </w:pPr>
    </w:p>
    <w:sectPr>
      <w:pgSz w:w="11906" w:h="16838"/>
      <w:pgMar w:top="1417" w:right="1134" w:bottom="113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133E29"/>
    <w:rsid w:val="33B201E6"/>
    <w:rsid w:val="351D5B33"/>
    <w:rsid w:val="38133E29"/>
    <w:rsid w:val="38C140B5"/>
    <w:rsid w:val="396E4E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480" w:lineRule="exact"/>
      <w:jc w:val="both"/>
    </w:pPr>
    <w:rPr>
      <w:rFonts w:ascii="Times New Roman" w:hAnsi="Times New Roman" w:eastAsia="宋体" w:cs="Times New Roman"/>
      <w:kern w:val="2"/>
      <w:sz w:val="28"/>
      <w:szCs w:val="24"/>
      <w:lang w:val="en-US" w:eastAsia="zh-CN" w:bidi="ar-SA"/>
    </w:rPr>
  </w:style>
  <w:style w:type="paragraph" w:styleId="2">
    <w:name w:val="heading 3"/>
    <w:basedOn w:val="1"/>
    <w:next w:val="1"/>
    <w:unhideWhenUsed/>
    <w:qFormat/>
    <w:uiPriority w:val="9"/>
    <w:pPr>
      <w:keepNext/>
      <w:keepLines/>
      <w:adjustRightInd w:val="0"/>
      <w:snapToGrid w:val="0"/>
      <w:spacing w:before="120" w:after="80" w:line="500" w:lineRule="exact"/>
      <w:outlineLvl w:val="2"/>
    </w:pPr>
    <w:rPr>
      <w:rFonts w:ascii="Times New Roman" w:hAnsi="Times New Roman" w:eastAsia="黑体" w:cs="Times New Roman"/>
      <w:bCs/>
      <w:color w:val="333333"/>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Document Map"/>
    <w:basedOn w:val="1"/>
    <w:semiHidden/>
    <w:qFormat/>
    <w:uiPriority w:val="0"/>
    <w:pPr>
      <w:shd w:val="clear" w:color="auto" w:fill="000080"/>
    </w:pPr>
  </w:style>
  <w:style w:type="paragraph" w:customStyle="1" w:styleId="6">
    <w:name w:val="Default"/>
    <w:basedOn w:val="7"/>
    <w:qFormat/>
    <w:uiPriority w:val="0"/>
    <w:pPr>
      <w:widowControl w:val="0"/>
      <w:autoSpaceDE w:val="0"/>
      <w:autoSpaceDN w:val="0"/>
      <w:adjustRightInd w:val="0"/>
    </w:pPr>
    <w:rPr>
      <w:color w:val="000000"/>
      <w:sz w:val="24"/>
      <w:szCs w:val="24"/>
      <w:lang w:val="en-US" w:eastAsia="zh-CN" w:bidi="ar-SA"/>
    </w:rPr>
  </w:style>
  <w:style w:type="paragraph" w:customStyle="1" w:styleId="7">
    <w:name w:val="纯文本1"/>
    <w:qFormat/>
    <w:uiPriority w:val="0"/>
    <w:pPr>
      <w:widowControl w:val="0"/>
      <w:adjustRightInd w:val="0"/>
      <w:spacing w:line="300" w:lineRule="auto"/>
      <w:jc w:val="both"/>
      <w:textAlignment w:val="baseline"/>
    </w:pPr>
    <w:rPr>
      <w:rFonts w:ascii="宋体" w:hAnsi="Courier New" w:eastAsia="宋体" w:cs="Times New Roman"/>
      <w:kern w:val="2"/>
      <w:sz w:val="21"/>
      <w:lang w:val="en-US" w:eastAsia="zh-CN" w:bidi="ar-SA"/>
    </w:rPr>
  </w:style>
  <w:style w:type="paragraph" w:customStyle="1" w:styleId="8">
    <w:name w:val="标题4"/>
    <w:basedOn w:val="2"/>
    <w:next w:val="9"/>
    <w:semiHidden/>
    <w:qFormat/>
    <w:uiPriority w:val="0"/>
    <w:pPr>
      <w:widowControl/>
      <w:adjustRightInd w:val="0"/>
      <w:snapToGrid w:val="0"/>
      <w:jc w:val="left"/>
    </w:pPr>
    <w:rPr>
      <w:rFonts w:eastAsia="宋体"/>
      <w:snapToGrid w:val="0"/>
      <w:color w:val="000000"/>
      <w:spacing w:val="40"/>
      <w:kern w:val="0"/>
      <w:szCs w:val="20"/>
    </w:rPr>
  </w:style>
  <w:style w:type="paragraph" w:customStyle="1" w:styleId="9">
    <w:name w:val="Char1"/>
    <w:basedOn w:val="1"/>
    <w:next w:val="10"/>
    <w:qFormat/>
    <w:uiPriority w:val="0"/>
  </w:style>
  <w:style w:type="paragraph" w:customStyle="1" w:styleId="10">
    <w:name w:val="Char"/>
    <w:basedOn w:val="3"/>
    <w:next w:val="11"/>
    <w:semiHidden/>
    <w:qFormat/>
    <w:uiPriority w:val="0"/>
    <w:pPr>
      <w:spacing w:line="480" w:lineRule="exact"/>
    </w:pPr>
    <w:rPr>
      <w:sz w:val="28"/>
    </w:rPr>
  </w:style>
  <w:style w:type="paragraph" w:customStyle="1" w:styleId="11">
    <w:name w:val="首行缩进加粗"/>
    <w:basedOn w:val="12"/>
    <w:next w:val="13"/>
    <w:qFormat/>
    <w:uiPriority w:val="0"/>
    <w:pPr>
      <w:spacing w:line="360" w:lineRule="auto"/>
      <w:ind w:left="482" w:firstLine="4834"/>
      <w:jc w:val="both"/>
    </w:pPr>
    <w:rPr>
      <w:rFonts w:ascii="宋体"/>
    </w:rPr>
  </w:style>
  <w:style w:type="paragraph" w:customStyle="1" w:styleId="12">
    <w:name w:val="首行缩进"/>
    <w:basedOn w:val="1"/>
    <w:qFormat/>
    <w:uiPriority w:val="0"/>
    <w:pPr>
      <w:snapToGrid w:val="0"/>
      <w:ind w:firstLine="560"/>
      <w:jc w:val="left"/>
    </w:pPr>
    <w:rPr>
      <w:rFonts w:ascii="宋体" w:cs="宋体"/>
      <w:sz w:val="28"/>
      <w:szCs w:val="20"/>
    </w:rPr>
  </w:style>
  <w:style w:type="paragraph" w:customStyle="1" w:styleId="13">
    <w:name w:val="四级条标题"/>
    <w:basedOn w:val="14"/>
    <w:next w:val="2"/>
    <w:semiHidden/>
    <w:qFormat/>
    <w:uiPriority w:val="0"/>
    <w:pPr>
      <w:tabs>
        <w:tab w:val="left" w:pos="360"/>
        <w:tab w:val="left" w:pos="903"/>
      </w:tabs>
      <w:outlineLvl w:val="5"/>
    </w:pPr>
  </w:style>
  <w:style w:type="paragraph" w:customStyle="1" w:styleId="14">
    <w:name w:val="三级条标题"/>
    <w:basedOn w:val="15"/>
    <w:next w:val="1"/>
    <w:semiHidden/>
    <w:qFormat/>
    <w:uiPriority w:val="0"/>
    <w:pPr>
      <w:tabs>
        <w:tab w:val="left" w:pos="360"/>
        <w:tab w:val="left" w:pos="903"/>
      </w:tabs>
      <w:outlineLvl w:val="4"/>
    </w:pPr>
  </w:style>
  <w:style w:type="paragraph" w:customStyle="1" w:styleId="15">
    <w:name w:val="二级条标题"/>
    <w:basedOn w:val="16"/>
    <w:next w:val="1"/>
    <w:semiHidden/>
    <w:qFormat/>
    <w:uiPriority w:val="0"/>
    <w:pPr>
      <w:tabs>
        <w:tab w:val="left" w:pos="360"/>
        <w:tab w:val="left" w:pos="903"/>
      </w:tabs>
      <w:outlineLvl w:val="3"/>
    </w:pPr>
  </w:style>
  <w:style w:type="paragraph" w:customStyle="1" w:styleId="16">
    <w:name w:val="一级条标题"/>
    <w:basedOn w:val="17"/>
    <w:next w:val="1"/>
    <w:semiHidden/>
    <w:qFormat/>
    <w:uiPriority w:val="0"/>
    <w:pPr>
      <w:tabs>
        <w:tab w:val="left" w:pos="360"/>
        <w:tab w:val="left" w:pos="903"/>
      </w:tabs>
      <w:spacing w:before="0" w:after="0"/>
      <w:ind w:left="855"/>
      <w:outlineLvl w:val="2"/>
    </w:pPr>
  </w:style>
  <w:style w:type="paragraph" w:customStyle="1" w:styleId="17">
    <w:name w:val="章标题"/>
    <w:next w:val="1"/>
    <w:semiHidden/>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975</Words>
  <Characters>1002</Characters>
  <Lines>0</Lines>
  <Paragraphs>0</Paragraphs>
  <TotalTime>6</TotalTime>
  <ScaleCrop>false</ScaleCrop>
  <LinksUpToDate>false</LinksUpToDate>
  <CharactersWithSpaces>1394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2025-03-17T06:12:00Z</dcterms:created>
  <dc:creator>jjjyyy</dc:creator>
  <cp:lastModifiedBy>皮皮虾</cp:lastModifiedBy>
  <dcterms:modified xsi:type="dcterms:W3CDTF">2025-06-23T07:56:55Z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7FD72B7D7F9840A680C71A2091D16F31_11</vt:lpwstr>
  </property>
  <property fmtid="{D5CDD505-2E9C-101B-9397-08002B2CF9AE}" pid="4" name="KSOTemplateDocerSaveRecord">
    <vt:lpwstr>eyJoZGlkIjoiYTMzNmU1OTY3NjI3MzJkNjE2MWQ5NWQzNDQ5ZGE5ODAiLCJ1c2VySWQiOiIyMTY2ODY5NzYifQ==</vt:lpwstr>
  </property>
</Properties>
</file>